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612140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-125095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u w:val="single" w:color="auto"/>
          <w:color w:val="auto"/>
        </w:rPr>
        <w:t>Washington, D.C. 20549</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4"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2018</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001-15149</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LENNOX INTERNATIONAL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981" w:right="239" w:bottom="1440" w:gutter="0" w:footer="0" w:header="0"/>
        </w:sectPr>
      </w:pPr>
    </w:p>
    <w:p>
      <w:pPr>
        <w:spacing w:after="0" w:line="19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2960"/>
        <w:spacing w:after="0"/>
        <w:rPr>
          <w:sz w:val="20"/>
          <w:szCs w:val="20"/>
          <w:color w:val="auto"/>
        </w:rPr>
      </w:pPr>
      <w:r>
        <w:rPr>
          <w:rFonts w:ascii="Times New Roman" w:cs="Times New Roman" w:eastAsia="Times New Roman" w:hAnsi="Times New Roman"/>
          <w:sz w:val="16"/>
          <w:szCs w:val="16"/>
          <w:b w:val="1"/>
          <w:bCs w:val="1"/>
          <w:color w:val="auto"/>
        </w:rPr>
        <w:t>42-0991521</w:t>
      </w:r>
    </w:p>
    <w:p>
      <w:pPr>
        <w:spacing w:after="0" w:line="66" w:lineRule="exact"/>
        <w:rPr>
          <w:sz w:val="24"/>
          <w:szCs w:val="24"/>
          <w:color w:val="auto"/>
        </w:rPr>
      </w:pPr>
    </w:p>
    <w:p>
      <w:pPr>
        <w:sectPr>
          <w:pgSz w:w="11900" w:h="16838" w:orient="portrait"/>
          <w:cols w:equalWidth="0" w:num="2">
            <w:col w:w="6960" w:space="720"/>
            <w:col w:w="3740"/>
          </w:cols>
          <w:pgMar w:left="240" w:top="981" w:right="2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Number)</w:t>
      </w:r>
    </w:p>
    <w:p>
      <w:pPr>
        <w:spacing w:after="0" w:line="55" w:lineRule="exact"/>
        <w:rPr>
          <w:sz w:val="24"/>
          <w:szCs w:val="24"/>
          <w:color w:val="auto"/>
        </w:rPr>
      </w:pPr>
    </w:p>
    <w:p>
      <w:pPr>
        <w:sectPr>
          <w:pgSz w:w="11900" w:h="16838" w:orient="portrait"/>
          <w:cols w:equalWidth="0" w:num="2">
            <w:col w:w="6160" w:space="720"/>
            <w:col w:w="4540"/>
          </w:cols>
          <w:pgMar w:left="240" w:top="981"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2140 Lake Park Blvd. Richardson, Texas 75080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(972) 497-5000</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8"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29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1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74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8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94"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Indicate by checkmark if the registrant is a well-known seasoned issuer, as defined in Rule 405 of the Securities Act.</w:t>
      </w:r>
    </w:p>
    <w:p>
      <w:pPr>
        <w:spacing w:after="0" w:line="27"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8"/>
          <w:szCs w:val="18"/>
          <w:color w:val="auto"/>
        </w:rPr>
        <w:t>Yes [X] No [ ]</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checkmark if the registrant is not required to file reports pursuant to Section 13 or 15(d) of the Exchange Act.</w:t>
      </w:r>
    </w:p>
    <w:p>
      <w:pPr>
        <w:spacing w:after="0" w:line="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Yes [ ] No [X]</w:t>
      </w:r>
    </w:p>
    <w:p>
      <w:pPr>
        <w:spacing w:after="0" w:line="9" w:lineRule="exact"/>
        <w:rPr>
          <w:sz w:val="24"/>
          <w:szCs w:val="24"/>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last 90 days. Yes [X] No [ ]</w:t>
      </w:r>
    </w:p>
    <w:p>
      <w:pPr>
        <w:spacing w:after="0" w:line="92" w:lineRule="exact"/>
        <w:rPr>
          <w:sz w:val="24"/>
          <w:szCs w:val="24"/>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S-T(§232.405 of this chapter) during the preceding 12 months (or for such shorter period that the registrant was required to submit and post such files). Yes [X] No [ ]</w:t>
      </w:r>
    </w:p>
    <w:p>
      <w:pPr>
        <w:spacing w:after="0" w:line="82" w:lineRule="exact"/>
        <w:rPr>
          <w:sz w:val="24"/>
          <w:szCs w:val="24"/>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8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66" w:lineRule="exact"/>
        <w:rPr>
          <w:sz w:val="24"/>
          <w:szCs w:val="24"/>
          <w:color w:val="auto"/>
        </w:rPr>
      </w:pPr>
    </w:p>
    <w:tbl>
      <w:tblPr>
        <w:tblLayout w:type="fixed"/>
        <w:tblInd w:w="40" w:type="dxa"/>
        <w:tblCellMar>
          <w:top w:w="0" w:type="dxa"/>
          <w:left w:w="0" w:type="dxa"/>
          <w:bottom w:w="0" w:type="dxa"/>
          <w:right w:w="0" w:type="dxa"/>
        </w:tblCellMar>
      </w:tblPr>
      <w:tr>
        <w:trPr>
          <w:trHeight w:val="210"/>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60" w:type="dxa"/>
            <w:vAlign w:val="bottom"/>
          </w:tcPr>
          <w:p>
            <w:pPr>
              <w:jc w:val="center"/>
              <w:ind w:right="1959"/>
              <w:spacing w:after="0"/>
              <w:rPr>
                <w:sz w:val="20"/>
                <w:szCs w:val="20"/>
                <w:color w:val="auto"/>
              </w:rPr>
            </w:pPr>
            <w:r>
              <w:rPr>
                <w:rFonts w:ascii="Times New Roman" w:cs="Times New Roman" w:eastAsia="Times New Roman" w:hAnsi="Times New Roman"/>
                <w:sz w:val="16"/>
                <w:szCs w:val="16"/>
                <w:color w:val="auto"/>
                <w:w w:val="98"/>
              </w:rPr>
              <w:t>[X]</w:t>
            </w:r>
          </w:p>
        </w:tc>
        <w:tc>
          <w:tcPr>
            <w:tcW w:w="500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60" w:type="dxa"/>
            <w:vAlign w:val="bottom"/>
          </w:tcPr>
          <w:p>
            <w:pPr>
              <w:jc w:val="right"/>
              <w:ind w:right="2599"/>
              <w:spacing w:after="0"/>
              <w:rPr>
                <w:sz w:val="20"/>
                <w:szCs w:val="20"/>
                <w:color w:val="auto"/>
              </w:rPr>
            </w:pPr>
            <w:r>
              <w:rPr>
                <w:rFonts w:ascii="Times New Roman" w:cs="Times New Roman" w:eastAsia="Times New Roman" w:hAnsi="Times New Roman"/>
                <w:sz w:val="16"/>
                <w:szCs w:val="16"/>
                <w:color w:val="auto"/>
              </w:rPr>
              <w:t>[ ]</w:t>
            </w:r>
          </w:p>
        </w:tc>
        <w:tc>
          <w:tcPr>
            <w:tcW w:w="500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70"/>
        </w:trPr>
        <w:tc>
          <w:tcPr>
            <w:tcW w:w="21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500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46" w:lineRule="exact"/>
        <w:rPr>
          <w:sz w:val="24"/>
          <w:szCs w:val="24"/>
          <w:color w:val="auto"/>
        </w:rPr>
      </w:pPr>
    </w:p>
    <w:p>
      <w:pPr>
        <w:ind w:left="40" w:right="12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Act).Yes [ ] No[X]</w:t>
      </w:r>
    </w:p>
    <w:p>
      <w:pPr>
        <w:spacing w:after="0" w:line="131" w:lineRule="exact"/>
        <w:rPr>
          <w:sz w:val="24"/>
          <w:szCs w:val="24"/>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As of June 30, 2018, the aggregate market value of the common stock held by non-affiliates of the registrant was approximately $8 billion based on the closing price of the registrant’s common stock on the New York Stock Exchange. As of February 8, 2019, there were 39,872,002 shares of the registrant’s common stock outstanding.</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Portions of the registrant’s 2019 Definitive Proxy Statement to be filed with the Securities and Exchange Commission in connection with the registrant’s 2019 Annual Meeting of Stockholders to be held on May 23, 2019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1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91"/>
        </w:trPr>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4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
        </w:trPr>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7560" w:type="dxa"/>
            <w:vAlign w:val="bottom"/>
            <w:gridSpan w:val="23"/>
            <w:shd w:val="clear" w:color="auto" w:fill="CCEEFF"/>
          </w:tcPr>
          <w:p>
            <w:pPr>
              <w:ind w:left="20"/>
              <w:spacing w:after="0" w:line="202"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Business</w:t>
              </w:r>
            </w:hyperlink>
          </w:p>
        </w:tc>
        <w:tc>
          <w:tcPr>
            <w:tcW w:w="480" w:type="dxa"/>
            <w:vAlign w:val="bottom"/>
            <w:tcBorders>
              <w:right w:val="single" w:sz="8" w:color="CCEEFF"/>
            </w:tcBorders>
            <w:gridSpan w:val="2"/>
            <w:shd w:val="clear" w:color="auto" w:fill="CCEEFF"/>
          </w:tcPr>
          <w:p>
            <w:pPr>
              <w:jc w:val="center"/>
              <w:ind w:left="190"/>
              <w:spacing w:after="0" w:line="202" w:lineRule="exact"/>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1</w:t>
              </w:r>
            </w:hyperlink>
          </w:p>
        </w:tc>
        <w:tc>
          <w:tcPr>
            <w:tcW w:w="280" w:type="dxa"/>
            <w:vAlign w:val="bottom"/>
            <w:shd w:val="clear" w:color="auto" w:fill="CCEEFF"/>
          </w:tcPr>
          <w:p>
            <w:pPr>
              <w:spacing w:after="0"/>
              <w:rPr>
                <w:sz w:val="17"/>
                <w:szCs w:val="17"/>
                <w:color w:val="auto"/>
              </w:rPr>
            </w:pPr>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7560" w:type="dxa"/>
            <w:vAlign w:val="bottom"/>
            <w:gridSpan w:val="23"/>
          </w:tcPr>
          <w:p>
            <w:pPr>
              <w:ind w:left="20"/>
              <w:spacing w:after="0" w:line="202" w:lineRule="exact"/>
              <w:rPr>
                <w:rFonts w:ascii="Times New Roman" w:cs="Times New Roman" w:eastAsia="Times New Roman" w:hAnsi="Times New Roman"/>
                <w:sz w:val="18"/>
                <w:szCs w:val="18"/>
                <w:color w:val="0000FF"/>
              </w:rPr>
            </w:pPr>
            <w:hyperlink w:anchor="page10">
              <w:r>
                <w:rPr>
                  <w:rFonts w:ascii="Times New Roman" w:cs="Times New Roman" w:eastAsia="Times New Roman" w:hAnsi="Times New Roman"/>
                  <w:sz w:val="18"/>
                  <w:szCs w:val="18"/>
                  <w:color w:val="0000FF"/>
                </w:rPr>
                <w:t>Risk Factors</w:t>
              </w:r>
            </w:hyperlink>
          </w:p>
        </w:tc>
        <w:tc>
          <w:tcPr>
            <w:tcW w:w="480" w:type="dxa"/>
            <w:vAlign w:val="bottom"/>
            <w:gridSpan w:val="2"/>
          </w:tcPr>
          <w:p>
            <w:pPr>
              <w:jc w:val="center"/>
              <w:ind w:left="190"/>
              <w:spacing w:after="0" w:line="202" w:lineRule="exact"/>
              <w:rPr>
                <w:rFonts w:ascii="Times New Roman" w:cs="Times New Roman" w:eastAsia="Times New Roman" w:hAnsi="Times New Roman"/>
                <w:sz w:val="18"/>
                <w:szCs w:val="18"/>
                <w:color w:val="0000FF"/>
                <w:w w:val="88"/>
              </w:rPr>
            </w:pPr>
            <w:hyperlink w:anchor="page10">
              <w:r>
                <w:rPr>
                  <w:rFonts w:ascii="Times New Roman" w:cs="Times New Roman" w:eastAsia="Times New Roman" w:hAnsi="Times New Roman"/>
                  <w:sz w:val="18"/>
                  <w:szCs w:val="18"/>
                  <w:color w:val="0000FF"/>
                  <w:w w:val="88"/>
                </w:rPr>
                <w:t>8</w:t>
              </w:r>
            </w:hyperlink>
          </w:p>
        </w:tc>
        <w:tc>
          <w:tcPr>
            <w:tcW w:w="280" w:type="dxa"/>
            <w:vAlign w:val="bottom"/>
          </w:tcPr>
          <w:p>
            <w:pPr>
              <w:spacing w:after="0"/>
              <w:rPr>
                <w:sz w:val="17"/>
                <w:szCs w:val="17"/>
                <w:color w:val="auto"/>
              </w:rPr>
            </w:pPr>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gridSpan w:val="11"/>
            <w:shd w:val="clear" w:color="auto" w:fill="CCEEFF"/>
          </w:tcPr>
          <w:p>
            <w:pPr>
              <w:ind w:left="20"/>
              <w:spacing w:after="0" w:line="202" w:lineRule="exact"/>
              <w:rPr>
                <w:rFonts w:ascii="Times New Roman" w:cs="Times New Roman" w:eastAsia="Times New Roman" w:hAnsi="Times New Roman"/>
                <w:sz w:val="18"/>
                <w:szCs w:val="18"/>
                <w:color w:val="0000FF"/>
                <w:w w:val="98"/>
              </w:rPr>
            </w:pPr>
            <w:hyperlink w:anchor="page14">
              <w:r>
                <w:rPr>
                  <w:rFonts w:ascii="Times New Roman" w:cs="Times New Roman" w:eastAsia="Times New Roman" w:hAnsi="Times New Roman"/>
                  <w:sz w:val="18"/>
                  <w:szCs w:val="18"/>
                  <w:color w:val="0000FF"/>
                  <w:w w:val="98"/>
                </w:rPr>
                <w:t>Unresolved Staff Comments</w:t>
              </w:r>
            </w:hyperlink>
          </w:p>
        </w:tc>
        <w:tc>
          <w:tcPr>
            <w:tcW w:w="5500" w:type="dxa"/>
            <w:vAlign w:val="bottom"/>
            <w:gridSpan w:val="12"/>
            <w:shd w:val="clear" w:color="auto" w:fill="CCEEFF"/>
          </w:tcPr>
          <w:p>
            <w:pPr>
              <w:spacing w:after="0"/>
              <w:rPr>
                <w:sz w:val="17"/>
                <w:szCs w:val="17"/>
                <w:color w:val="auto"/>
              </w:rPr>
            </w:pPr>
          </w:p>
        </w:tc>
        <w:tc>
          <w:tcPr>
            <w:tcW w:w="76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FF"/>
                <w:w w:val="99"/>
              </w:rPr>
            </w:pPr>
            <w:hyperlink w:anchor="page14">
              <w:r>
                <w:rPr>
                  <w:rFonts w:ascii="Times New Roman" w:cs="Times New Roman" w:eastAsia="Times New Roman" w:hAnsi="Times New Roman"/>
                  <w:sz w:val="18"/>
                  <w:szCs w:val="18"/>
                  <w:color w:val="0000FF"/>
                  <w:w w:val="99"/>
                </w:rPr>
                <w:t>12</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2060" w:type="dxa"/>
            <w:vAlign w:val="bottom"/>
            <w:gridSpan w:val="11"/>
          </w:tcPr>
          <w:p>
            <w:pPr>
              <w:ind w:left="20"/>
              <w:spacing w:after="0" w:line="202" w:lineRule="exact"/>
              <w:rPr>
                <w:rFonts w:ascii="Times New Roman" w:cs="Times New Roman" w:eastAsia="Times New Roman" w:hAnsi="Times New Roman"/>
                <w:sz w:val="18"/>
                <w:szCs w:val="18"/>
                <w:color w:val="0000FF"/>
              </w:rPr>
            </w:pPr>
            <w:hyperlink w:anchor="page15">
              <w:r>
                <w:rPr>
                  <w:rFonts w:ascii="Times New Roman" w:cs="Times New Roman" w:eastAsia="Times New Roman" w:hAnsi="Times New Roman"/>
                  <w:sz w:val="18"/>
                  <w:szCs w:val="18"/>
                  <w:color w:val="0000FF"/>
                </w:rPr>
                <w:t>Properties</w:t>
              </w:r>
            </w:hyperlink>
          </w:p>
        </w:tc>
        <w:tc>
          <w:tcPr>
            <w:tcW w:w="5500" w:type="dxa"/>
            <w:vAlign w:val="bottom"/>
            <w:gridSpan w:val="12"/>
          </w:tcPr>
          <w:p>
            <w:pPr>
              <w:spacing w:after="0"/>
              <w:rPr>
                <w:sz w:val="17"/>
                <w:szCs w:val="17"/>
                <w:color w:val="auto"/>
              </w:rPr>
            </w:pPr>
          </w:p>
        </w:tc>
        <w:tc>
          <w:tcPr>
            <w:tcW w:w="760" w:type="dxa"/>
            <w:vAlign w:val="bottom"/>
            <w:gridSpan w:val="3"/>
          </w:tcPr>
          <w:p>
            <w:pPr>
              <w:jc w:val="center"/>
              <w:spacing w:after="0" w:line="202" w:lineRule="exact"/>
              <w:rPr>
                <w:rFonts w:ascii="Times New Roman" w:cs="Times New Roman" w:eastAsia="Times New Roman" w:hAnsi="Times New Roman"/>
                <w:sz w:val="18"/>
                <w:szCs w:val="18"/>
                <w:color w:val="0000FF"/>
                <w:w w:val="99"/>
              </w:rPr>
            </w:pPr>
            <w:hyperlink w:anchor="page15">
              <w:r>
                <w:rPr>
                  <w:rFonts w:ascii="Times New Roman" w:cs="Times New Roman" w:eastAsia="Times New Roman" w:hAnsi="Times New Roman"/>
                  <w:sz w:val="18"/>
                  <w:szCs w:val="18"/>
                  <w:color w:val="0000FF"/>
                  <w:w w:val="99"/>
                </w:rPr>
                <w:t>13</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7560" w:type="dxa"/>
            <w:vAlign w:val="bottom"/>
            <w:gridSpan w:val="23"/>
            <w:shd w:val="clear" w:color="auto" w:fill="CCEEFF"/>
          </w:tcPr>
          <w:p>
            <w:pPr>
              <w:ind w:left="20"/>
              <w:spacing w:after="0" w:line="202" w:lineRule="exact"/>
              <w:rPr>
                <w:rFonts w:ascii="Times New Roman" w:cs="Times New Roman" w:eastAsia="Times New Roman" w:hAnsi="Times New Roman"/>
                <w:sz w:val="18"/>
                <w:szCs w:val="18"/>
                <w:color w:val="0000FF"/>
              </w:rPr>
            </w:pPr>
            <w:hyperlink w:anchor="page16">
              <w:r>
                <w:rPr>
                  <w:rFonts w:ascii="Times New Roman" w:cs="Times New Roman" w:eastAsia="Times New Roman" w:hAnsi="Times New Roman"/>
                  <w:sz w:val="18"/>
                  <w:szCs w:val="18"/>
                  <w:color w:val="0000FF"/>
                </w:rPr>
                <w:t>Legal Proceedings</w:t>
              </w:r>
            </w:hyperlink>
          </w:p>
        </w:tc>
        <w:tc>
          <w:tcPr>
            <w:tcW w:w="76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FF"/>
                <w:w w:val="99"/>
              </w:rPr>
            </w:pPr>
            <w:hyperlink w:anchor="page16">
              <w:r>
                <w:rPr>
                  <w:rFonts w:ascii="Times New Roman" w:cs="Times New Roman" w:eastAsia="Times New Roman" w:hAnsi="Times New Roman"/>
                  <w:sz w:val="18"/>
                  <w:szCs w:val="18"/>
                  <w:color w:val="0000FF"/>
                  <w:w w:val="99"/>
                </w:rPr>
                <w:t>14</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7560" w:type="dxa"/>
            <w:vAlign w:val="bottom"/>
            <w:gridSpan w:val="23"/>
          </w:tcPr>
          <w:p>
            <w:pPr>
              <w:ind w:left="20"/>
              <w:spacing w:after="0" w:line="202" w:lineRule="exact"/>
              <w:rPr>
                <w:rFonts w:ascii="Times New Roman" w:cs="Times New Roman" w:eastAsia="Times New Roman" w:hAnsi="Times New Roman"/>
                <w:sz w:val="18"/>
                <w:szCs w:val="18"/>
                <w:color w:val="0000FF"/>
              </w:rPr>
            </w:pPr>
            <w:hyperlink w:anchor="page16">
              <w:r>
                <w:rPr>
                  <w:rFonts w:ascii="Times New Roman" w:cs="Times New Roman" w:eastAsia="Times New Roman" w:hAnsi="Times New Roman"/>
                  <w:sz w:val="18"/>
                  <w:szCs w:val="18"/>
                  <w:color w:val="0000FF"/>
                </w:rPr>
                <w:t>Mine Safety Disclosures</w:t>
              </w:r>
            </w:hyperlink>
          </w:p>
        </w:tc>
        <w:tc>
          <w:tcPr>
            <w:tcW w:w="760" w:type="dxa"/>
            <w:vAlign w:val="bottom"/>
            <w:gridSpan w:val="3"/>
          </w:tcPr>
          <w:p>
            <w:pPr>
              <w:jc w:val="center"/>
              <w:spacing w:after="0" w:line="202" w:lineRule="exact"/>
              <w:rPr>
                <w:rFonts w:ascii="Times New Roman" w:cs="Times New Roman" w:eastAsia="Times New Roman" w:hAnsi="Times New Roman"/>
                <w:sz w:val="18"/>
                <w:szCs w:val="18"/>
                <w:color w:val="0000FF"/>
                <w:w w:val="99"/>
              </w:rPr>
            </w:pPr>
            <w:hyperlink w:anchor="page16">
              <w:r>
                <w:rPr>
                  <w:rFonts w:ascii="Times New Roman" w:cs="Times New Roman" w:eastAsia="Times New Roman" w:hAnsi="Times New Roman"/>
                  <w:sz w:val="18"/>
                  <w:szCs w:val="18"/>
                  <w:color w:val="0000FF"/>
                  <w:w w:val="99"/>
                </w:rPr>
                <w:t>14</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97"/>
        </w:trPr>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4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
        </w:trPr>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1380" w:type="dxa"/>
            <w:vAlign w:val="bottom"/>
            <w:tcBorders>
              <w:bottom w:val="single" w:sz="8" w:color="CCEEFF"/>
            </w:tcBorders>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7320" w:type="dxa"/>
            <w:vAlign w:val="bottom"/>
            <w:tcBorders>
              <w:bottom w:val="single" w:sz="8" w:color="0000FF"/>
            </w:tcBorders>
            <w:gridSpan w:val="22"/>
            <w:shd w:val="clear" w:color="auto" w:fill="CCEEFF"/>
          </w:tcPr>
          <w:p>
            <w:pPr>
              <w:ind w:left="20"/>
              <w:spacing w:after="0" w:line="202" w:lineRule="exact"/>
              <w:rPr>
                <w:rFonts w:ascii="Times New Roman" w:cs="Times New Roman" w:eastAsia="Times New Roman" w:hAnsi="Times New Roman"/>
                <w:sz w:val="18"/>
                <w:szCs w:val="18"/>
                <w:color w:val="0000FF"/>
                <w:w w:val="99"/>
              </w:rPr>
            </w:pPr>
            <w:hyperlink w:anchor="page16">
              <w:r>
                <w:rPr>
                  <w:rFonts w:ascii="Times New Roman" w:cs="Times New Roman" w:eastAsia="Times New Roman" w:hAnsi="Times New Roman"/>
                  <w:sz w:val="18"/>
                  <w:szCs w:val="18"/>
                  <w:color w:val="0000FF"/>
                  <w:w w:val="99"/>
                </w:rPr>
                <w:t>Market for Registrant's Common Equity, Related Stockholder Matters and Issuer Purchases of Equity</w:t>
              </w:r>
            </w:hyperlink>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r>
      <w:tr>
        <w:trPr>
          <w:trHeight w:val="196"/>
        </w:trPr>
        <w:tc>
          <w:tcPr>
            <w:tcW w:w="13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0"/>
              <w:spacing w:after="0" w:line="196" w:lineRule="exact"/>
              <w:rPr>
                <w:rFonts w:ascii="Times New Roman" w:cs="Times New Roman" w:eastAsia="Times New Roman" w:hAnsi="Times New Roman"/>
                <w:sz w:val="18"/>
                <w:szCs w:val="18"/>
                <w:color w:val="0000FF"/>
                <w:w w:val="95"/>
              </w:rPr>
            </w:pPr>
            <w:hyperlink w:anchor="page16">
              <w:r>
                <w:rPr>
                  <w:rFonts w:ascii="Times New Roman" w:cs="Times New Roman" w:eastAsia="Times New Roman" w:hAnsi="Times New Roman"/>
                  <w:sz w:val="18"/>
                  <w:szCs w:val="18"/>
                  <w:color w:val="0000FF"/>
                  <w:w w:val="95"/>
                </w:rPr>
                <w:t>Securities</w:t>
              </w:r>
            </w:hyperlink>
          </w:p>
        </w:tc>
        <w:tc>
          <w:tcPr>
            <w:tcW w:w="6840" w:type="dxa"/>
            <w:vAlign w:val="bottom"/>
            <w:gridSpan w:val="21"/>
            <w:shd w:val="clear" w:color="auto" w:fill="CCEEFF"/>
          </w:tcPr>
          <w:p>
            <w:pPr>
              <w:spacing w:after="0"/>
              <w:rPr>
                <w:sz w:val="17"/>
                <w:szCs w:val="17"/>
                <w:color w:val="auto"/>
              </w:rPr>
            </w:pPr>
          </w:p>
        </w:tc>
        <w:tc>
          <w:tcPr>
            <w:tcW w:w="760" w:type="dxa"/>
            <w:vAlign w:val="bottom"/>
            <w:gridSpan w:val="3"/>
            <w:shd w:val="clear" w:color="auto" w:fill="CCEEFF"/>
          </w:tcPr>
          <w:p>
            <w:pPr>
              <w:jc w:val="center"/>
              <w:spacing w:after="0" w:line="196" w:lineRule="exact"/>
              <w:rPr>
                <w:rFonts w:ascii="Times New Roman" w:cs="Times New Roman" w:eastAsia="Times New Roman" w:hAnsi="Times New Roman"/>
                <w:sz w:val="18"/>
                <w:szCs w:val="18"/>
                <w:color w:val="0000FF"/>
                <w:w w:val="99"/>
              </w:rPr>
            </w:pPr>
            <w:hyperlink w:anchor="page16">
              <w:r>
                <w:rPr>
                  <w:rFonts w:ascii="Times New Roman" w:cs="Times New Roman" w:eastAsia="Times New Roman" w:hAnsi="Times New Roman"/>
                  <w:sz w:val="18"/>
                  <w:szCs w:val="18"/>
                  <w:color w:val="0000FF"/>
                  <w:w w:val="99"/>
                </w:rPr>
                <w:t>14</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7560" w:type="dxa"/>
            <w:vAlign w:val="bottom"/>
            <w:gridSpan w:val="23"/>
          </w:tcPr>
          <w:p>
            <w:pPr>
              <w:ind w:left="20"/>
              <w:spacing w:after="0" w:line="202" w:lineRule="exact"/>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Selected Financial Data</w:t>
              </w:r>
            </w:hyperlink>
          </w:p>
        </w:tc>
        <w:tc>
          <w:tcPr>
            <w:tcW w:w="760" w:type="dxa"/>
            <w:vAlign w:val="bottom"/>
            <w:gridSpan w:val="3"/>
          </w:tcPr>
          <w:p>
            <w:pPr>
              <w:jc w:val="center"/>
              <w:spacing w:after="0" w:line="202" w:lineRule="exact"/>
              <w:rPr>
                <w:rFonts w:ascii="Times New Roman" w:cs="Times New Roman" w:eastAsia="Times New Roman" w:hAnsi="Times New Roman"/>
                <w:sz w:val="18"/>
                <w:szCs w:val="18"/>
                <w:color w:val="0000FF"/>
                <w:w w:val="99"/>
              </w:rPr>
            </w:pPr>
            <w:hyperlink w:anchor="page18">
              <w:r>
                <w:rPr>
                  <w:rFonts w:ascii="Times New Roman" w:cs="Times New Roman" w:eastAsia="Times New Roman" w:hAnsi="Times New Roman"/>
                  <w:sz w:val="18"/>
                  <w:szCs w:val="18"/>
                  <w:color w:val="0000FF"/>
                  <w:w w:val="99"/>
                </w:rPr>
                <w:t>16</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19"/>
            <w:shd w:val="clear" w:color="auto" w:fill="CCEEFF"/>
          </w:tcPr>
          <w:p>
            <w:pPr>
              <w:ind w:left="20"/>
              <w:spacing w:after="0" w:line="202" w:lineRule="exact"/>
              <w:rPr>
                <w:rFonts w:ascii="Times New Roman" w:cs="Times New Roman" w:eastAsia="Times New Roman" w:hAnsi="Times New Roman"/>
                <w:sz w:val="18"/>
                <w:szCs w:val="18"/>
                <w:color w:val="0000FF"/>
                <w:w w:val="99"/>
              </w:rPr>
            </w:pPr>
            <w:hyperlink w:anchor="page18">
              <w:r>
                <w:rPr>
                  <w:rFonts w:ascii="Times New Roman" w:cs="Times New Roman" w:eastAsia="Times New Roman" w:hAnsi="Times New Roman"/>
                  <w:sz w:val="18"/>
                  <w:szCs w:val="18"/>
                  <w:color w:val="0000FF"/>
                  <w:w w:val="99"/>
                </w:rPr>
                <w:t>Management's Discussion and Analysis of Financial Condition and Results of Operations</w:t>
              </w:r>
            </w:hyperlink>
          </w:p>
        </w:tc>
        <w:tc>
          <w:tcPr>
            <w:tcW w:w="1100" w:type="dxa"/>
            <w:vAlign w:val="bottom"/>
            <w:gridSpan w:val="4"/>
            <w:shd w:val="clear" w:color="auto" w:fill="CCEEFF"/>
          </w:tcPr>
          <w:p>
            <w:pPr>
              <w:spacing w:after="0"/>
              <w:rPr>
                <w:sz w:val="17"/>
                <w:szCs w:val="17"/>
                <w:color w:val="auto"/>
              </w:rPr>
            </w:pPr>
          </w:p>
        </w:tc>
        <w:tc>
          <w:tcPr>
            <w:tcW w:w="76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FF"/>
                <w:w w:val="99"/>
              </w:rPr>
            </w:pPr>
            <w:hyperlink w:anchor="page18">
              <w:r>
                <w:rPr>
                  <w:rFonts w:ascii="Times New Roman" w:cs="Times New Roman" w:eastAsia="Times New Roman" w:hAnsi="Times New Roman"/>
                  <w:sz w:val="18"/>
                  <w:szCs w:val="18"/>
                  <w:color w:val="0000FF"/>
                  <w:w w:val="99"/>
                </w:rPr>
                <w:t>16</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gridSpan w:val="19"/>
          </w:tcPr>
          <w:p>
            <w:pPr>
              <w:ind w:left="20"/>
              <w:spacing w:after="0" w:line="202" w:lineRule="exact"/>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Quantitative and Qualitative Disclosures about Market Risk</w:t>
              </w:r>
            </w:hyperlink>
          </w:p>
        </w:tc>
        <w:tc>
          <w:tcPr>
            <w:tcW w:w="1100" w:type="dxa"/>
            <w:vAlign w:val="bottom"/>
            <w:gridSpan w:val="4"/>
          </w:tcPr>
          <w:p>
            <w:pPr>
              <w:spacing w:after="0"/>
              <w:rPr>
                <w:sz w:val="17"/>
                <w:szCs w:val="17"/>
                <w:color w:val="auto"/>
              </w:rPr>
            </w:pPr>
          </w:p>
        </w:tc>
        <w:tc>
          <w:tcPr>
            <w:tcW w:w="760" w:type="dxa"/>
            <w:vAlign w:val="bottom"/>
            <w:gridSpan w:val="3"/>
          </w:tcPr>
          <w:p>
            <w:pPr>
              <w:jc w:val="center"/>
              <w:spacing w:after="0" w:line="202" w:lineRule="exact"/>
              <w:rPr>
                <w:rFonts w:ascii="Times New Roman" w:cs="Times New Roman" w:eastAsia="Times New Roman" w:hAnsi="Times New Roman"/>
                <w:sz w:val="18"/>
                <w:szCs w:val="18"/>
                <w:color w:val="0000FF"/>
                <w:w w:val="99"/>
              </w:rPr>
            </w:pPr>
            <w:hyperlink w:anchor="page32">
              <w:r>
                <w:rPr>
                  <w:rFonts w:ascii="Times New Roman" w:cs="Times New Roman" w:eastAsia="Times New Roman" w:hAnsi="Times New Roman"/>
                  <w:sz w:val="18"/>
                  <w:szCs w:val="18"/>
                  <w:color w:val="0000FF"/>
                  <w:w w:val="99"/>
                </w:rPr>
                <w:t>30</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gridSpan w:val="14"/>
            <w:shd w:val="clear" w:color="auto" w:fill="CCEEFF"/>
          </w:tcPr>
          <w:p>
            <w:pPr>
              <w:ind w:left="20"/>
              <w:spacing w:after="0" w:line="202" w:lineRule="exact"/>
              <w:rPr>
                <w:rFonts w:ascii="Times New Roman" w:cs="Times New Roman" w:eastAsia="Times New Roman" w:hAnsi="Times New Roman"/>
                <w:sz w:val="18"/>
                <w:szCs w:val="18"/>
                <w:color w:val="0000FF"/>
                <w:w w:val="99"/>
              </w:rPr>
            </w:pPr>
            <w:hyperlink w:anchor="page33">
              <w:r>
                <w:rPr>
                  <w:rFonts w:ascii="Times New Roman" w:cs="Times New Roman" w:eastAsia="Times New Roman" w:hAnsi="Times New Roman"/>
                  <w:sz w:val="18"/>
                  <w:szCs w:val="18"/>
                  <w:color w:val="0000FF"/>
                  <w:w w:val="99"/>
                </w:rPr>
                <w:t>Financial Statements and Supplementary Data</w:t>
              </w:r>
            </w:hyperlink>
          </w:p>
        </w:tc>
        <w:tc>
          <w:tcPr>
            <w:tcW w:w="4220" w:type="dxa"/>
            <w:vAlign w:val="bottom"/>
            <w:gridSpan w:val="9"/>
            <w:shd w:val="clear" w:color="auto" w:fill="CCEEFF"/>
          </w:tcPr>
          <w:p>
            <w:pPr>
              <w:spacing w:after="0"/>
              <w:rPr>
                <w:sz w:val="17"/>
                <w:szCs w:val="17"/>
                <w:color w:val="auto"/>
              </w:rPr>
            </w:pPr>
          </w:p>
        </w:tc>
        <w:tc>
          <w:tcPr>
            <w:tcW w:w="76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FF"/>
                <w:w w:val="99"/>
              </w:rPr>
            </w:pPr>
            <w:hyperlink w:anchor="page33">
              <w:r>
                <w:rPr>
                  <w:rFonts w:ascii="Times New Roman" w:cs="Times New Roman" w:eastAsia="Times New Roman" w:hAnsi="Times New Roman"/>
                  <w:sz w:val="18"/>
                  <w:szCs w:val="18"/>
                  <w:color w:val="0000FF"/>
                  <w:w w:val="99"/>
                </w:rPr>
                <w:t>31</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9.</w:t>
            </w:r>
          </w:p>
        </w:tc>
        <w:tc>
          <w:tcPr>
            <w:tcW w:w="7560" w:type="dxa"/>
            <w:vAlign w:val="bottom"/>
            <w:gridSpan w:val="23"/>
          </w:tcPr>
          <w:p>
            <w:pPr>
              <w:ind w:left="20"/>
              <w:spacing w:after="0" w:line="202" w:lineRule="exact"/>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Changes in and Disagreements With Accountants on Accounting and Financial Disclosure</w:t>
              </w:r>
            </w:hyperlink>
          </w:p>
        </w:tc>
        <w:tc>
          <w:tcPr>
            <w:tcW w:w="760" w:type="dxa"/>
            <w:vAlign w:val="bottom"/>
            <w:gridSpan w:val="3"/>
          </w:tcPr>
          <w:p>
            <w:pPr>
              <w:jc w:val="center"/>
              <w:spacing w:after="0" w:line="202" w:lineRule="exact"/>
              <w:rPr>
                <w:rFonts w:ascii="Times New Roman" w:cs="Times New Roman" w:eastAsia="Times New Roman" w:hAnsi="Times New Roman"/>
                <w:sz w:val="18"/>
                <w:szCs w:val="18"/>
                <w:color w:val="0000FF"/>
                <w:w w:val="99"/>
              </w:rPr>
            </w:pPr>
            <w:hyperlink w:anchor="page93">
              <w:r>
                <w:rPr>
                  <w:rFonts w:ascii="Times New Roman" w:cs="Times New Roman" w:eastAsia="Times New Roman" w:hAnsi="Times New Roman"/>
                  <w:sz w:val="18"/>
                  <w:szCs w:val="18"/>
                  <w:color w:val="0000FF"/>
                  <w:w w:val="99"/>
                </w:rPr>
                <w:t>90</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9"/>
            <w:shd w:val="clear" w:color="auto" w:fill="CCEEFF"/>
          </w:tcPr>
          <w:p>
            <w:pPr>
              <w:ind w:left="20"/>
              <w:spacing w:after="0" w:line="202" w:lineRule="exact"/>
              <w:rPr>
                <w:rFonts w:ascii="Times New Roman" w:cs="Times New Roman" w:eastAsia="Times New Roman" w:hAnsi="Times New Roman"/>
                <w:sz w:val="18"/>
                <w:szCs w:val="18"/>
                <w:color w:val="0000FF"/>
                <w:w w:val="98"/>
              </w:rPr>
            </w:pPr>
            <w:hyperlink w:anchor="page93">
              <w:r>
                <w:rPr>
                  <w:rFonts w:ascii="Times New Roman" w:cs="Times New Roman" w:eastAsia="Times New Roman" w:hAnsi="Times New Roman"/>
                  <w:sz w:val="18"/>
                  <w:szCs w:val="18"/>
                  <w:color w:val="0000FF"/>
                  <w:w w:val="98"/>
                </w:rPr>
                <w:t>Controls and Procedures</w:t>
              </w:r>
            </w:hyperlink>
          </w:p>
        </w:tc>
        <w:tc>
          <w:tcPr>
            <w:tcW w:w="5780" w:type="dxa"/>
            <w:vAlign w:val="bottom"/>
            <w:gridSpan w:val="14"/>
            <w:shd w:val="clear" w:color="auto" w:fill="CCEEFF"/>
          </w:tcPr>
          <w:p>
            <w:pPr>
              <w:spacing w:after="0"/>
              <w:rPr>
                <w:sz w:val="17"/>
                <w:szCs w:val="17"/>
                <w:color w:val="auto"/>
              </w:rPr>
            </w:pPr>
          </w:p>
        </w:tc>
        <w:tc>
          <w:tcPr>
            <w:tcW w:w="76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FF"/>
                <w:w w:val="99"/>
              </w:rPr>
            </w:pPr>
            <w:hyperlink w:anchor="page93">
              <w:r>
                <w:rPr>
                  <w:rFonts w:ascii="Times New Roman" w:cs="Times New Roman" w:eastAsia="Times New Roman" w:hAnsi="Times New Roman"/>
                  <w:sz w:val="18"/>
                  <w:szCs w:val="18"/>
                  <w:color w:val="0000FF"/>
                  <w:w w:val="99"/>
                </w:rPr>
                <w:t>90</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9B.</w:t>
            </w:r>
          </w:p>
        </w:tc>
        <w:tc>
          <w:tcPr>
            <w:tcW w:w="1780" w:type="dxa"/>
            <w:vAlign w:val="bottom"/>
            <w:gridSpan w:val="9"/>
          </w:tcPr>
          <w:p>
            <w:pPr>
              <w:ind w:left="20"/>
              <w:spacing w:after="0" w:line="202" w:lineRule="exact"/>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Other Information</w:t>
              </w:r>
            </w:hyperlink>
          </w:p>
        </w:tc>
        <w:tc>
          <w:tcPr>
            <w:tcW w:w="5780" w:type="dxa"/>
            <w:vAlign w:val="bottom"/>
            <w:gridSpan w:val="14"/>
          </w:tcPr>
          <w:p>
            <w:pPr>
              <w:spacing w:after="0"/>
              <w:rPr>
                <w:sz w:val="17"/>
                <w:szCs w:val="17"/>
                <w:color w:val="auto"/>
              </w:rPr>
            </w:pPr>
          </w:p>
        </w:tc>
        <w:tc>
          <w:tcPr>
            <w:tcW w:w="760" w:type="dxa"/>
            <w:vAlign w:val="bottom"/>
            <w:gridSpan w:val="3"/>
          </w:tcPr>
          <w:p>
            <w:pPr>
              <w:jc w:val="center"/>
              <w:spacing w:after="0" w:line="202" w:lineRule="exact"/>
              <w:rPr>
                <w:rFonts w:ascii="Times New Roman" w:cs="Times New Roman" w:eastAsia="Times New Roman" w:hAnsi="Times New Roman"/>
                <w:sz w:val="18"/>
                <w:szCs w:val="18"/>
                <w:color w:val="0000FF"/>
                <w:w w:val="99"/>
              </w:rPr>
            </w:pPr>
            <w:hyperlink w:anchor="page93">
              <w:r>
                <w:rPr>
                  <w:rFonts w:ascii="Times New Roman" w:cs="Times New Roman" w:eastAsia="Times New Roman" w:hAnsi="Times New Roman"/>
                  <w:sz w:val="18"/>
                  <w:szCs w:val="18"/>
                  <w:color w:val="0000FF"/>
                  <w:w w:val="99"/>
                </w:rPr>
                <w:t>90</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324"/>
        </w:trPr>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4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
        </w:trPr>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7560" w:type="dxa"/>
            <w:vAlign w:val="bottom"/>
            <w:gridSpan w:val="23"/>
            <w:shd w:val="clear" w:color="auto" w:fill="CCEEFF"/>
          </w:tcPr>
          <w:p>
            <w:pPr>
              <w:ind w:left="20"/>
              <w:spacing w:after="0" w:line="202" w:lineRule="exact"/>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Directors, Executive Officers and Corporate Governance</w:t>
              </w:r>
            </w:hyperlink>
          </w:p>
        </w:tc>
        <w:tc>
          <w:tcPr>
            <w:tcW w:w="76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FF"/>
                <w:w w:val="99"/>
              </w:rPr>
            </w:pPr>
            <w:hyperlink w:anchor="page93">
              <w:r>
                <w:rPr>
                  <w:rFonts w:ascii="Times New Roman" w:cs="Times New Roman" w:eastAsia="Times New Roman" w:hAnsi="Times New Roman"/>
                  <w:sz w:val="18"/>
                  <w:szCs w:val="18"/>
                  <w:color w:val="0000FF"/>
                  <w:w w:val="99"/>
                </w:rPr>
                <w:t>90</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5"/>
          </w:tcPr>
          <w:p>
            <w:pPr>
              <w:ind w:left="20"/>
              <w:spacing w:after="0" w:line="202" w:lineRule="exact"/>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Executive Compensation</w:t>
              </w:r>
            </w:hyperlink>
          </w:p>
        </w:tc>
        <w:tc>
          <w:tcPr>
            <w:tcW w:w="3460" w:type="dxa"/>
            <w:vAlign w:val="bottom"/>
            <w:gridSpan w:val="8"/>
          </w:tcPr>
          <w:p>
            <w:pPr>
              <w:spacing w:after="0"/>
              <w:rPr>
                <w:sz w:val="17"/>
                <w:szCs w:val="17"/>
                <w:color w:val="auto"/>
              </w:rPr>
            </w:pPr>
          </w:p>
        </w:tc>
        <w:tc>
          <w:tcPr>
            <w:tcW w:w="760" w:type="dxa"/>
            <w:vAlign w:val="bottom"/>
            <w:gridSpan w:val="3"/>
          </w:tcPr>
          <w:p>
            <w:pPr>
              <w:jc w:val="center"/>
              <w:spacing w:after="0" w:line="202" w:lineRule="exact"/>
              <w:rPr>
                <w:rFonts w:ascii="Times New Roman" w:cs="Times New Roman" w:eastAsia="Times New Roman" w:hAnsi="Times New Roman"/>
                <w:sz w:val="18"/>
                <w:szCs w:val="18"/>
                <w:color w:val="0000FF"/>
                <w:w w:val="99"/>
              </w:rPr>
            </w:pPr>
            <w:hyperlink w:anchor="page94">
              <w:r>
                <w:rPr>
                  <w:rFonts w:ascii="Times New Roman" w:cs="Times New Roman" w:eastAsia="Times New Roman" w:hAnsi="Times New Roman"/>
                  <w:sz w:val="18"/>
                  <w:szCs w:val="18"/>
                  <w:color w:val="0000FF"/>
                  <w:w w:val="99"/>
                </w:rPr>
                <w:t>91</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12.</w:t>
            </w:r>
          </w:p>
        </w:tc>
        <w:tc>
          <w:tcPr>
            <w:tcW w:w="7560" w:type="dxa"/>
            <w:vAlign w:val="bottom"/>
            <w:gridSpan w:val="23"/>
            <w:shd w:val="clear" w:color="auto" w:fill="CCEEFF"/>
          </w:tcPr>
          <w:p>
            <w:pPr>
              <w:ind w:left="20"/>
              <w:spacing w:after="0" w:line="202" w:lineRule="exact"/>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Security Ownership of Certain Beneficial Owners and Management and Related Stockholder Matters</w:t>
              </w:r>
            </w:hyperlink>
          </w:p>
        </w:tc>
        <w:tc>
          <w:tcPr>
            <w:tcW w:w="76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FF"/>
                <w:w w:val="99"/>
              </w:rPr>
            </w:pPr>
            <w:hyperlink w:anchor="page94">
              <w:r>
                <w:rPr>
                  <w:rFonts w:ascii="Times New Roman" w:cs="Times New Roman" w:eastAsia="Times New Roman" w:hAnsi="Times New Roman"/>
                  <w:sz w:val="18"/>
                  <w:szCs w:val="18"/>
                  <w:color w:val="0000FF"/>
                  <w:w w:val="99"/>
                </w:rPr>
                <w:t>91</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13.</w:t>
            </w:r>
          </w:p>
        </w:tc>
        <w:tc>
          <w:tcPr>
            <w:tcW w:w="7300" w:type="dxa"/>
            <w:vAlign w:val="bottom"/>
            <w:gridSpan w:val="21"/>
          </w:tcPr>
          <w:p>
            <w:pPr>
              <w:ind w:left="20"/>
              <w:spacing w:after="0" w:line="202" w:lineRule="exact"/>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Certain Relationships and Related Transactions, and Director Independence</w:t>
              </w:r>
            </w:hyperlink>
          </w:p>
        </w:tc>
        <w:tc>
          <w:tcPr>
            <w:tcW w:w="260" w:type="dxa"/>
            <w:vAlign w:val="bottom"/>
            <w:gridSpan w:val="2"/>
          </w:tcPr>
          <w:p>
            <w:pPr>
              <w:spacing w:after="0"/>
              <w:rPr>
                <w:sz w:val="17"/>
                <w:szCs w:val="17"/>
                <w:color w:val="auto"/>
              </w:rPr>
            </w:pPr>
          </w:p>
        </w:tc>
        <w:tc>
          <w:tcPr>
            <w:tcW w:w="760" w:type="dxa"/>
            <w:vAlign w:val="bottom"/>
            <w:gridSpan w:val="3"/>
          </w:tcPr>
          <w:p>
            <w:pPr>
              <w:jc w:val="center"/>
              <w:spacing w:after="0" w:line="202" w:lineRule="exact"/>
              <w:rPr>
                <w:rFonts w:ascii="Times New Roman" w:cs="Times New Roman" w:eastAsia="Times New Roman" w:hAnsi="Times New Roman"/>
                <w:sz w:val="18"/>
                <w:szCs w:val="18"/>
                <w:color w:val="0000FF"/>
                <w:w w:val="99"/>
              </w:rPr>
            </w:pPr>
            <w:hyperlink w:anchor="page94">
              <w:r>
                <w:rPr>
                  <w:rFonts w:ascii="Times New Roman" w:cs="Times New Roman" w:eastAsia="Times New Roman" w:hAnsi="Times New Roman"/>
                  <w:sz w:val="18"/>
                  <w:szCs w:val="18"/>
                  <w:color w:val="0000FF"/>
                  <w:w w:val="99"/>
                </w:rPr>
                <w:t>91</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50"/>
        </w:trPr>
        <w:tc>
          <w:tcPr>
            <w:tcW w:w="13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14.</w:t>
            </w:r>
          </w:p>
        </w:tc>
        <w:tc>
          <w:tcPr>
            <w:tcW w:w="7560" w:type="dxa"/>
            <w:vAlign w:val="bottom"/>
            <w:gridSpan w:val="23"/>
            <w:shd w:val="clear" w:color="auto" w:fill="CCEEFF"/>
          </w:tcPr>
          <w:p>
            <w:pPr>
              <w:ind w:left="20"/>
              <w:spacing w:after="0" w:line="202" w:lineRule="exact"/>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Principal Accounting Fees and Services</w:t>
              </w:r>
            </w:hyperlink>
          </w:p>
        </w:tc>
        <w:tc>
          <w:tcPr>
            <w:tcW w:w="76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FF"/>
                <w:w w:val="99"/>
              </w:rPr>
            </w:pPr>
            <w:hyperlink w:anchor="page94">
              <w:r>
                <w:rPr>
                  <w:rFonts w:ascii="Times New Roman" w:cs="Times New Roman" w:eastAsia="Times New Roman" w:hAnsi="Times New Roman"/>
                  <w:sz w:val="18"/>
                  <w:szCs w:val="18"/>
                  <w:color w:val="0000FF"/>
                  <w:w w:val="99"/>
                </w:rPr>
                <w:t>91</w:t>
              </w:r>
            </w:hyperlink>
          </w:p>
        </w:tc>
      </w:tr>
      <w:tr>
        <w:trPr>
          <w:trHeight w:val="338"/>
        </w:trPr>
        <w:tc>
          <w:tcPr>
            <w:tcW w:w="1380" w:type="dxa"/>
            <w:vAlign w:val="bottom"/>
            <w:tcBorders>
              <w:top w:val="single" w:sz="8" w:color="CCEE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r>
      <w:tr>
        <w:trPr>
          <w:trHeight w:val="250"/>
        </w:trPr>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r>
      <w:tr>
        <w:trPr>
          <w:trHeight w:val="203"/>
        </w:trPr>
        <w:tc>
          <w:tcPr>
            <w:tcW w:w="13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7560" w:type="dxa"/>
            <w:vAlign w:val="bottom"/>
            <w:gridSpan w:val="23"/>
          </w:tcPr>
          <w:p>
            <w:pPr>
              <w:ind w:left="20"/>
              <w:spacing w:after="0" w:line="202" w:lineRule="exact"/>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Exhibits and Financial Statement Schedules</w:t>
              </w:r>
            </w:hyperlink>
          </w:p>
        </w:tc>
        <w:tc>
          <w:tcPr>
            <w:tcW w:w="760" w:type="dxa"/>
            <w:vAlign w:val="bottom"/>
            <w:gridSpan w:val="3"/>
          </w:tcPr>
          <w:p>
            <w:pPr>
              <w:jc w:val="center"/>
              <w:spacing w:after="0" w:line="202" w:lineRule="exact"/>
              <w:rPr>
                <w:rFonts w:ascii="Times New Roman" w:cs="Times New Roman" w:eastAsia="Times New Roman" w:hAnsi="Times New Roman"/>
                <w:sz w:val="18"/>
                <w:szCs w:val="18"/>
                <w:color w:val="0000FF"/>
                <w:w w:val="99"/>
              </w:rPr>
            </w:pPr>
            <w:hyperlink w:anchor="page94">
              <w:r>
                <w:rPr>
                  <w:rFonts w:ascii="Times New Roman" w:cs="Times New Roman" w:eastAsia="Times New Roman" w:hAnsi="Times New Roman"/>
                  <w:sz w:val="18"/>
                  <w:szCs w:val="18"/>
                  <w:color w:val="0000FF"/>
                  <w:w w:val="99"/>
                </w:rPr>
                <w:t>91</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324"/>
        </w:trPr>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560" w:type="dxa"/>
            <w:vAlign w:val="bottom"/>
            <w:gridSpan w:val="23"/>
          </w:tcPr>
          <w:p>
            <w:pPr>
              <w:ind w:left="20"/>
              <w:spacing w:after="0" w:line="202" w:lineRule="exact"/>
              <w:rPr>
                <w:rFonts w:ascii="Times New Roman" w:cs="Times New Roman" w:eastAsia="Times New Roman" w:hAnsi="Times New Roman"/>
                <w:sz w:val="18"/>
                <w:szCs w:val="18"/>
                <w:color w:val="0000FF"/>
              </w:rPr>
            </w:pPr>
            <w:hyperlink w:anchor="page95">
              <w:r>
                <w:rPr>
                  <w:rFonts w:ascii="Times New Roman" w:cs="Times New Roman" w:eastAsia="Times New Roman" w:hAnsi="Times New Roman"/>
                  <w:sz w:val="18"/>
                  <w:szCs w:val="18"/>
                  <w:color w:val="0000FF"/>
                </w:rPr>
                <w:t>SIGNATURES</w:t>
              </w:r>
            </w:hyperlink>
          </w:p>
        </w:tc>
        <w:tc>
          <w:tcPr>
            <w:tcW w:w="760" w:type="dxa"/>
            <w:vAlign w:val="bottom"/>
            <w:gridSpan w:val="3"/>
          </w:tcPr>
          <w:p>
            <w:pPr>
              <w:jc w:val="center"/>
              <w:spacing w:after="0" w:line="202" w:lineRule="exact"/>
              <w:rPr>
                <w:rFonts w:ascii="Times New Roman" w:cs="Times New Roman" w:eastAsia="Times New Roman" w:hAnsi="Times New Roman"/>
                <w:sz w:val="18"/>
                <w:szCs w:val="18"/>
                <w:color w:val="0000FF"/>
                <w:w w:val="99"/>
              </w:rPr>
            </w:pPr>
            <w:hyperlink w:anchor="page95">
              <w:r>
                <w:rPr>
                  <w:rFonts w:ascii="Times New Roman" w:cs="Times New Roman" w:eastAsia="Times New Roman" w:hAnsi="Times New Roman"/>
                  <w:sz w:val="18"/>
                  <w:szCs w:val="18"/>
                  <w:color w:val="0000FF"/>
                  <w:w w:val="99"/>
                </w:rPr>
                <w:t>92</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1380" w:type="dxa"/>
            <w:vAlign w:val="bottom"/>
            <w:shd w:val="clear" w:color="auto" w:fill="CCEEFF"/>
          </w:tcPr>
          <w:p>
            <w:pPr>
              <w:spacing w:after="0"/>
              <w:rPr>
                <w:sz w:val="17"/>
                <w:szCs w:val="17"/>
                <w:color w:val="auto"/>
              </w:rPr>
            </w:pPr>
          </w:p>
        </w:tc>
        <w:tc>
          <w:tcPr>
            <w:tcW w:w="6260" w:type="dxa"/>
            <w:vAlign w:val="bottom"/>
            <w:gridSpan w:val="18"/>
            <w:shd w:val="clear" w:color="auto" w:fill="CCEEFF"/>
          </w:tcPr>
          <w:p>
            <w:pPr>
              <w:ind w:left="20"/>
              <w:spacing w:after="0" w:line="202" w:lineRule="exact"/>
              <w:rPr>
                <w:rFonts w:ascii="Times New Roman" w:cs="Times New Roman" w:eastAsia="Times New Roman" w:hAnsi="Times New Roman"/>
                <w:sz w:val="18"/>
                <w:szCs w:val="18"/>
                <w:color w:val="0000FF"/>
                <w:w w:val="98"/>
              </w:rPr>
            </w:pPr>
            <w:hyperlink w:anchor="page97">
              <w:r>
                <w:rPr>
                  <w:rFonts w:ascii="Times New Roman" w:cs="Times New Roman" w:eastAsia="Times New Roman" w:hAnsi="Times New Roman"/>
                  <w:sz w:val="18"/>
                  <w:szCs w:val="18"/>
                  <w:color w:val="0000FF"/>
                  <w:w w:val="98"/>
                </w:rPr>
                <w:t>SCHEDULE II - VALUATION AND QUALIFYING ACCOUNTS AND RESERVES</w:t>
              </w:r>
            </w:hyperlink>
          </w:p>
        </w:tc>
        <w:tc>
          <w:tcPr>
            <w:tcW w:w="1300" w:type="dxa"/>
            <w:vAlign w:val="bottom"/>
            <w:gridSpan w:val="5"/>
            <w:shd w:val="clear" w:color="auto" w:fill="CCEEFF"/>
          </w:tcPr>
          <w:p>
            <w:pPr>
              <w:spacing w:after="0"/>
              <w:rPr>
                <w:sz w:val="17"/>
                <w:szCs w:val="17"/>
                <w:color w:val="auto"/>
              </w:rPr>
            </w:pPr>
          </w:p>
        </w:tc>
        <w:tc>
          <w:tcPr>
            <w:tcW w:w="76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FF"/>
                <w:w w:val="99"/>
              </w:rPr>
            </w:pPr>
            <w:hyperlink w:anchor="page97">
              <w:r>
                <w:rPr>
                  <w:rFonts w:ascii="Times New Roman" w:cs="Times New Roman" w:eastAsia="Times New Roman" w:hAnsi="Times New Roman"/>
                  <w:sz w:val="18"/>
                  <w:szCs w:val="18"/>
                  <w:color w:val="0000FF"/>
                  <w:w w:val="99"/>
                </w:rPr>
                <w:t>94</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spacing w:after="0"/>
              <w:rPr>
                <w:sz w:val="17"/>
                <w:szCs w:val="17"/>
                <w:color w:val="auto"/>
              </w:rPr>
            </w:pPr>
          </w:p>
        </w:tc>
        <w:tc>
          <w:tcPr>
            <w:tcW w:w="1720" w:type="dxa"/>
            <w:vAlign w:val="bottom"/>
            <w:gridSpan w:val="8"/>
          </w:tcPr>
          <w:p>
            <w:pPr>
              <w:ind w:left="20"/>
              <w:spacing w:after="0" w:line="202" w:lineRule="exact"/>
              <w:rPr>
                <w:rFonts w:ascii="Times New Roman" w:cs="Times New Roman" w:eastAsia="Times New Roman" w:hAnsi="Times New Roman"/>
                <w:sz w:val="18"/>
                <w:szCs w:val="18"/>
                <w:color w:val="0000FF"/>
                <w:w w:val="98"/>
              </w:rPr>
            </w:pPr>
            <w:hyperlink w:anchor="page98">
              <w:r>
                <w:rPr>
                  <w:rFonts w:ascii="Times New Roman" w:cs="Times New Roman" w:eastAsia="Times New Roman" w:hAnsi="Times New Roman"/>
                  <w:sz w:val="18"/>
                  <w:szCs w:val="18"/>
                  <w:color w:val="0000FF"/>
                  <w:w w:val="98"/>
                </w:rPr>
                <w:t>INDEX TO EXHIBITS</w:t>
              </w:r>
            </w:hyperlink>
          </w:p>
        </w:tc>
        <w:tc>
          <w:tcPr>
            <w:tcW w:w="4540" w:type="dxa"/>
            <w:vAlign w:val="bottom"/>
            <w:gridSpan w:val="10"/>
          </w:tcPr>
          <w:p>
            <w:pPr>
              <w:spacing w:after="0"/>
              <w:rPr>
                <w:sz w:val="17"/>
                <w:szCs w:val="17"/>
                <w:color w:val="auto"/>
              </w:rPr>
            </w:pPr>
          </w:p>
        </w:tc>
        <w:tc>
          <w:tcPr>
            <w:tcW w:w="1300" w:type="dxa"/>
            <w:vAlign w:val="bottom"/>
            <w:gridSpan w:val="5"/>
          </w:tcPr>
          <w:p>
            <w:pPr>
              <w:spacing w:after="0"/>
              <w:rPr>
                <w:sz w:val="17"/>
                <w:szCs w:val="17"/>
                <w:color w:val="auto"/>
              </w:rPr>
            </w:pPr>
          </w:p>
        </w:tc>
        <w:tc>
          <w:tcPr>
            <w:tcW w:w="760" w:type="dxa"/>
            <w:vAlign w:val="bottom"/>
            <w:gridSpan w:val="3"/>
          </w:tcPr>
          <w:p>
            <w:pPr>
              <w:jc w:val="center"/>
              <w:spacing w:after="0" w:line="202" w:lineRule="exact"/>
              <w:rPr>
                <w:rFonts w:ascii="Times New Roman" w:cs="Times New Roman" w:eastAsia="Times New Roman" w:hAnsi="Times New Roman"/>
                <w:sz w:val="18"/>
                <w:szCs w:val="18"/>
                <w:color w:val="0000FF"/>
                <w:w w:val="99"/>
              </w:rPr>
            </w:pPr>
            <w:hyperlink w:anchor="page98">
              <w:r>
                <w:rPr>
                  <w:rFonts w:ascii="Times New Roman" w:cs="Times New Roman" w:eastAsia="Times New Roman" w:hAnsi="Times New Roman"/>
                  <w:sz w:val="18"/>
                  <w:szCs w:val="18"/>
                  <w:color w:val="0000FF"/>
                  <w:w w:val="99"/>
                </w:rPr>
                <w:t>95</w:t>
              </w:r>
            </w:hyperlink>
          </w:p>
        </w:tc>
      </w:tr>
      <w:tr>
        <w:trPr>
          <w:trHeight w:val="20"/>
        </w:trPr>
        <w:tc>
          <w:tcPr>
            <w:tcW w:w="1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9700"/>
          </w:cols>
          <w:pgMar w:left="1100" w:top="792" w:right="10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05"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References in this Annual Report on Form 10-K to “we,” “our,” “us,” “LII” or the “Company” refer to Lennox International Inc. and its subsidiaries, unless the context requires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are a leading global provider of climate control solutions. We design, manufacture and market a broad range of products for the heating, ventilation, air conditioning and refrigeration (“HVACR”) markets. We have leveraged our expertise to become an industry leader known for innovation, quality and reliability. Our products and services are sold through multiple distribution channels under various brand names. The Company was founded in 1895, in Marshalltown, Iowa, by Dave Lennox, the owner of a machine repair business for railroads. He designed and patented a riveted steel coal-fired furnace, which led to numerous advancements in heating, cooling and climate control solutions.</w:t>
      </w:r>
    </w:p>
    <w:p>
      <w:pPr>
        <w:spacing w:after="0" w:line="18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Shown in the table below are our three business segments, the key products, services and well-known product and brand names within each segment and net sales in 2018 by segment. Segment financial data for 2018, 2017 and 2016, including financial information about foreign and domestic operations, is included in Note 20 of the Notes to our Consolidated Financial Statements in “Item 8. Financial Statements and Supplementary Data” and is incorporated herein by reference.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Net Sales (in</w:t>
            </w:r>
          </w:p>
        </w:tc>
      </w:tr>
      <w:tr>
        <w:trPr>
          <w:trHeight w:val="238"/>
        </w:trPr>
        <w:tc>
          <w:tcPr>
            <w:tcW w:w="20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37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Products &amp; Services</w:t>
            </w:r>
          </w:p>
        </w:tc>
        <w:tc>
          <w:tcPr>
            <w:tcW w:w="42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Product and Brand Names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millions)</w:t>
            </w:r>
          </w:p>
        </w:tc>
      </w:tr>
      <w:tr>
        <w:trPr>
          <w:trHeight w:val="27"/>
        </w:trPr>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Heating &amp;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Furnaces, air conditioners, heat pumps, packaged</w:t>
            </w: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Lennox, Dave Lennox Signature, Armstrong Air,</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2,225.0</w:t>
            </w:r>
          </w:p>
        </w:tc>
      </w:tr>
      <w:tr>
        <w:trPr>
          <w:trHeight w:val="216"/>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Cooling</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heating and cooling systems, indoor air quality</w:t>
            </w: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Ducane, Aire-Flo, Air-Ease, Concord, Magic-Pak, ADP</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comfort control products,</w:t>
            </w: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Distributor Products, iComfort and Lennox</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1"/>
        </w:trPr>
        <w:tc>
          <w:tcPr>
            <w:tcW w:w="1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replacement parts and supplies</w:t>
            </w:r>
          </w:p>
        </w:tc>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PartsPlus</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Commercial Heating &amp;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Unitary heating and air conditioning equipment,</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Lennox, Allied Commercial, Magic-Pak, Raider,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1,043.5</w:t>
            </w:r>
          </w:p>
        </w:tc>
      </w:tr>
      <w:tr>
        <w:trPr>
          <w:trHeight w:val="216"/>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Cooling</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applied systems, controls, installation and service</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Landmark, Prodigy, Strategos, Energence, Lennox VRF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commercial heating and cooling equipment,</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Lennox National Account Services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refrigerant flow commercial products</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Refrigeration</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Condensing units, unit coolers, fluid coolers, air</w:t>
            </w: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Heatcraft Worldwide Refrigeration, Bohn, Larkin,</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615.4</w:t>
            </w:r>
          </w:p>
        </w:tc>
      </w:tr>
      <w:tr>
        <w:trPr>
          <w:trHeight w:val="216"/>
        </w:trPr>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cooled condensers, air handlers, process chillers,</w:t>
            </w: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Climate Control, Chandler Refrigeration, Kysor/Warren,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controls, compressorized racks, supermarket</w:t>
            </w: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Friga-Bohn, HK Refrigeration, Hyfra, Kirby and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61"/>
        </w:trPr>
        <w:tc>
          <w:tcPr>
            <w:tcW w:w="1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display cases and systems</w:t>
            </w:r>
          </w:p>
        </w:tc>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Interlink</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57"/>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3,883.9</w:t>
            </w: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Heating &amp; Cooling</w:t>
      </w:r>
    </w:p>
    <w:p>
      <w:pPr>
        <w:spacing w:after="0" w:line="225"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i w:val="1"/>
          <w:iCs w:val="1"/>
          <w:color w:val="auto"/>
        </w:rPr>
        <w:t>Heating &amp; Cooling Products</w:t>
      </w:r>
      <w:r>
        <w:rPr>
          <w:rFonts w:ascii="Times New Roman" w:cs="Times New Roman" w:eastAsia="Times New Roman" w:hAnsi="Times New Roman"/>
          <w:sz w:val="18"/>
          <w:szCs w:val="18"/>
          <w:color w:val="auto"/>
        </w:rPr>
        <w:t>. We manufacture and market a broad range of furnaces, air conditioners, heat pumps, packaged heating and cooling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accessories to improve indoor air quality, comfort control products, replacement parts and supplies and related products for both the residential replacement and new construction markets in North America. These products are available in a variety of designs and efficiency levels and at a range of price points, and are intended to provide a complete line of home comfort systems. We believe that by maintaining a broad product line marketed under multiple brand names, we can address different market segments and penetrate multiple distribution channels.</w:t>
      </w:r>
    </w:p>
    <w:p>
      <w:pPr>
        <w:spacing w:after="0" w:line="18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“Lennox” and “Aire-Flo” brands are sold directly to a network of approximately 7,000 independent installing dealers, making us one of the largest wholesale distributors of residential heating and air conditioning products in North America. The Allied Air Enterprise brands (“Armstrong Air,” “Air-Ease,” “Concord,” “Ducane,” and “Magic-Pak”) include a full line of heating and air conditioning products and are sold through independent distributors in North America.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81" w:right="239" w:bottom="1440" w:gutter="0" w:footer="0" w:header="0"/>
        </w:sectPr>
      </w:pPr>
    </w:p>
    <w:bookmarkStart w:id="3" w:name="page4"/>
    <w:bookmarkEnd w:id="3"/>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are continuing to grow our network of 240 Lennox PartsPlus stores across the United States and Canada. These stores provide an easy access solution for contractors and independent dealers to obtain universal service and replacement parts, supplies, convenience items, tools, Lennox equipment and OEM parts.</w:t>
      </w:r>
    </w:p>
    <w:p>
      <w:pPr>
        <w:spacing w:after="0" w:line="17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Advanced Distributor Products (“ADP”) operation builds evaporator coils and air handlers under the “ADP Advanced Distributor Products” brand and also builds evaporator coils under the “Lennox” brand and Allied Air Enterprise brands. ADP sells its own ADP branded evaporator coils to over 450 HVAC wholesale distributors across North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Heating &amp; Cooling</w:t>
      </w:r>
    </w:p>
    <w:p>
      <w:pPr>
        <w:spacing w:after="0" w:line="225"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i w:val="1"/>
          <w:iCs w:val="1"/>
          <w:color w:val="auto"/>
        </w:rPr>
        <w:t>North America</w:t>
      </w:r>
      <w:r>
        <w:rPr>
          <w:rFonts w:ascii="Times New Roman" w:cs="Times New Roman" w:eastAsia="Times New Roman" w:hAnsi="Times New Roman"/>
          <w:sz w:val="18"/>
          <w:szCs w:val="18"/>
          <w:color w:val="auto"/>
        </w:rPr>
        <w:t>. In North America, we manufacture and sell unitary heating and cooling equipment used in light commercial applications, such as low-rise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buildings, restaurants, retail centers, churches and schools. Our product offerings for these applications include rooftop units ranging from 2 to 50 tons of cooling capacity and split system/air handler combinations, which range from 1.5 to 20 tons of cooling capacity. These products are distributed primarily through commercial contractors and directly to national account customers. In 2014, we launched Lennox-branded variable refrigerant flow (“VRF”) commercial products through Lennox company-owned distribution. We believe the success of our products is attributable to their efficiency, design flexibility, total cost of ownership, low life-cycle cost, ease of service and advanced control technology.</w:t>
      </w:r>
    </w:p>
    <w:p>
      <w:pPr>
        <w:spacing w:after="0" w:line="183" w:lineRule="exact"/>
        <w:rPr>
          <w:sz w:val="20"/>
          <w:szCs w:val="20"/>
          <w:color w:val="auto"/>
        </w:rPr>
      </w:pPr>
    </w:p>
    <w:p>
      <w:pPr>
        <w:jc w:val="both"/>
        <w:ind w:right="20"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National Account Services</w:t>
      </w:r>
      <w:r>
        <w:rPr>
          <w:rFonts w:ascii="Times New Roman" w:cs="Times New Roman" w:eastAsia="Times New Roman" w:hAnsi="Times New Roman"/>
          <w:sz w:val="18"/>
          <w:szCs w:val="18"/>
          <w:color w:val="auto"/>
        </w:rPr>
        <w:t>. National Account Service (“NAS”) provides installation, service and preventive maintenance for commercial HVAC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customers in the United States and Canada.</w:t>
      </w:r>
    </w:p>
    <w:p>
      <w:pPr>
        <w:spacing w:after="0" w:line="158"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i w:val="1"/>
          <w:iCs w:val="1"/>
          <w:color w:val="auto"/>
        </w:rPr>
        <w:t>Europe</w:t>
      </w:r>
      <w:r>
        <w:rPr>
          <w:rFonts w:ascii="Times New Roman" w:cs="Times New Roman" w:eastAsia="Times New Roman" w:hAnsi="Times New Roman"/>
          <w:sz w:val="18"/>
          <w:szCs w:val="18"/>
          <w:color w:val="auto"/>
        </w:rPr>
        <w:t>. In Europe, we manufacture and sell unitary products, which range from 2 to 70 tons of cooling capacity, and applied systems with up to 200 tons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cooling capacity. Our European products consist of small package units, rooftop units, chillers, air handlers and fan coils that serve medium-rise commercial buildings, shopping malls, other retail and entertainment buildings, institutional applications and other field-engineered applications. We manufacture heating and cooling products in several locations in Europe and market these products through both direct and indirect distribution channels in Europe, Russia, Turkey and the Middle East.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Refrigeration</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manufacture and market equipment for the global commercial refrigeration markets under the Heatcraft Worldwide Refrigeration name. We sell these products to distributors, installing contractors, engineering design firms, original equipment manufacturers and end-users. Our global manufacturing, distribution, sales and marketing footprint serves customers in over 103 countries worldwide.</w:t>
      </w:r>
    </w:p>
    <w:p>
      <w:pPr>
        <w:spacing w:after="0" w:line="174"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i w:val="1"/>
          <w:iCs w:val="1"/>
          <w:color w:val="auto"/>
        </w:rPr>
        <w:t>North America</w:t>
      </w:r>
      <w:r>
        <w:rPr>
          <w:rFonts w:ascii="Times New Roman" w:cs="Times New Roman" w:eastAsia="Times New Roman" w:hAnsi="Times New Roman"/>
          <w:sz w:val="18"/>
          <w:szCs w:val="18"/>
          <w:color w:val="auto"/>
        </w:rPr>
        <w:t>. Our commercial refrigeration products for the North American market include condensing units, unit coolers, fluid coolers, air-cooled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condensers, air handlers, display cases and refrigeration rack systems. These products preserve food and other perishables in supermarkets, convenience stores, restaurants, warehouses and distribution centers. In addition, our products are used to cool a wide variety of industrial processes, including data centers, machine tooling, and other critical cooling applications. We routinely provide application engineering for consulting engineers, contractors, store planners, end customers and others to support the sale of commercial refrigeration products. In addition to providing complete refrigeration systems and display cases, we also provide turnkey installations for our supermarket customers in Mexico.</w:t>
      </w:r>
    </w:p>
    <w:p>
      <w:pPr>
        <w:spacing w:after="0" w:line="183"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In international markets, we manufacture and market refrigeration products including condensing units, unit coolers, air-cooled condensers,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fluid coolers, compressor racks and industrial process chillers. We have manufacturing locations in Germany, France and Spain. In addition, we own a 50% common stock interest in a joint venture in Mexico that produces unit coolers, air-cooled condensers, condensing units, compressors and compressorized racks of the same design and quality as those manufactured by our U.S. business. This joint venture product line is complemented with imports from the U.S., which are sold through the joint venture’s distribution network. During 2018, we completed the sale of our Australia, Asia and South America businesses.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Our business strategy is to sustain and expand our premium market position as well as offer a full spectrum of products to meet our customers’ needs. We plan to expand our market position through organic growth while maintaining our focus on cost reductions to drive margin expansion and support growth in target business segments. This strategy is supported by the following four strategic priorities:</w:t>
      </w:r>
    </w:p>
    <w:p>
      <w:pPr>
        <w:spacing w:after="0" w:line="174"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Innovative Product and System Solutions. </w:t>
      </w:r>
      <w:r>
        <w:rPr>
          <w:rFonts w:ascii="Times New Roman" w:cs="Times New Roman" w:eastAsia="Times New Roman" w:hAnsi="Times New Roman"/>
          <w:sz w:val="18"/>
          <w:szCs w:val="18"/>
          <w:color w:val="auto"/>
        </w:rPr>
        <w:t>In all of our markets, we are building on our heritage of innovation by developing residential, commercial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refrigeration products that give families and business owners more precise control over more aspects of their indoor environments, while significantly lowering their energy costs.</w:t>
      </w:r>
    </w:p>
    <w:p>
      <w:pPr>
        <w:spacing w:after="0" w:line="174"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Manufacturing and Sourcing Excellence. </w:t>
      </w:r>
      <w:r>
        <w:rPr>
          <w:rFonts w:ascii="Times New Roman" w:cs="Times New Roman" w:eastAsia="Times New Roman" w:hAnsi="Times New Roman"/>
          <w:sz w:val="18"/>
          <w:szCs w:val="18"/>
          <w:color w:val="auto"/>
        </w:rPr>
        <w:t>We maintain our commitment to manufacturing and sourcing excellence by driving low-cost assembly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rationalization of our facilities and product lines, maximizing factory efficiencies, and leveraging our purchasing power and sourcing initiatives to expand the use of lower-cost components that meet our high-quality requirements.</w:t>
      </w:r>
    </w:p>
    <w:p>
      <w:pPr>
        <w:spacing w:after="0" w:line="174"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 Excellence. </w:t>
      </w:r>
      <w:r>
        <w:rPr>
          <w:rFonts w:ascii="Times New Roman" w:cs="Times New Roman" w:eastAsia="Times New Roman" w:hAnsi="Times New Roman"/>
          <w:sz w:val="18"/>
          <w:szCs w:val="18"/>
          <w:color w:val="auto"/>
        </w:rPr>
        <w:t>By investing resources in expanding our distribution network, we are making products available to our customers in a timely,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cost-efficient manner. Additionally, we provide enhanced dealer support through the use of technology, training, advertising and merchandising.</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Expense Reduction. </w:t>
      </w:r>
      <w:r>
        <w:rPr>
          <w:rFonts w:ascii="Times New Roman" w:cs="Times New Roman" w:eastAsia="Times New Roman" w:hAnsi="Times New Roman"/>
          <w:sz w:val="18"/>
          <w:szCs w:val="18"/>
          <w:color w:val="auto"/>
        </w:rPr>
        <w:t>Through our cost management initiatives, we are optimizing operating, manufacturing and administrative costs.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utilize multiple channels of distribution and offer different brands at various price points in order to better penetrate the HVACR markets. Our products and services are sold through a combination of direct sales, distributors and company-owned parts and supplies stores. Dedicated sales forces and manufacturers’ representatives are deployed across our business segments and brands in a manner designed to maximize our ability to service each distribution channel. To optimize enterprise-wide effectiveness, we have active cross-functional and cross-organizational teams coordinating approaches to pricing, product design, distribution and national account customers.</w:t>
      </w:r>
    </w:p>
    <w:p>
      <w:pPr>
        <w:spacing w:after="0" w:line="184" w:lineRule="exact"/>
        <w:rPr>
          <w:sz w:val="20"/>
          <w:szCs w:val="20"/>
          <w:color w:val="auto"/>
        </w:rPr>
      </w:pPr>
    </w:p>
    <w:p>
      <w:pPr>
        <w:jc w:val="both"/>
        <w:ind w:right="20" w:firstLine="243"/>
        <w:spacing w:after="0" w:line="256" w:lineRule="auto"/>
        <w:rPr>
          <w:sz w:val="20"/>
          <w:szCs w:val="20"/>
          <w:color w:val="auto"/>
        </w:rPr>
      </w:pPr>
      <w:r>
        <w:rPr>
          <w:rFonts w:ascii="Times New Roman" w:cs="Times New Roman" w:eastAsia="Times New Roman" w:hAnsi="Times New Roman"/>
          <w:sz w:val="18"/>
          <w:szCs w:val="18"/>
          <w:color w:val="auto"/>
        </w:rPr>
        <w:t>The North American residential heating and cooling market provides an example of the competitive strength of our marketing and distribution strategy. We use three distinct distribution approaches in this market: the company-owned distribution system, the independent distribution system and direct sales to end-users. We distribute our “Lennox” and “Aire-Flo” brands in a company-owned process directly to independent dealers that install these heating and cooling products. We distribute our “Armstrong Air,” “Ducane,” “Air-Ease,” “Concord,” “Magic-Pak” and “ADP Advanced Distributor Products” brands through the traditional independent distribution process pursuant to which we sell our products to distributors who, in turn, sell the products to installing contractors. We also sell our products directly to customers through our Lennox PartsPlus stores.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operate manufacturing facilities worldwide and utilize the best available manufacturing techniques based on the needs of our businesses, including the use of lean manufacturing and principles of Six Sigma, a disciplined, data-driven approach and methodology for improving quality. We use numerous metrics to track and manage annual efficiency improvements. Some facilities are impacted by seasonal production demand, and we manufacture both heating and cooling products in those facilities to balance production and maintain a relatively stable labor force. We may also hire temporary employees to meet changes in demand.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Sourcing</w:t>
      </w:r>
    </w:p>
    <w:p>
      <w:pPr>
        <w:spacing w:after="0" w:line="22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rely on various suppliers to furnish the raw materials and components used in the manufacturing of our products. To maximize our buying effectiveness in the marketplace, we have a central strategic sourcing group that consolidates purchases of certain materials, components and indirect items across business segments. The goal of the strategic sourcing group is to develop global strategies for a given component group, concentrate purchases with three to five suppliers and develop long-term relationships with these vendors. By developing these strategies and relationships, we seek to leverage our material needs to reduce costs and improve financial and operating performance. Our strategic sourcing group also works with selected suppliers to reduce costs, improve quality and delivery performance by employing lean manufacturing and Six Sigma.</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Compressors, motors and controls constitute our most significant component purchases, while steel, copper and aluminum</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5" w:name="page6"/>
    <w:bookmarkEnd w:id="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 for the bulk of our raw material purchases. We own an equity interest in a joint venture that manufactures compressors. This joint venture provide us with compressors for our residential and commercial heating and cooling and refrigeration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Technology</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Research and development is a key pillar of our growth strategy. We operate a global engineering and technology organization that focuses on new technology invention, product development, product quality improvements and process enhancements, including our development of next-generation control systems as well as heating and cooling products that include some of the most efficient products in their respective categories. We leverage intellectual property and innovative designs across our businesses. We also leverage product development cycle time improvements and product data management systems to commercialize new products to market more rapidly. We use advanced, commercially available computer-aided design, computer-aided manufacturing, computational fluid dynamics and other sophisticated design tools to streamline the design and manufacturing processes. We use complex computer simulations and analyses in the conceptual design phase before functional prototypes are created. We also operate a full line of prototype machine equipment and advanced laboratories certified by applicable industry associations.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sales and related segment profit tend to be seasonally higher in the second and third quarters of the year because summer is the peak season for sales of air conditioning equipment and services in the U.S. and Canada. For the same reason, our working capital needs are generally greater in the first and second quarters, and we generally have higher operating cash inflows in the third and fourth quarters.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markets are driven by seasonal weather patterns. HVAC products and services are sold year round, but the volume and mix of product sales and service change significantly by season. The industry generally ships roughly twice as many units during June as it does in December. Overall, cooling equipment represents a substantial portion of the annual HVAC market. Between the heating season (roughly November through February) and cooling season (roughly May through August) are periods commonly referred to as “shoulder seasons” when the distribution channel transitions its buying patterns from one season to the next. These seasonal fluctuations in mix and volume drive our sales and related segment profit, resulting in somewhat higher sales in the second and third quarters due to the higher volume in the cooling season relative to the heating season.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hold numerous patents that relate to the design and use of our products. We consider these patents important, but no single patent is material to the overall conduct of our business. We proactively obtain patents to further our strategic intellectual property objectives. We own or license several trademarks and service marks we consider important in the marketing of our products and services, and we protect our marks through national registrations and common law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Substantially all markets in which we participate are competitive. The most significant competitive factors we face are product reliability, product performance, service and price, with the relative importance of these factors varying among our businesses. The following are some of the companies we view as significant competitors in each of our three business segments, with relevant brand names, when different from the company name, shown in parentheses. The marks below may be the registered or unregistered trademarks or trade names of their respective owners.</w:t>
      </w:r>
    </w:p>
    <w:p>
      <w:pPr>
        <w:spacing w:after="0" w:line="180" w:lineRule="exact"/>
        <w:rPr>
          <w:sz w:val="20"/>
          <w:szCs w:val="20"/>
          <w:color w:val="auto"/>
        </w:rPr>
      </w:pPr>
    </w:p>
    <w:p>
      <w:pPr>
        <w:jc w:val="both"/>
        <w:ind w:left="420" w:hanging="250"/>
        <w:spacing w:after="0" w:line="266"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Heating &amp; Cooling - United Technologies Corp. (Carrier, Bryant, Tempstar, Comfortmaker, Heil, Arcoaire, KeepRite, Day &amp; Night); Ingersoll-Rand plc (Trane, American Standard); Paloma Industries, Inc. (Rheem, Ruud); Johnson Controls, Inc. (York); Daikin Industries, Ltd. (Goodman, Amana); and Melrose Industries PLC (Maytag, Westinghouse, Frigidaire, Tappan, Philco, Kelvinator, Gibson, Broan, NuTone).</w:t>
      </w:r>
    </w:p>
    <w:p>
      <w:pPr>
        <w:spacing w:after="0" w:line="81" w:lineRule="exact"/>
        <w:rPr>
          <w:rFonts w:ascii="Times New Roman" w:cs="Times New Roman" w:eastAsia="Times New Roman" w:hAnsi="Times New Roman"/>
          <w:sz w:val="18"/>
          <w:szCs w:val="18"/>
          <w:color w:val="auto"/>
        </w:rPr>
      </w:pPr>
    </w:p>
    <w:p>
      <w:pPr>
        <w:ind w:left="420" w:hanging="250"/>
        <w:spacing w:after="0" w:line="282"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Heating &amp; Cooling - United Technologies Corp. (Carrier, ICP Commercial); Ingersoll-Rand plc (Trane); Paloma Industries, Inc. (Rheem, Ruud); Johnson Controls, Inc. (York); Daikin Industries, Ltd. (Goodman, McQuay); Melrose Industries PLC (Mammoth); and AAON, Inc.</w:t>
      </w:r>
    </w:p>
    <w:p>
      <w:pPr>
        <w:spacing w:after="0" w:line="67" w:lineRule="exact"/>
        <w:rPr>
          <w:rFonts w:ascii="Times New Roman" w:cs="Times New Roman" w:eastAsia="Times New Roman" w:hAnsi="Times New Roman"/>
          <w:sz w:val="18"/>
          <w:szCs w:val="18"/>
          <w:color w:val="auto"/>
        </w:rPr>
      </w:pPr>
    </w:p>
    <w:p>
      <w:pPr>
        <w:jc w:val="both"/>
        <w:ind w:left="420" w:hanging="250"/>
        <w:spacing w:after="0" w:line="282"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Refrigeration - Hussmann Corporation; Paloma Industries, Inc. (Rheem Manufacturing Company (Heat Transfer Products Group)); Emerson Electric Co. (Copeland); United Technologies Corp. (Carrier); GEA Group (Kuba, Searle, Goedhart); Alfa Laval; Guntner GmbH; and Panasonic Corp. (Sanyo).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230"/>
        <w:spacing w:after="0" w:line="259" w:lineRule="auto"/>
        <w:rPr>
          <w:sz w:val="20"/>
          <w:szCs w:val="20"/>
          <w:color w:val="auto"/>
        </w:rPr>
      </w:pPr>
      <w:r>
        <w:rPr>
          <w:rFonts w:ascii="Times New Roman" w:cs="Times New Roman" w:eastAsia="Times New Roman" w:hAnsi="Times New Roman"/>
          <w:sz w:val="18"/>
          <w:szCs w:val="18"/>
          <w:color w:val="auto"/>
        </w:rPr>
        <w:t>As of December 31, 2018, we employed approximately 11,350 employees. Approximately 4,950 of these employees were salaried and 6,400 were hourly. The number of hourly workers we employ may vary in order to match our labor needs during periods of fluctuating demand. Approximately 3,175 employees, including international locations, are represented by unions. We believe we have good relationships with our employees and with the unions representing our employees. We currently do not anticipate any material adverse consequences resulting from negotiations to renew any collective bargaining agreements.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operations are subject to evolving and often increasingly stringent international, federal, state and local laws and regulations concerning the environment. Environmental laws that affect or could affect our domestic operations include, among others, the National Appliance Energy Conservation Act of 1987, as amended (“NAECA”), the Energy Policy Act ("EPAct"), the Energy Policy and Conservation Act ("EPCA"), the Clean Air Act, the Clean Water Act, the Resource Conservation and Recovery Act, the Comprehensive Environmental Response, Compensation and Liability Act, the National Environmental Policy Act ("NEPA"), the Toxic Substances Control Act, any regulations promulgated under these acts and various other international, federal, state and local laws and regulations governing environmental matters. We believe we are in substantial compliance with such existing environmental laws and regulations.</w:t>
      </w:r>
    </w:p>
    <w:p>
      <w:pPr>
        <w:spacing w:after="0" w:line="18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Energy Efficiency. </w:t>
      </w:r>
      <w:r>
        <w:rPr>
          <w:rFonts w:ascii="Times New Roman" w:cs="Times New Roman" w:eastAsia="Times New Roman" w:hAnsi="Times New Roman"/>
          <w:sz w:val="18"/>
          <w:szCs w:val="18"/>
          <w:color w:val="auto"/>
        </w:rPr>
        <w:t>The U.S. Department of Energy has numerous active energy conservation rulemakings that impact residential and commercial heating,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air conditioning and refrigeration equipment. We are actively involved in U.S. Department of Energy and Congressional activities related to energy efficiency. We are prepared to have compliant products in place in advance of the effective dates of all such regulations being considered by the U.S. Department of Energy.</w:t>
      </w:r>
    </w:p>
    <w:p>
      <w:pPr>
        <w:spacing w:after="0" w:line="18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Refrigerants. </w:t>
      </w:r>
      <w:r>
        <w:rPr>
          <w:rFonts w:ascii="Times New Roman" w:cs="Times New Roman" w:eastAsia="Times New Roman" w:hAnsi="Times New Roman"/>
          <w:sz w:val="18"/>
          <w:szCs w:val="18"/>
          <w:color w:val="auto"/>
        </w:rPr>
        <w:t>The use of hydrochlorofluorocarbons (“HCFCs”) and hydroflurocarbons (“HFCs”) as refrigerants for air conditioning and refrigeration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is common practice in the HVACR industry and is regulated. We believe we have complied with applicable rules and regulations in various countries governing the use of HCFCs and HFCs. The U.S. Congress and the Environmental Protection Agency are considering steps to phase down the future use of HFCs in HVACR products and an international accord was adopted in October 2016 which would significantly phase-down the use of HFCs when ratified by the United Sates and globally. We are an active participant in the ongoing international and domestic dialogue on this subject and are well positioned to react in a timely manner to changes in the regulatory landscape. In addition, we are taking proactive steps to implement responsible use principles and guidelines with respect to limiting refrigerants from escaping into the atmosphere throughout the life span of our HVACR equipment.</w:t>
      </w:r>
    </w:p>
    <w:p>
      <w:pPr>
        <w:spacing w:after="0" w:line="1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Remediation Activity</w:t>
      </w:r>
      <w:r>
        <w:rPr>
          <w:rFonts w:ascii="Times New Roman" w:cs="Times New Roman" w:eastAsia="Times New Roman" w:hAnsi="Times New Roman"/>
          <w:sz w:val="18"/>
          <w:szCs w:val="18"/>
          <w:color w:val="auto"/>
        </w:rPr>
        <w:t>. In addition to affecting our ongoing operations, applicable environmental laws can impose obligations to remediate hazardous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substances at our properties, at properties formerly owned or operated by us and at facilities to which we have sent or send waste for treatment or disposal. We are aware of contamination at some of our facilities; however, based on facts presently known, we do not believe that any future remediation costs at such facilities will be material to our results of operations. For more information, see Note 11 in the Notes to our Consolidated Financial Statements.</w:t>
      </w:r>
    </w:p>
    <w:p>
      <w:pPr>
        <w:spacing w:after="0" w:line="18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past, we have received notices that we are a potentially responsible party along with other potentially responsible parties in Superfund proceedings under the Comprehensive Environmental Response, Compensation and Liability Act for cleanup of hazardous substances at certain sites to which the potentially responsible parties are alleged to have sent waste. Based on the facts presently known, we do not believe environmental cleanup costs associated with any Superfund sites about which we have received notice that we are a potentially responsible party will be material.</w:t>
      </w:r>
    </w:p>
    <w:p>
      <w:pPr>
        <w:spacing w:after="0" w:line="178"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European WEEE and RoHS Compliance. </w:t>
      </w:r>
      <w:r>
        <w:rPr>
          <w:rFonts w:ascii="Times New Roman" w:cs="Times New Roman" w:eastAsia="Times New Roman" w:hAnsi="Times New Roman"/>
          <w:sz w:val="18"/>
          <w:szCs w:val="18"/>
          <w:color w:val="auto"/>
        </w:rPr>
        <w:t>In the European marketplace, electrical and electronic equipment is required to comply with the Directive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 Electrical and Electronic Equipment (“WEEE”) and the Directive on Restriction of Use of Certain Hazardous Substances (“RoHS”). WEEE aims to prevent waste by encouraging reuse and recycling and RoHS restricts the use of six hazardous substances in electrical and electronic products. All HVACR products and certain components of such products “put on the market” in the EU (whether or not manufactured in the EU) are potentially subject to WEEE and RoHS. Because all HVACR manufacturers selling within or from the EU are subject to the standards promulgated under WEEE and RoHS, we believe that neither WEEE nor RoHS uniquely impacts us as compared to such other manufacturers. Similar directives are being introduced in other parts of the world, including the U.S. For example, California, China and Japan have all adopted standards possessing similar intent as RoHS. We are actively monitoring the development of such directives and believe we are well positioned to comply with such directives in the required time frames.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 xml:space="preserve">Our web site address is </w:t>
      </w:r>
      <w:r>
        <w:rPr>
          <w:rFonts w:ascii="Times New Roman" w:cs="Times New Roman" w:eastAsia="Times New Roman" w:hAnsi="Times New Roman"/>
          <w:sz w:val="18"/>
          <w:szCs w:val="18"/>
          <w:u w:val="single" w:color="auto"/>
          <w:color w:val="0000FF"/>
        </w:rPr>
        <w:t>www.lennoxinternational.com</w:t>
      </w:r>
      <w:r>
        <w:rPr>
          <w:rFonts w:ascii="Times New Roman" w:cs="Times New Roman" w:eastAsia="Times New Roman" w:hAnsi="Times New Roman"/>
          <w:sz w:val="18"/>
          <w:szCs w:val="18"/>
          <w:color w:val="auto"/>
        </w:rPr>
        <w:t>. We make available, free of charge through our web site, our annual reports on Form 10-K, quarterly reports on Form 10-Q, current reports on Form 8-K and amendments to those reports filed or furnished pursuant to the Securities Exchange Act of 1934, as amended (the “Exchange Act”), as soon as reasonably possible after such material is electronically filed with, or furnished to, the Securities and Exchange Commission. The information on our web site is not a part of, or incorporated by reference into, this annual report on Form 10-K.</w:t>
      </w:r>
    </w:p>
    <w:p>
      <w:pPr>
        <w:spacing w:after="0" w:line="180"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You can also read and copy any document that we file, including this Annual Report on Form 10-K, at the Securities and Exchange Commission’s Public Reference Room at 100 F Street, N.E., Washington, D.C. 20549. Call the Securities and Exchange Commission at 1-800-SEC-0330 for information on the operation of the Public Reference Room. In addition, the Securities and Exchange Commission maintains a website at www.sec.gov that contains reports, proxy and information statements, and other information regarding issuers, including Lennox International, that file electronically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executive officers, their present positions and their ages are as follows as of February 4, 2019:</w:t>
      </w:r>
    </w:p>
    <w:p>
      <w:pPr>
        <w:spacing w:after="0" w:line="37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48"/>
        </w:trPr>
        <w:tc>
          <w:tcPr>
            <w:tcW w:w="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5560" w:type="dxa"/>
            <w:vAlign w:val="bottom"/>
          </w:tcPr>
          <w:p>
            <w:pPr>
              <w:spacing w:after="0"/>
              <w:rPr>
                <w:sz w:val="4"/>
                <w:szCs w:val="4"/>
                <w:color w:val="auto"/>
              </w:rPr>
            </w:pPr>
          </w:p>
        </w:tc>
      </w:tr>
      <w:tr>
        <w:trPr>
          <w:trHeight w:val="243"/>
        </w:trPr>
        <w:tc>
          <w:tcPr>
            <w:tcW w:w="20" w:type="dxa"/>
            <w:vAlign w:val="bottom"/>
            <w:shd w:val="clear" w:color="auto" w:fill="CCEEFF"/>
          </w:tcPr>
          <w:p>
            <w:pPr>
              <w:spacing w:after="0"/>
              <w:rPr>
                <w:sz w:val="21"/>
                <w:szCs w:val="21"/>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M. Bluedorn</w:t>
            </w:r>
          </w:p>
        </w:tc>
        <w:tc>
          <w:tcPr>
            <w:tcW w:w="12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shd w:val="clear" w:color="auto" w:fill="CCEEFF"/>
          </w:tcPr>
          <w:p>
            <w:pPr>
              <w:spacing w:after="0"/>
              <w:rPr>
                <w:sz w:val="21"/>
                <w:szCs w:val="21"/>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43"/>
        </w:trPr>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5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W. Reitmeier</w:t>
            </w:r>
          </w:p>
        </w:tc>
        <w:tc>
          <w:tcPr>
            <w:tcW w:w="12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21"/>
                <w:szCs w:val="21"/>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560" w:type="dxa"/>
            <w:vAlign w:val="bottom"/>
          </w:tcPr>
          <w:p>
            <w:pPr>
              <w:spacing w:after="0"/>
              <w:rPr>
                <w:sz w:val="21"/>
                <w:szCs w:val="21"/>
                <w:color w:val="auto"/>
              </w:rPr>
            </w:pPr>
          </w:p>
        </w:tc>
      </w:tr>
      <w:tr>
        <w:trPr>
          <w:trHeight w:val="225"/>
        </w:trPr>
        <w:tc>
          <w:tcPr>
            <w:tcW w:w="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L. Young</w:t>
            </w:r>
          </w:p>
        </w:tc>
        <w:tc>
          <w:tcPr>
            <w:tcW w:w="12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56</w:t>
            </w:r>
          </w:p>
        </w:tc>
        <w:tc>
          <w:tcPr>
            <w:tcW w:w="2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President and Chief Operating Officer, Residential</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Heating &amp; Cooling</w:t>
            </w:r>
          </w:p>
        </w:tc>
      </w:tr>
      <w:tr>
        <w:trPr>
          <w:trHeight w:val="225"/>
        </w:trPr>
        <w:tc>
          <w:tcPr>
            <w:tcW w:w="2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Terry L. Johnston</w:t>
            </w:r>
          </w:p>
        </w:tc>
        <w:tc>
          <w:tcPr>
            <w:tcW w:w="12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President and Chief Operating</w:t>
            </w: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North America Commercial Heating &amp; Cooling</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S. Bedard</w:t>
            </w:r>
          </w:p>
        </w:tc>
        <w:tc>
          <w:tcPr>
            <w:tcW w:w="12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President and Chief Operating</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 Worldwide Refrigeration</w:t>
            </w:r>
          </w:p>
        </w:tc>
      </w:tr>
      <w:tr>
        <w:trPr>
          <w:trHeight w:val="243"/>
        </w:trPr>
        <w:tc>
          <w:tcPr>
            <w:tcW w:w="2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Prakash Bedapudi</w:t>
            </w:r>
          </w:p>
        </w:tc>
        <w:tc>
          <w:tcPr>
            <w:tcW w:w="12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21"/>
                <w:szCs w:val="21"/>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Technology Officer</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56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M. Sessa</w:t>
            </w:r>
          </w:p>
        </w:tc>
        <w:tc>
          <w:tcPr>
            <w:tcW w:w="12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shd w:val="clear" w:color="auto" w:fill="CCEEFF"/>
          </w:tcPr>
          <w:p>
            <w:pPr>
              <w:spacing w:after="0"/>
              <w:rPr>
                <w:sz w:val="21"/>
                <w:szCs w:val="21"/>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Chief Human Resources Officer</w:t>
            </w:r>
          </w:p>
        </w:tc>
      </w:tr>
      <w:tr>
        <w:trPr>
          <w:trHeight w:val="243"/>
        </w:trPr>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5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D. Torres</w:t>
            </w:r>
          </w:p>
        </w:tc>
        <w:tc>
          <w:tcPr>
            <w:tcW w:w="12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21"/>
                <w:szCs w:val="21"/>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Secretary</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56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A. Kosel</w:t>
            </w:r>
          </w:p>
        </w:tc>
        <w:tc>
          <w:tcPr>
            <w:tcW w:w="12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shd w:val="clear" w:color="auto" w:fill="CCEEFF"/>
          </w:tcPr>
          <w:p>
            <w:pPr>
              <w:spacing w:after="0"/>
              <w:rPr>
                <w:sz w:val="21"/>
                <w:szCs w:val="21"/>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Chief Accounting Officer and Controller</w:t>
            </w:r>
          </w:p>
        </w:tc>
      </w:tr>
      <w:tr>
        <w:trPr>
          <w:trHeight w:val="243"/>
        </w:trPr>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560" w:type="dxa"/>
            <w:vAlign w:val="bottom"/>
            <w:shd w:val="clear" w:color="auto" w:fill="CCEEFF"/>
          </w:tcPr>
          <w:p>
            <w:pPr>
              <w:spacing w:after="0"/>
              <w:rPr>
                <w:sz w:val="21"/>
                <w:szCs w:val="21"/>
                <w:color w:val="auto"/>
              </w:rPr>
            </w:pPr>
          </w:p>
        </w:tc>
      </w:tr>
    </w:tbl>
    <w:p>
      <w:pPr>
        <w:spacing w:after="0" w:line="19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Todd M. Bluedorn </w:t>
      </w:r>
      <w:r>
        <w:rPr>
          <w:rFonts w:ascii="Times New Roman" w:cs="Times New Roman" w:eastAsia="Times New Roman" w:hAnsi="Times New Roman"/>
          <w:sz w:val="18"/>
          <w:szCs w:val="18"/>
          <w:color w:val="auto"/>
        </w:rPr>
        <w:t>was appointed Chief Executive Officer and was elected to our Board of Directors in April 2007. Mr. Bluedorn was elected Chairman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in May 2012. Prior to joining Lennox International, Mr. Bluedorn served in numerous senior management positions for United Technologies since 1995, including President, Americas - Otis Elevator Company; President, North America - Commercial Heating, Ventilation and Air Conditioning for Carrier Corporation; and President, Hamilton Sundstrand Industrial. He began his professional career with McKinsey &amp; Company in 1992. A graduate of the United States Military Academy at West Point with a bachelor of science in electrical engineering, Mr. Bluedorn served in the United States Army as a combat engineer officer and United States Army Ranger from 1985 to 1990. He received his MBA from Harvard University School of Business in 1992. Mr. Bluedorn also serves on the Board of Directors of Eaton Corporation, a diversified industrial manufacturer, on the Board of Directors of Texas Instruments Incorporated, a global designer and manufacturer of semiconductors, and on the Board of Trustees of Washington University in St. Louis. Mr. Bluedorn possesses considerable industry knowledge and executive leadership experience. Mr. Bluedorn’s extensive knowledge of our Company and its business, combined with his drive for excellence and innovation, position him well to serve as CEO and a director of our Company.</w:t>
      </w:r>
    </w:p>
    <w:p>
      <w:pPr>
        <w:spacing w:after="0" w:line="18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Joseph W. Reitmeier </w:t>
      </w:r>
      <w:r>
        <w:rPr>
          <w:rFonts w:ascii="Times New Roman" w:cs="Times New Roman" w:eastAsia="Times New Roman" w:hAnsi="Times New Roman"/>
          <w:sz w:val="18"/>
          <w:szCs w:val="18"/>
          <w:color w:val="auto"/>
        </w:rPr>
        <w:t>was appointed Executive Vice President, Chief Financial Officer in July 2012. He had served as Vice President of Finance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LII’s Commercial Heating &amp; Cooling segment since 2007 and as Director of Internal Audit from 2005 to 2007. Before joining the Company, he held financial leadership roles at Cummins Inc. and PolyOne Corporation. He is a director of Watts Water Technologies, Inc., a global provider of plumbing, heating and water quality solutions for residential,</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industrial, municipal and commercial settings. Mr. Reitmeier holds a bachelor’s degree in accounting from the University of Akron and an MBA from Case Western Reserve University. He is also a Certified Public Accountant.</w:t>
      </w:r>
    </w:p>
    <w:p>
      <w:pPr>
        <w:spacing w:after="0" w:line="16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Douglas L. Young </w:t>
      </w:r>
      <w:r>
        <w:rPr>
          <w:rFonts w:ascii="Times New Roman" w:cs="Times New Roman" w:eastAsia="Times New Roman" w:hAnsi="Times New Roman"/>
          <w:sz w:val="18"/>
          <w:szCs w:val="18"/>
          <w:color w:val="auto"/>
        </w:rPr>
        <w:t>was appointed Executive Vice President, President and Chief Operating Officer of LII’s Residential Heating &amp; Cooling segment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2006. Mr. Young had previously served as Vice President and General Manager of North American Residential Products since 2003 and as Vice President and General Manager of Lennox North American Residential Sales, Marketing, and Distribution from 1999 to 2003. Prior to his career with LII, Mr. Young was employed in the Appliances division of GE, where he held various management positions before serving as General Manager of Marketing for GE Appliance division’s retail group from 1997 to 1999 and as General Manager of Strategic Initiatives in 1999. He holds a BSBA from Creighton University and a master’s of science in management from Purdue University. Mr. Young serves on the Board of Directors of Beacon Roofing Supply, a general building material distributor and is a past Chairman of the Board of Directors of AHRI (the Air-Conditioning, Heating, and Refrigeration Institute), the trade association for the HVACR and water heating equipment industries.</w:t>
      </w:r>
    </w:p>
    <w:p>
      <w:pPr>
        <w:spacing w:after="0" w:line="185"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Terry L. Johnston </w:t>
      </w:r>
      <w:r>
        <w:rPr>
          <w:rFonts w:ascii="Times New Roman" w:cs="Times New Roman" w:eastAsia="Times New Roman" w:hAnsi="Times New Roman"/>
          <w:sz w:val="18"/>
          <w:szCs w:val="18"/>
          <w:color w:val="auto"/>
        </w:rPr>
        <w:t>was appointed Executive Vice President, President and Chief Operating Officer of LII’s North America Commercial Heating &amp; Cooling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in January 2013. Since May 2007, he had served as Vice President and General Manager, North America Commercial. He had previously served as Vice President, Marketing and Product Management, LII Worldwide Heating &amp; Cooling and as Vice President, Marketing and Product Management for Lennox Industries. Before joining LII in 2001, Mr. Johnston worked for 20 years at GE in a variety of product management and sales and marketing roles. He is on the Board of Directors of CSW Industrials, Inc., a diversified industrial growth company with businesses in industrial products, sealants and adhesives and specialty chemicals segments. He holds a bachelor of science in marketing from the University of Arkansas.</w:t>
      </w:r>
    </w:p>
    <w:p>
      <w:pPr>
        <w:spacing w:after="0" w:line="183"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Gary S. Bedard </w:t>
      </w:r>
      <w:r>
        <w:rPr>
          <w:rFonts w:ascii="Times New Roman" w:cs="Times New Roman" w:eastAsia="Times New Roman" w:hAnsi="Times New Roman"/>
          <w:sz w:val="18"/>
          <w:szCs w:val="18"/>
          <w:color w:val="auto"/>
        </w:rPr>
        <w:t>was appointed Executive Vice President, President and Chief Operating Officer of LII’s Worldwide Refrigeration business in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Since 2005, Mr. Bedard served as Vice President and General Manager, LII Residential Heating and Cooling. He has also held the positions of Vice President, Residential Product Management, LII Worldwide Heating and Cooling, Director of Brand and Product Management, and District Manager for Lennox Industries’ New York District. Prior to joining LII in 1998, Mr. Bedard spent eight years at York International in product management and sales leadership roles for commercial applied and unitary systems as well as residential systems. Mr. Bedard has a bachelor’s degree in engineering management from the United States Military Academy at West Point.</w:t>
      </w:r>
    </w:p>
    <w:p>
      <w:pPr>
        <w:spacing w:after="0" w:line="183"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Prakash Bedapudi </w:t>
      </w:r>
      <w:r>
        <w:rPr>
          <w:rFonts w:ascii="Times New Roman" w:cs="Times New Roman" w:eastAsia="Times New Roman" w:hAnsi="Times New Roman"/>
          <w:sz w:val="18"/>
          <w:szCs w:val="18"/>
          <w:color w:val="auto"/>
        </w:rPr>
        <w:t>was appointed Executive Vice President, Chief Technology Officer in July 2008. He had previously served as Vice President,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and Program Management for Trane Inc. Commercial Systems from 2006 through 2008, and as Vice President, Engineering and Technology for Trane’s Residential Systems division from 2003 through 2006. Prior to his career at Trane, Mr. Bedapudi served in senior engineering leadership positions for GE Transportation Systems, a division of General Electric Company, and for Cummins Engine Company. He holds a bachelor of science in mechanical/automotive engineering from Karnataka University, India and a master’s of science in mechanical/aeronautical engineering from the University of Cincinnati.</w:t>
      </w:r>
    </w:p>
    <w:p>
      <w:pPr>
        <w:spacing w:after="0" w:line="183"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Daniel M. Sessa </w:t>
      </w:r>
      <w:r>
        <w:rPr>
          <w:rFonts w:ascii="Times New Roman" w:cs="Times New Roman" w:eastAsia="Times New Roman" w:hAnsi="Times New Roman"/>
          <w:sz w:val="18"/>
          <w:szCs w:val="18"/>
          <w:color w:val="auto"/>
        </w:rPr>
        <w:t>was appointed Executive Vice President, Chief Human Resources Officer in June 2007. He had previously served in numerous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resources and legal leadership positions for United Technologies Corporation since 1996, including Vice President, Human Resources for Otis Elevator Company - Americas from 2005 to 2007, Director, Employee Benefits and Human Resources Systems for United Technologies Corporation from 2004 to 2005, and Director, Human Resources for Pratt &amp; Whitney from 2002 to 2004. He holds a bachelor of arts in law and society from the State University of New York at Binghamton and a juris doctor from the Hofstra University School of Law.</w:t>
      </w:r>
    </w:p>
    <w:p>
      <w:pPr>
        <w:spacing w:after="0" w:line="180"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John D. Torres </w:t>
      </w:r>
      <w:r>
        <w:rPr>
          <w:rFonts w:ascii="Times New Roman" w:cs="Times New Roman" w:eastAsia="Times New Roman" w:hAnsi="Times New Roman"/>
          <w:sz w:val="18"/>
          <w:szCs w:val="18"/>
          <w:color w:val="auto"/>
        </w:rPr>
        <w:t>was appointed Executive Vice President , Chief Legal Officer and Secretary in December 2008. He had previously served as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General Counsel and Secretary for Freescale Semiconductor, a semiconductor manufacturer that was originally part of Motorola. He joined Motorola’s legal department as Senior Counsel in 1996 and was appointed Vice President, General Counsel of the company’s semiconductor business in 2001. Prior to joining Motorola, Mr. Torres served 13 years in private practice in Phoenix, specializing in commercial law. He holds a bachelor of arts from Notre Dame and a juris doctor from the University of Chicago.</w:t>
      </w:r>
    </w:p>
    <w:p>
      <w:pPr>
        <w:spacing w:after="0" w:line="180" w:lineRule="exact"/>
        <w:rPr>
          <w:sz w:val="20"/>
          <w:szCs w:val="20"/>
          <w:color w:val="auto"/>
        </w:rPr>
      </w:pPr>
    </w:p>
    <w:p>
      <w:pPr>
        <w:jc w:val="both"/>
        <w:ind w:firstLine="23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Chris A. Kosel </w:t>
      </w:r>
      <w:r>
        <w:rPr>
          <w:rFonts w:ascii="Times New Roman" w:cs="Times New Roman" w:eastAsia="Times New Roman" w:hAnsi="Times New Roman"/>
          <w:sz w:val="18"/>
          <w:szCs w:val="18"/>
          <w:color w:val="auto"/>
        </w:rPr>
        <w:t>was appointed Vice President, Chief Accounting Officer and Controller in May 2017. He had previously served as Vice President,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and Planning for the Company since 2016. He also had served as Vice President, Finance and Controller / Director, Finance for the Company’s North America Commercial Business from 2015 - 2016 and Director, Financial Planning and Analysis for the Company’s Residential Business Unit from 2014 to 2015. Prior to 2014 he had served as Director, Finance for the Company’s Parts Plus Business and Director of the Company’s Financial Shared Services function. Prior to joining Lennox, he worked for Ernst &amp; Young. He holds a bachelor’s degree in accounting from Texas A&amp;M University. He is also a Certified Public Accountant.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Exchange Act that are based on information currently available to management as well as management’s assumptions and beliefs as of the date hereof. All statements, other than statements of historical fact, included in this Annual Report on Form 10-K constitute forward-looking statements within the meaning of the Private Securities Litigation Reform Act of 1995. Forward-looking statements can be identified by the words “may,” “will,” “should,” “plan,” “predict,” “anticipate,” “believe,” “intend,” “estimate” and “expect” and similar expressions. Statements that are not historical should also be considered forward-looking statements. Such statements reflect our current views with respect to future events. Readers are cautioned not to place undue reliance on these forward-looking statements. We believe these statements are based on reasonable assumptions; however, such statements are inherently subject to risks and uncertainties, including but not limited to the specific uncertainties discussed elsewhere in this Annual Report on Form 10-K and the risk factors set forth in Item 1A. Risk Factors in this Annual Report on Form 10-K. These risks and uncertainties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unless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following risk factors and other information included in this Annual Report on Form 10-K should be carefully considered. We believe these are the principal material risks currently facing our business; however, additional risks and uncertainties not presently known to us or that we presently deem less significant may also impair our business operations. If any of the following risks or those disclosed in our other SEC filings actually occurs, our business, financial condition or results of operations could be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Favorably in the Competitive HVACR Business.</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Substantially all of the markets in which we operate are competitive. The most significant competitive factors we face are product reliability, product performance, reputation of our company and brands, service and price, with the relative importance of these factors varying among our product lines. Other factors that affect competition in the HVACR market include the development and application of new technologies, an increasing emphasis on the development of more efficient HVACR products and new product introductions. We may not be able to adapt to market changes as quickly or effectively as our current and future competitors. Also, the establishment of manufacturing operations in low-cost countries could provide cost advantages to existing and emerging competitors. Some of our competitors may have greater financial resources than we have, allowing them to invest in more extensive research and development and/or marketing activity and making them better able to withstand adverse HVACR market conditions. Current and future competitive pressures may cause us to reduce our prices or lose market share, or could negatively affect our cash flow, all of which could have an adverse effect on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Is Affected by the Conditions of the U.S. Construction Industry.</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business is affected by the performance of the U.S. construction industry. Our sales in the residential and commercial new construction markets correlate to the number of new homes and buildings that are built, which in turn is influenced by cyclical factors such as interest rates, inflation, availability of financing, consumer spending habits and confidence, employment rates and other macroeconomic factors over which we have no control. Although the industry has improved over the last several years, our sales may not continue to improve or such improvement may be limited or lower than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Cooler than Normal Summers and Warmer than Normal Winters May Depress Our Sales.</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Demand for our products and for our services is seasonal and strongly affected by the weather. Cooler than normal summers depress our sales of replacement air conditioning and refrigeration products and services. Similarly, warmer than normal winters have the same effect on our heating products and services.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873"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Legislation or Government Regulations or Policies Can Have a Significant Impact on Our Results of Operations.</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sales, gross margins and profitability for each of our segments could be directly impacted by changes in legislation, trade agreements or government regulations, such as the changes to taxes, tariffs and trade agreements. Changes in environmental and energy efficiency standards and regulations, such as the recent amendments to the Montreal Protocol to phase down the use of hydrofluorocarbons, may particularly have a significant impact on the types of products that we are allowed to develop and sell, and the types of products that are developed and sold by our competitors. Our inability or delay in developing or marketing products that match customer demand and that meet applicable efficiency and environmental standards may negatively impact our results. The demand for our products and services could also be affected by the size and availability of tax incentives for purchasers of our products and services. Future legislation or regulations, including environmental matters, product certification, product liability, tariffs, duties, taxes, tax incentives and other matters, may impact the results of each of our operating segments and our consolidated results.</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General Business, Economic and Market Conditions Could Adversely Affect Our Financial Performance and Limit our Access to the Capital Markets.</w:t>
      </w:r>
    </w:p>
    <w:p>
      <w:pPr>
        <w:spacing w:after="0" w:line="15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Future disruptions in U.S. or global financial and credit markets or increases in the costs of capital might have an adverse impact on our business. The tightening, unavailability or increased costs of credit adversely affects the ability of our customers to obtain financing for significant purchases and operations, which could result in a decrease in sales of our products and services and may impact the ability of our customers to make payments to us. Similarly, tightening of credit may adversely affect our supplier base and increase the potential for one or more of our suppliers to experience financial distress or bankruptcy. Our business may also be adversely affected by future decreases in the general level of economic activity and increases in borrowing costs, which may cause our customers to cancel, decrease or delay their purchases of our products and services.</w:t>
      </w:r>
    </w:p>
    <w:p>
      <w:pPr>
        <w:spacing w:after="0" w:line="18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financial markets were to deteriorate, or costs of capital were to increase significantly due to a lowering of our credit ratings, prevailing industry conditions, the volatility of the capital markets or other factors, we may be unable to obtain new financing on acceptable terms, or at all. A deterioration in our financial performance could also limit our future ability to access amounts currently available under our domestic credit facility. In addition, availability under our asset securitization agreement may be adversely impacted by credit quality and performance of our customer accounts receivable. The availability under our asset securitization agreement is based on the amount of accounts receivable that meet the eligibility criteria of the asset securitization agreement. If receivable losses increase or credit quality deteriorates, the amount of eligible receivables could decline and, in turn, lower the availability under the asset securitization.</w:t>
      </w:r>
    </w:p>
    <w:p>
      <w:pPr>
        <w:spacing w:after="0" w:line="1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cannot predict the likelihood, duration or severity of any future disruption in financial markets or any adverse economic conditions in the U.S. and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Risks Including Foreign Currency Fluctuations, Regulations and Other Risks.</w:t>
      </w:r>
    </w:p>
    <w:p>
      <w:pPr>
        <w:spacing w:after="0" w:line="22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earn revenue, pay expenses, own assets and incur liabilities in countries using currencies other than the U.S. dollar. Our consolidated financial statements are presented in U.S. dollars and we translate revenue, income, expenses, assets and liabilities into U.S. dollars at exchange rates in effect during or at the end of each reporting period. Therefore, increases or decreases in the value of the U.S. dollar relative to other currencies may affect our net operating revenues, operating income and the value of balance sheet items denominated in foreign currencies. Because of the geographic diversity of our operations, weaknesses in some currencies might be offset by strengths in others over time. However, we cannot assure that fluctuations in foreign currency exchange rates, particularly the strengthening of the U.S. dollar against major currencies, would not materially affect our financial results.</w:t>
      </w:r>
    </w:p>
    <w:p>
      <w:pPr>
        <w:spacing w:after="0" w:line="18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addition to the currency exchange risks inherent in operating in foreign countries, our international sales and operations, including purchases of raw materials from international suppliers, are subject to risks associated with local government laws, regulations and policies (including those related to tariffs and trade barriers, investments, taxation, exchange controls, employment regulations and changes in laws and regulations). Our international sales and operations are also sensitive to changes in foreign national priorities, including government budgets, as well as to geopolitical and economic instability. International transactions may involve increased financial and legal risks due to differing legal systems and customs in foreign countries, as well as compliance with anti-corruption laws such as the U.S. Foreign Corrupt Practices Act and the U.K. Bribery Act. The ability to manage these risks could be difficult and may limit our operations and make the manufacture and sale of our products internationally more difficult, which could negatively affect our business and results of operations.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76" w:right="239" w:bottom="1440" w:gutter="0" w:footer="0" w:header="0"/>
        </w:sectPr>
      </w:pPr>
    </w:p>
    <w:bookmarkStart w:id="11" w:name="page12"/>
    <w:bookmarkEnd w:id="11"/>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Conflicts, wars, natural disasters or terrorist acts could also cause significant damage or disruption to our operations, employees, facilities, systems, suppliers, distributors, resellers or customers in the United States and internationally for extended periods of time and could also affect demand for our products.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sales outside of the United States comprised 15.7% of our net sales in 2018.</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Meet Customer Demand may be Limited by Our Single-Location Production Facilities, Reliance on Certain Key Suppliers and Unanticipated Significant Shifts in Customer Demand.</w:t>
      </w:r>
    </w:p>
    <w:p>
      <w:pPr>
        <w:spacing w:after="0" w:line="15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manufacture many of our products at single-location production facilities, and we rely on certain suppliers who also may concentrate production in single locations. Any significant interruptions in production at one or more of our facilities, or at a facility of one of our suppliers, could negatively impact our ability to deliver our products to our customers. Further, even with all of our facilities running at full production, we could potentially be unable to fully meet demand during an unanticipated period of exceptionally high demand. Our inability to meet our customers’ demand for our products could have a material adverse impact on our business, financial condition and results of operations.</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Price Volatility for Commodities and Components We Purchase or Significant Supply Interruptions Could Have an Adverse Effect on Our Cash Flow or Results of Operations.</w:t>
      </w:r>
    </w:p>
    <w:p>
      <w:pPr>
        <w:spacing w:after="0" w:line="15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depend on raw materials, such as steel, copper and aluminum, and components purchased from third parties to manufacture our products. We generally concentrate purchases for a given raw material or component with a small number of suppliers. If a supplier is unable or unwilling to meet our supply requirements, including suffering any disruptions at its facilities or in its supply chain, we could experience supply interruptions or cost increases, either of which could have an adverse effect on our results of operations. Similarly, suppliers of components that we purchase for use in our products may be affected by rising material costs and pass these increased costs on to us. Although we regularly pre-purchase a portion of our raw materials at fixed prices each year to hedge against price increases, an increase in raw materials prices not covered by our fixed price arrangements could significantly increase our cost of goods sold and negatively impact our margins if we are unable to effectively pass such price increases on to our customers. Alternatively, if we increase our prices in response to increases in the prices or quantities of raw materials or components or if we encounter significant supply interruptions, our competitive position could be adversely affected, which may result in depressed sales and profitability.</w:t>
      </w:r>
    </w:p>
    <w:p>
      <w:pPr>
        <w:spacing w:after="0" w:line="1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addition, we use derivatives to hedge price risk associated with forecasted purchases of certain raw materials. Our hedged prices could result in paying higher or lower prices for commodities as compared to the market prices for those commodities when purchased.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Claims Which Could Have an Adverse Effect on Our Results of Operations.</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development, manufacture, sale and use of our products involve warranty, intellectual property infringement, product liability claim and other risks. In some cases, we may incur liability claims for the installation and service of our products. Our product liability insurance policies have limits that, if exceeded, may result in substantial costs that would have an adverse effect on our results of operations. In addition, warranty claims are not covered by our product liability insurance and certain product liability claims may also not be covered by our product liability insurance.</w:t>
      </w:r>
    </w:p>
    <w:p>
      <w:pPr>
        <w:spacing w:after="0" w:line="180"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For some of our HVAC products, we provide warranty terms ranging from one to 20 years to customers for certain components such as compressors or heat exchangers. For certain limited products, we provided lifetime warranties for heat exchangers. Warranties of such extended lengths pose a risk to us as actual future costs may exceed our current estimates of those costs. Warranty expense is recorded on the date that revenue is recognized and requires significant assumptions about what costs will be incurred in the future. We may be required to record material adjustments to accruals and expense in the future if actual costs for these warranties are different from our assumptions.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Successfully Execute our Business Strategy, Our Results of Operations Could be Adversely Impacted</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future success depends on our continued investment in research and new product development as well as our ability to commercialize new HVACR technological advances in domestic and global markets. If we are unable to continue to timely and successfully develop and market new products, achieve technological advances or extend our business model and technological advances into international markets, our business and results of operations could be adversely impacted.</w:t>
      </w:r>
    </w:p>
    <w:p>
      <w:pPr>
        <w:spacing w:after="0" w:line="18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are engaged in various manufacturing rationalization actions designed to achieve our strategic priorities of manufacturing, sourcing and distribution excellence and of lowering our cost structure. For example, we are continuing to reorganize our North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0" w:right="2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American distribution network in order to better serve our customers’ needs by deploying parts and equipment inventory closer to them and are expanding our sourcing activities outside of the U.S. We also continue to rationalize and reorganize various support and administrative functions in order to reduce ongoing selling and administrative expenses. If we cannot successfully implement such distribution and restructuring strategies or other cost savings plans, we may not achieve our expected cost savings in the time anticipated, or at all. In such case, our results of operations and profitability may be negatively impacted, making us less competitive and potentially causing us to lose market share.</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and Operate Businesses that We May Acquire nor Realize the Anticipated Benefits of Strategic Relationships We May Form.</w:t>
      </w:r>
    </w:p>
    <w:p>
      <w:pPr>
        <w:spacing w:after="0" w:line="15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From time to time, we may seek to complement or expand our businesses through strategic acquisitions, joint ventures and strategic relationships. The success of these transactions will depend, in part, on our ability to timely identify those relationships, negotiate and close the transactions and then integrate, manage and operate those businesses profitably. If we are unable to successfully do those things, we may not realize the anticipated benefits associated with such transactions, which could adversely affect our business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Percentage of Our Workforce is Unionized in Certain Manufacturing Facilities, We Face Risks of Work Stoppages and Other Labor Relations Problems.</w:t>
      </w:r>
    </w:p>
    <w:p>
      <w:pPr>
        <w:spacing w:after="0" w:line="15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As of February 6, 2019, approximately 28% of our workforce, including international locations, was unionized. The results of future negotiations with these unions and the effects of any production interruptions or labor stoppages could have an adverse effect on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and Tax, Environmental and Other Regulations that Could Have an Adverse Effect on Our Results of Operations.</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are involved in various claims and lawsuits incidental to our business, including those involving product liability, labor relations, alleged exposure to asbestos-containing materials and environmental matters, some of which claim significant damages. Estimates related to our claims and lawsuits, including estimates for asbestos-related claims and related insurance recoveries, involve numerous uncertainties. Given the inherent uncertainty of litigation and estimates, we cannot be certain that existing claims or litigation or any future adverse legal developments will not have a material adverse impact on our financial condition. In addition, we are subject to extensive and changing federal, state and local laws and regulations designed to protect the environment. These laws and regulations could impose liability for remediation costs and civil or criminal penalties in cases of non-compliance. Compliance with environmental laws increases our costs of doing business. Because these laws are subject to frequent change, we are unable to predict the future costs resulting from environmental compliance.</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Determination that a Significant Impairment of the Value of Our Goodwill Intangible Asset Occurred Could Have a Material Adverse Effect on Our Results of Operations.</w:t>
      </w:r>
    </w:p>
    <w:p>
      <w:pPr>
        <w:spacing w:after="0" w:line="15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As of December 31, 2018, we had goodwill of $186.6 million on our Consolidated Balance Sheet. Any future determination that an impairment of the value of goodwill occurred would require a write-down of the impaired portion of goodwill to fair value and would reduce our assets and stockholders’ equity and could have a material adverse effect on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Capital Markets Could Necessitate Increased Cash Contributions by Us to Our Pension Plans to Maintain Required Levels of Funding.</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Volatility in the capital markets may have a significant impact on the funding status of our defined benefit pension plans. If the performance of the capital markets depresses the value of our defined benefit pension plan assets or increases the liabilities, we would be required to make additional contributions to the pension plans. The amount of contributions we may be required to make to our pension plans in the future is uncertain and could be significant, which may have a material impact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or Misuse of Information Systems We Rely Upon Could Affect Our Ability to Conduct Our Business Effectively.</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information systems and those of our business partners are important to our business activities. We also outsource various information systems, including data management, to third party service providers. Despite our security measures as well as those of our business partners and third-party service providers, the information systems we rely upon may be vulnerable to interruption or damage from computer hackings, computer viruses, worms or other destructive or disruptive software, process breakdowns,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80" w:right="2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denial of service attacks, malicious social engineering or other malicious activities, or any combination thereof. These information systems have been, and will likely continue to be, subject to attack. While we have implemented controls and taken other preventative actions to strengthen these systems against future attacks, we can give no assurance that these controls and preventative actions will be effective. Any breach of data security could result in a disruption of our services or improper disclosure of personal data or confidential information, which could harm our reputation, require us to expend resources to remedy such a security breach or defend against further attacks or subject us to liability under laws that protect personal data, resulting in increased operating costs or loss of revenue.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Suffer if We Cannot Continue to License or Enforce the Intellectual Property Rights on Which Our Businesses Depend or if Third Parties Assert That We Violate Their Intellectual Property Rights.</w:t>
      </w:r>
    </w:p>
    <w:p>
      <w:pPr>
        <w:spacing w:after="0" w:line="15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We rely upon patent, copyright, trademark and trade secret laws and agreements to establish and maintain intellectual property rights in the products we sell. Our intellectual property rights could be challenged, invalidated, infringed, circumvented, or be insufficient to permit us to take advantage of current market trends or to otherwise provide competitive advantages. Further, the laws of certain countries do not protect proprietary rights to the same extent as the laws of the United States.</w:t>
      </w:r>
    </w:p>
    <w:p>
      <w:pPr>
        <w:spacing w:after="0" w:line="180"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Third parties may also claim that we are infringing upon their intellectual property rights. If we do not license infringed intellectual property or if we are required to substitute similar technology from another source, our operations could be adversely affected. Even if we believe that intellectual property claims are without merit, they can be time consuming, require significant resources and be costly to defend. Claims of intellectual property infringement also might require us to redesign affected products, pay costly damage awards, or face injunction prohibiting us from manufacturing, importing, marketing or selling certain of our products. Even if we have agreements to indemnify us, indemnifying parties may be unable or unwilling to do so.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following chart lists our principal domestic and international manufacturing, distribution and office facilities as of December 31, 2018 and indicates the business segment that uses such facilities, the approximate size of such facilities and whether such facilities are owned or leased. Also included in the chart are large warehouses that hold significant inventory balances.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Approx. Sq. Ft. (In</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3"/>
        </w:trPr>
        <w:tc>
          <w:tcPr>
            <w:tcW w:w="1640" w:type="dxa"/>
            <w:vAlign w:val="bottom"/>
            <w:gridSpan w:val="3"/>
          </w:tcPr>
          <w:p>
            <w:pPr>
              <w:ind w:left="40"/>
              <w:spacing w:after="0" w:line="183" w:lineRule="exact"/>
              <w:rPr>
                <w:sz w:val="20"/>
                <w:szCs w:val="20"/>
                <w:color w:val="auto"/>
              </w:rPr>
            </w:pPr>
            <w:r>
              <w:rPr>
                <w:rFonts w:ascii="Times New Roman" w:cs="Times New Roman" w:eastAsia="Times New Roman" w:hAnsi="Times New Roman"/>
                <w:sz w:val="16"/>
                <w:szCs w:val="16"/>
                <w:b w:val="1"/>
                <w:bCs w:val="1"/>
                <w:color w:val="auto"/>
              </w:rPr>
              <w:t>Location</w:t>
            </w:r>
          </w:p>
        </w:tc>
        <w:tc>
          <w:tcPr>
            <w:tcW w:w="1860" w:type="dxa"/>
            <w:vAlign w:val="bottom"/>
          </w:tcPr>
          <w:p>
            <w:pPr>
              <w:spacing w:after="0"/>
              <w:rPr>
                <w:sz w:val="15"/>
                <w:szCs w:val="15"/>
                <w:color w:val="auto"/>
              </w:rPr>
            </w:pPr>
          </w:p>
        </w:tc>
        <w:tc>
          <w:tcPr>
            <w:tcW w:w="19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Segment</w:t>
            </w:r>
          </w:p>
        </w:tc>
        <w:tc>
          <w:tcPr>
            <w:tcW w:w="2960" w:type="dxa"/>
            <w:vAlign w:val="bottom"/>
            <w:gridSpan w:val="3"/>
          </w:tcPr>
          <w:p>
            <w:pPr>
              <w:ind w:left="860"/>
              <w:spacing w:after="0" w:line="183" w:lineRule="exact"/>
              <w:rPr>
                <w:sz w:val="20"/>
                <w:szCs w:val="20"/>
                <w:color w:val="auto"/>
              </w:rPr>
            </w:pPr>
            <w:r>
              <w:rPr>
                <w:rFonts w:ascii="Times New Roman" w:cs="Times New Roman" w:eastAsia="Times New Roman" w:hAnsi="Times New Roman"/>
                <w:sz w:val="16"/>
                <w:szCs w:val="16"/>
                <w:b w:val="1"/>
                <w:bCs w:val="1"/>
                <w:color w:val="auto"/>
              </w:rPr>
              <w:t>Type or Use of Facility</w:t>
            </w:r>
          </w:p>
        </w:tc>
        <w:tc>
          <w:tcPr>
            <w:tcW w:w="360" w:type="dxa"/>
            <w:vAlign w:val="bottom"/>
          </w:tcPr>
          <w:p>
            <w:pPr>
              <w:spacing w:after="0"/>
              <w:rPr>
                <w:sz w:val="15"/>
                <w:szCs w:val="15"/>
                <w:color w:val="auto"/>
              </w:rPr>
            </w:pPr>
          </w:p>
        </w:tc>
        <w:tc>
          <w:tcPr>
            <w:tcW w:w="820" w:type="dxa"/>
            <w:vAlign w:val="bottom"/>
            <w:gridSpan w:val="2"/>
          </w:tcPr>
          <w:p>
            <w:pPr>
              <w:jc w:val="center"/>
              <w:ind w:right="80"/>
              <w:spacing w:after="0" w:line="183" w:lineRule="exact"/>
              <w:rPr>
                <w:sz w:val="20"/>
                <w:szCs w:val="20"/>
                <w:color w:val="auto"/>
              </w:rPr>
            </w:pPr>
            <w:r>
              <w:rPr>
                <w:rFonts w:ascii="Times New Roman" w:cs="Times New Roman" w:eastAsia="Times New Roman" w:hAnsi="Times New Roman"/>
                <w:sz w:val="16"/>
                <w:szCs w:val="16"/>
                <w:b w:val="1"/>
                <w:bCs w:val="1"/>
                <w:color w:val="auto"/>
                <w:w w:val="99"/>
              </w:rPr>
              <w:t>thousands)</w:t>
            </w:r>
          </w:p>
        </w:tc>
        <w:tc>
          <w:tcPr>
            <w:tcW w:w="2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Owned/Leased</w:t>
            </w:r>
          </w:p>
        </w:tc>
      </w:tr>
      <w:tr>
        <w:trPr>
          <w:trHeight w:val="48"/>
        </w:trPr>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Marshalltown, IA</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Orangeburg, SC</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Saltillo, Mexico</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Owned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Grenada, MS</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Romeoville, IL</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McDonough, GA</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Columbus, OH</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Pittston, PA</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Concord, NC</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Harahan, LA</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Kansas City, MI</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Denver, CO</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 Louis, MO</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Salt Lake City,UT</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Minneapolis, MN</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Eastvale, CA</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Carrollton, TX</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Brampton, Canada</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Houston, TX</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Orlando, FL</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Middletown, PA</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Lenexa, KS</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East Fife, WA</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1"/>
              </w:rPr>
              <w:t>112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Calgary, Canada</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1"/>
              </w:rPr>
              <w:t>110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Stuttgart, AR</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Manufacturing</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Owned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Longvic, France</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Commercial Heating &amp; Cooling</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Manufacturing</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Owned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Longvic, France</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Owned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Dallas, TX</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Commercial Heating &amp; Cooling</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Norcross, GA</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Burgos, Spain</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Commercial Heating &amp; Cooling &amp; Refrigeration</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Manufacturing</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Owned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Mions, France</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Heating &amp; Cooling &amp; Refrigeration</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&amp; Development</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Owned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Genas, France</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Commercial Heating &amp; Cooling &amp; Refrigeration</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Manufacturing, Distribution &amp; Offices</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1"/>
              </w:rPr>
              <w:t>111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Owned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Tifton, GA</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Refrigeration</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738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6"/>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Columbus, GA</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Refrigeration</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Manufacturing, Warehousing &amp;</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523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0"/>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Offices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1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Stone Mountain, GA</w:t>
            </w:r>
          </w:p>
        </w:tc>
        <w:tc>
          <w:tcPr>
            <w:tcW w:w="3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Refrigeration</w:t>
            </w:r>
          </w:p>
        </w:tc>
        <w:tc>
          <w:tcPr>
            <w:tcW w:w="2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Manufacturing &amp; Business Unit</w:t>
            </w:r>
          </w:p>
        </w:tc>
        <w:tc>
          <w:tcPr>
            <w:tcW w:w="1100" w:type="dxa"/>
            <w:vAlign w:val="bottom"/>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Owned</w:t>
            </w: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Headquarters</w:t>
            </w: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Krunkel, Germany</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Refrigeration</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Manufacturing, Distribution &amp; Offices</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Owned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Richardson, TX</w:t>
            </w: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and other</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Corporate Headquarters</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356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24"/>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Carrollton, TX</w:t>
            </w:r>
          </w:p>
        </w:tc>
        <w:tc>
          <w:tcPr>
            <w:tcW w:w="3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Corporate and other</w:t>
            </w:r>
          </w:p>
        </w:tc>
        <w:tc>
          <w:tcPr>
            <w:tcW w:w="2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Research &amp; Development</w:t>
            </w:r>
          </w:p>
        </w:tc>
        <w:tc>
          <w:tcPr>
            <w:tcW w:w="11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294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Owned</w:t>
            </w: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76" w:right="239" w:bottom="1440" w:gutter="0" w:footer="0" w:header="0"/>
        </w:sectPr>
      </w:pPr>
    </w:p>
    <w:bookmarkStart w:id="15" w:name="page16"/>
    <w:bookmarkEnd w:id="15"/>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addition to the properties described above, we lease numerous facilities in the U.S. and worldwide for use as sales offices, service offices and district and regional warehouses. We routinely evaluate our facilities to ensure adequate capacity, effective cost structure, and consistency with our business strategy. We believe that our properties are in good condition, suitable and adequate for their present requirements and that our principal manufacturing plants are generally adequate to meet our production needs.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 For more information, see Note 11 in the Notes to the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56" w:lineRule="exact"/>
        <w:rPr>
          <w:sz w:val="20"/>
          <w:szCs w:val="20"/>
          <w:color w:val="auto"/>
        </w:rPr>
      </w:pPr>
    </w:p>
    <w:p>
      <w:pPr>
        <w:ind w:left="20" w:right="2480"/>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 for Common Stock</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common stock is listed for trading on the New York Stock Exchange under the symbol “LII.”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2018 and 2017, we declared quarterly cash dividends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412115</wp:posOffset>
            </wp:positionV>
            <wp:extent cx="1235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0.43</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0.51</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0.51</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0.51</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amount and timing of dividend payments are determined by our Board of Directors and subject to certain restrictions under our domestic revolving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the close of business on February 8, 2019, approximately 621 holders of record held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Total Stockholder Return</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returns of LII’s common stock with the cumulative total returns of the Standards &amp; Poor’s Midcap 400 Index, a broad index of mid-size U.S. companies of which the Company is a part, and with a peer group of U.S. industrial manufacturing and service companies in the HVACR businesses. The graph assumes that $100 was invested on December 31, 2013, with dividends reinvested. Our peer group includes AAON, Inc., Ingersoll-Rand plc, Comfort Systems USA, Inc., United Technologies Corporation, Johnson Controls Inc., and Watsco, Inc. Peer group returns are weighted by market capitalization.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80"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380365</wp:posOffset>
            </wp:positionV>
            <wp:extent cx="5848985" cy="3112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This performance graph and other information furnished under this Comparison of Total Stockholder Return section shall not be deemed to be “soliciting material” or to be “filed” with the Securities and Exchange Commission or subject to Regulation 14A or 14C, or to the liabilities of Section 18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Purchases of LII Equity Securities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Board of Directors has authorized a total of $2.5 billion towards the repurchase of shares of our common stock (collectively referred to as the “Share Repurchase Plans”), including a $500 million share repurchase authorization in March 2018. The Share Repurchase Plans authorize open market repurchase transactions and do not have a stated expiration date. As of December 31, 2018, $446 million may be used to repurchase shares under the Share Repurchase Plans.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fourth quarter of 2018, we purchased shares of our common stock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r>
      <w:tr>
        <w:trPr>
          <w:trHeight w:val="203"/>
        </w:trPr>
        <w:tc>
          <w:tcPr>
            <w:tcW w:w="4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 of Shares that</w:t>
            </w:r>
          </w:p>
        </w:tc>
      </w:tr>
      <w:tr>
        <w:trPr>
          <w:trHeight w:val="203"/>
        </w:trPr>
        <w:tc>
          <w:tcPr>
            <w:tcW w:w="4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Purchased As</w:t>
            </w:r>
          </w:p>
        </w:tc>
        <w:tc>
          <w:tcPr>
            <w:tcW w:w="2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may yet be Purchased</w:t>
            </w:r>
          </w:p>
        </w:tc>
      </w:tr>
      <w:tr>
        <w:trPr>
          <w:trHeight w:val="203"/>
        </w:trPr>
        <w:tc>
          <w:tcPr>
            <w:tcW w:w="4240" w:type="dxa"/>
            <w:vAlign w:val="bottom"/>
          </w:tcPr>
          <w:p>
            <w:pPr>
              <w:spacing w:after="0"/>
              <w:rPr>
                <w:sz w:val="17"/>
                <w:szCs w:val="17"/>
                <w:color w:val="auto"/>
              </w:rPr>
            </w:pPr>
          </w:p>
        </w:tc>
        <w:tc>
          <w:tcPr>
            <w:tcW w:w="16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Total Shares</w:t>
            </w:r>
          </w:p>
        </w:tc>
        <w:tc>
          <w:tcPr>
            <w:tcW w:w="240" w:type="dxa"/>
            <w:vAlign w:val="bottom"/>
          </w:tcPr>
          <w:p>
            <w:pPr>
              <w:spacing w:after="0"/>
              <w:rPr>
                <w:sz w:val="17"/>
                <w:szCs w:val="17"/>
                <w:color w:val="auto"/>
              </w:rPr>
            </w:pPr>
          </w:p>
        </w:tc>
        <w:tc>
          <w:tcPr>
            <w:tcW w:w="18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 Share (including</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2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 the Plans</w:t>
            </w:r>
          </w:p>
        </w:tc>
      </w:tr>
      <w:tr>
        <w:trPr>
          <w:trHeight w:val="245"/>
        </w:trPr>
        <w:tc>
          <w:tcPr>
            <w:tcW w:w="424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 xml:space="preserve">Purchased </w:t>
            </w:r>
            <w:r>
              <w:rPr>
                <w:rFonts w:ascii="Times New Roman" w:cs="Times New Roman" w:eastAsia="Times New Roman" w:hAnsi="Times New Roman"/>
                <w:sz w:val="21"/>
                <w:szCs w:val="21"/>
                <w:b w:val="1"/>
                <w:bCs w:val="1"/>
                <w:color w:val="auto"/>
                <w:vertAlign w:val="superscript"/>
              </w:rPr>
              <w:t>(1)</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6"/>
              </w:rPr>
              <w:t>fees)</w:t>
            </w:r>
          </w:p>
        </w:tc>
        <w:tc>
          <w:tcPr>
            <w:tcW w:w="2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22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 xml:space="preserve">(in millions) </w:t>
            </w:r>
            <w:r>
              <w:rPr>
                <w:rFonts w:ascii="Times New Roman" w:cs="Times New Roman" w:eastAsia="Times New Roman" w:hAnsi="Times New Roman"/>
                <w:sz w:val="21"/>
                <w:szCs w:val="21"/>
                <w:b w:val="1"/>
                <w:bCs w:val="1"/>
                <w:color w:val="auto"/>
                <w:w w:val="97"/>
                <w:vertAlign w:val="superscript"/>
              </w:rPr>
              <w:t>(2)</w:t>
            </w: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1 through October 31</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74,796</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200.02</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74,300</w:t>
            </w:r>
          </w:p>
        </w:tc>
        <w:tc>
          <w:tcPr>
            <w:tcW w:w="1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530.9</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 through November 30</w:t>
            </w: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423,374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204.95</w:t>
            </w: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415,434</w:t>
            </w:r>
          </w:p>
        </w:tc>
        <w:tc>
          <w:tcPr>
            <w:tcW w:w="19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445.8</w:t>
            </w:r>
          </w:p>
        </w:tc>
      </w:tr>
      <w:tr>
        <w:trPr>
          <w:trHeight w:val="27"/>
        </w:trPr>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 through December 31</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19,372</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210.37</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445.8</w:t>
            </w:r>
          </w:p>
        </w:tc>
      </w:tr>
      <w:tr>
        <w:trPr>
          <w:trHeight w:val="237"/>
        </w:trPr>
        <w:tc>
          <w:tcPr>
            <w:tcW w:w="4240" w:type="dxa"/>
            <w:vAlign w:val="bottom"/>
          </w:tcPr>
          <w:p>
            <w:pPr>
              <w:spacing w:after="0"/>
              <w:rPr>
                <w:sz w:val="20"/>
                <w:szCs w:val="20"/>
                <w:color w:val="auto"/>
              </w:rPr>
            </w:pPr>
          </w:p>
        </w:tc>
        <w:tc>
          <w:tcPr>
            <w:tcW w:w="16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517,542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489,734</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03" w:lineRule="exact"/>
        <w:rPr>
          <w:sz w:val="20"/>
          <w:szCs w:val="20"/>
          <w:color w:val="auto"/>
        </w:rPr>
      </w:pPr>
    </w:p>
    <w:p>
      <w:pPr>
        <w:ind w:left="420" w:right="20" w:hanging="169"/>
        <w:spacing w:after="0" w:line="218" w:lineRule="auto"/>
        <w:tabs>
          <w:tab w:leader="none" w:pos="469" w:val="left"/>
        </w:tabs>
        <w:numPr>
          <w:ilvl w:val="0"/>
          <w:numId w:val="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the surrender to LII of 27,808 shares of common stock to satisfy employee tax-withholding obligations in connection with the exercise of vested stock appreciation rights and the vesting of restricted stock units.</w:t>
      </w:r>
    </w:p>
    <w:p>
      <w:pPr>
        <w:spacing w:after="0" w:line="37" w:lineRule="exact"/>
        <w:rPr>
          <w:rFonts w:ascii="Times New Roman" w:cs="Times New Roman" w:eastAsia="Times New Roman" w:hAnsi="Times New Roman"/>
          <w:sz w:val="25"/>
          <w:szCs w:val="25"/>
          <w:color w:val="auto"/>
          <w:vertAlign w:val="superscript"/>
        </w:rPr>
      </w:pPr>
    </w:p>
    <w:p>
      <w:pPr>
        <w:jc w:val="both"/>
        <w:ind w:left="420" w:hanging="169"/>
        <w:spacing w:after="0" w:line="233" w:lineRule="auto"/>
        <w:tabs>
          <w:tab w:leader="none" w:pos="471" w:val="left"/>
        </w:tabs>
        <w:numPr>
          <w:ilvl w:val="0"/>
          <w:numId w:val="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After $150 million payment for Accelerated Share Repurchase Plan (ASR) executed in February 2018, $200.2 million share repurchase from open market transactions during the second quarter and $100 million share repurchase from open market transactions during the fourth quarter. Final settlement of the ASR occurred in April 2018. The ASR and the stock repurchase was executed pursuant to a previously announced repurchase plan. See Note 16 in the Notes to the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440"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selected financial data for each of the five years ended December 31, 2018 to 2014 (in millions,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8"/>
          </w:tcPr>
          <w:p>
            <w:pPr>
              <w:ind w:left="3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3,883.9</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3,839.6</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3,641.6</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3,467.4</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3,367.4</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509.5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494.5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429.4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334.7</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360.3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278.6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208.1</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359.0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205.8</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Share From Continuing Operations</w:t>
            </w:r>
          </w:p>
        </w:tc>
        <w:tc>
          <w:tcPr>
            <w:tcW w:w="24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8.87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4.35</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8.77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4.28</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38"/>
        </w:trPr>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95.2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88.4</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60.7</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1,817.2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1,891.5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1,760.3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1,677.4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1,764.3</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1,041.3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1,004.0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868.2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741.1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925.6</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5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Information in the table above is not necessarily indicative of results of future operations. To understand the factors that may affect comparability, the financial data should be read in conjunction with Item 7, “Management’s Discussion and Analysis of Financial Condition and Results of Operations,” and the Consolidated Financial Statements and the related Notes to the Consolidated Financial Statements in Item 8, “Financial Statements and Supplementary Data,” of this Form 10-K.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other sections of this report, including the consolidated financial statements and related notes contained in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more detailed information regarding our reportable segments, see Note 20 in the Notes to the Consolidated Financial Statements.</w:t>
      </w:r>
    </w:p>
    <w:p>
      <w:pPr>
        <w:spacing w:after="0" w:line="176"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92" w:right="239" w:bottom="1440" w:gutter="0" w:footer="0" w:header="0"/>
        </w:sectPr>
      </w:pPr>
    </w:p>
    <w:bookmarkStart w:id="18" w:name="page19"/>
    <w:bookmarkEnd w:id="18"/>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 The principal raw materials used in our manufacturing processes are steel, copper and aluminum. In recent years, pricing volatility for these commodities and related components has impacted us and the HVACR industry in general. We seek to mitigate the impact of commodity price volatility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184"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 July 19, 2018 our manufacturing facility in Marshalltown, Iowa was damaged by a tornado. Insurance covers the repair or replacement of our assets that suffered damage or loss. We are working closely with our insurance carriers and claims adjusters to ascertain the full amount of insurance recoveries due to us as a result of the damage and loss we suffered. Our insurance policies also provide business interruption coverage, including lost profits, and reimbursement for other expenses and costs that have been incurred relating to the damages and losses suffered. For the year ended December 31, 2018 we incurred expenses of $86.0 million related to damages caused by the tornado, which included the write-off of damaged property, equipment and inventory, freight to move product to other warehouses and professional fees to secure and maintain the site. We have received insurance recoveries of $124.3 million for the year ended December 31, 2018. We have allocated the first $96.9 million of insurance recoveries to cover our expenses and rebuilding costs incurred to date which is included in Gain from insurance recoveries, net of losses incurred in the Consolidated Statements of Operations. The remaining $27.4 million of insurance recoveries represents amounts for lost profits and is shown in Insurance proceeds for lost profits in the Consolidated Statements of Operations. In 2019, we expect to receive approximately $83 million of insurance proceeds related to lost profits and $149 million of insurance proceeds to fund the reconstruction of the facility and as reimbursement for other losses and expenses expected to be incurred. As part of our recovery efforts, we have shifted production of certain products that were previously only produced at our Marshalltown facility to our other facilities. We believe this provides increased manufacturing flexibility.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$44 million, or 1.2%, to $3,884 million in 2018 from $3,840 million in 2017.</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2018 was $510 million compared to $495 million in 2017. The increase was primarily due to increased sales, reductions in SG&amp;A expenses, and insurance proceeds received for third-quarter lost profits, partially offset by lower gross profit.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 2018 increased to $359 million from $306 million in 2017.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from continuing operations were $8.77 per share in 2018 compared to $7.17 per share in 2017.</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$496 million of cash flow from operating activities in 2018 compared to $325 million in 2017. The increase was primarily due to a decrease in working capital and an increase in net income.</w:t>
      </w:r>
    </w:p>
    <w:p>
      <w:pPr>
        <w:jc w:val="both"/>
        <w:ind w:left="660" w:right="2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we returned $94 million to shareholders through dividend payments and we used $450 million to purchase 2.3 million shares of stock under our Share Repurchase Plans. We also received $115 million in net proceeds from the sale of our businesses in Australia, Asia and South America along with the sale of the related property.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Results</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Despite the impact of the tornado at our Marshalltown facility the Residential Heating &amp; Cooling segment performed well in 2018, with a 4.0% increase in net sales and a $26 million increase in segment profit compared to 2017, including the insurance proceeds received for lost profits in 2018. Our Commercial Heating &amp; Cooling segment also performed well in 2018 with a 7.2% increase in net sales and a $2 million increase in segment profit compared to 2017. This segment’s results were driven by volume and price gains. Sales in our Refrigeration segment decreased 15% and segment profit decreased $7 million compared to 2017 mostly due to the sale of our Australia, Asia and South America businesses.</w:t>
      </w:r>
    </w:p>
    <w:p>
      <w:pPr>
        <w:spacing w:after="0" w:line="184"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On a consolidated basis, our gross profit margins decreased to 28.6% in 2018 due primarily to unfavorable commodities, factory inefficiencies due to disruption caused by the tornado at our Marshalltown facility, and higher freight and distribution costs. These declines were partially offset by favorable price and mix and sourcing and engineering-led cost reductions across our business.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 (dollars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15"/>
          </w:tcPr>
          <w:p>
            <w:pPr>
              <w:jc w:val="center"/>
              <w:ind w:left="572"/>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2017</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gridSpan w:val="5"/>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w w:val="99"/>
              </w:rPr>
              <w:t>2016</w:t>
            </w:r>
          </w:p>
        </w:tc>
      </w:tr>
      <w:tr>
        <w:trPr>
          <w:trHeight w:val="33"/>
        </w:trPr>
        <w:tc>
          <w:tcPr>
            <w:tcW w:w="5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6"/>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w w:val="96"/>
              </w:rPr>
              <w:t>Dollars</w:t>
            </w: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33"/>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6"/>
              </w:rPr>
              <w:t>3,883.9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3,839.6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3,641.6</w:t>
            </w:r>
          </w:p>
        </w:tc>
        <w:tc>
          <w:tcPr>
            <w:tcW w:w="11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6"/>
              </w:rPr>
              <w:t>2,772.7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2,714.4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2,565.1</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70.4 %</w:t>
            </w: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6"/>
              </w:rPr>
              <w:t>1,111.2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1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1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(gain), net on sale of businesses and related property</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from insurance recoveries, net of losses incurred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 proceeds for lost profits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5"/>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settlement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1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97"/>
        </w:trPr>
        <w:tc>
          <w:tcPr>
            <w:tcW w:w="50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509.5</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494.5</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51"/>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305.7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40" w:type="dxa"/>
            <w:vAlign w:val="bottom"/>
            <w:tcBorders>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9"/>
        </w:trPr>
        <w:tc>
          <w:tcPr>
            <w:tcW w:w="632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The following table provides net sales by geographic market (dollars in millions):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2"/>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1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5"/>
          </w:tcPr>
          <w:p>
            <w:pPr>
              <w:spacing w:after="0"/>
              <w:rPr>
                <w:sz w:val="2"/>
                <w:szCs w:val="2"/>
                <w:color w:val="auto"/>
              </w:rPr>
            </w:pPr>
          </w:p>
        </w:tc>
      </w:tr>
      <w:tr>
        <w:trPr>
          <w:trHeight w:val="231"/>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6"/>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2017</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gridSpan w:val="5"/>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5"/>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33"/>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 by Geographic Market: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84.3%</w:t>
            </w:r>
          </w:p>
        </w:tc>
        <w:tc>
          <w:tcPr>
            <w:tcW w:w="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c>
          <w:tcPr>
            <w:tcW w:w="6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2,966.8</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180" w:type="dxa"/>
            <w:vAlign w:val="bottom"/>
            <w:tcBorders>
              <w:bottom w:val="single" w:sz="8" w:color="CCEEFF"/>
            </w:tcBorders>
            <w:gridSpan w:val="5"/>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180" w:type="dxa"/>
            <w:vAlign w:val="bottom"/>
            <w:gridSpan w:val="5"/>
          </w:tcPr>
          <w:p>
            <w:pPr>
              <w:jc w:val="right"/>
              <w:ind w:right="93"/>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3,883.9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3,641.6</w:t>
            </w:r>
          </w:p>
        </w:tc>
        <w:tc>
          <w:tcPr>
            <w:tcW w:w="11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2018 Compared to Year Ended December 31, 2018 - Consolidated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27"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Net sales increased 1.2% in 2018 compared to 2017, primarily driven by volume and price increases. The increase in volume was primarily due to market growth in our Residential Heating and Cooling and Commercial Heating and Cooling segments. These increases were partially offset by the impact due to the sale of our Australia, Asia and South America businesses in our Refrigeration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Gross profit margins for 2018 decreased 70 basis points (“bps”) to 28.6% compared to 29.3% in 2017. We saw margin decreases of 120 bps from higher commodity costs, 100 bps from higher freight and distribution costs, and 50 bps from other product costs. These decreases were offset by increases of 130 bps from favorable price and mix and 70 bps from sourcing and engineering-led cost reductions.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76"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SG&amp;A expenses decreased by $30 million in 2018 compared to 2017. As a percentage of net sales, SG&amp;A expenses decreased 90 bps from 16.6% to 15.7% in the same periods. SG&amp;A decreased primarily due to the sale of our divested businesses in Australia, Asia and South America.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for 2018 and 2017 included the following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54"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For the Years Ended December</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Realized gains, net on settled futures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exchange losses (gains),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on disposal of fixed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unrealized losses, net on unsettled futures contracts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legal contingency charge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Contractor tax payments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items,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realized gains on settled futures contracts in 2018 was attributable to changes in commodity prices relative to our settled futures contract prices, as commodity prices have increased in 2018 relative to 2017. Additionally, the change in unrealized losses, net on unsettled futures contracts was due to lower commodity prices relative to the unsettled futures contract prices. For more information on our derivatives, see Note 9 in the Notes to the Consolidated Financial Statements.</w:t>
      </w:r>
    </w:p>
    <w:p>
      <w:pPr>
        <w:spacing w:after="0" w:line="18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Foreign currency exchange losses increased in 2018 primarily due to weakening in foreign exchange rates in our primary markets. The special legal contingency charges decreased primarily due to lower legal costs associated with outstanding legal settlements. The asbestos-related litigation relates to known and estimated future asbestos matters. The environmental liabilities relate to estimated remediation costs for contamination at some of our facilities. Refer to Note 11 in the Notes to the Consolidated Financial Statements for more information on litigation, including the asbestos-related litigation, and the environmental liabilities.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Restructuring charges were $3.0 million in 2018 compared to $3.2 million in 2017. The charges in 2018 and 2017 were primarily for projects to realign resources and enhance manufacturing and distribution capabilities. For more information on our restructuring activities, see Note 18 in the Notes to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performed a qualitative impairment analysis and noted no indicators of goodwill impairment for the year ended December 31, 2018. In the current year, we wrote off $11.5 million of goodwill as a part of the completed sales of our Australia, Asia and South America businesses (discussed further in Note 17 of the Notes to the Consolidated Financial Statements). Also, we did not record any goodwill impairments in 2017. Refer to Note 5 in the Notes to the Consolidated Financial Statements for more information on goodwill.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did not have any impairments of assets related to continuing operations in 2018 or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78"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Pension Settlement</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did not have significant pension buyout activity in 2018 or 2017. Refer to Note 13 in the Notes to the Consolidated Financial Statements for more information on pensions and employee benefit plans.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Investments over which we do not exercise control but have significant influence are accounted for using the equity method of accounting. Income from equity method investments was $12 million in 2018 compared to $18 million in 2017. The decrease is because the joint ventures have experienced increased costs related to commodities and components and have not passed these increased costs on through price increases.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Net interest expense of $38 million in 2018 increased from $31 million in 2017 primarily due to an increase in our average borrowings and rising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income tax provision was $108 million in 2018 compared to $157 million in 2017, and the effective tax rate was 23% in 2018 compared to 34% in 2017. The 2018 effective tax rate differs from the statutory rate of 21% primarily due to state and foreign taxes. The 2017 effective tax rate was negatively impacted by changes in U.S. tax legislation that reduced the value of our deferred tax assets by $31.8 million, partially offset by the benefit from the impact of excess tax benefits of $23.6 million. We expect our effective tax rate will be between 22% and 23% in future years excluding the impact of excess tax benefits. Refer to Note 10 in the Notes to the Consolidated Financial Statements for more information on the impact of recent changes in tax legislation.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$1 million of pre-tax income incurred in 2018 and $2 million of pre-tax losses in 2017 primarily relate to changes in retained product liabilities and general liabilities for the Service Experts business sold in 2013 and the Hearth business sold in 2012.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2018 Compared to Year Ended December 31, 2017 - Results by Segment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Heating &amp; Cooling</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Residential Heating &amp; Cooling segment’s net sales and profit for 2018 and 2017 (dollars in millions):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2,225.0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Residential Heating &amp; Cooling net sales increased 4% in 2018 compared to 2017. Sales volume increased 2% and price and mix combined increased 2%.</w:t>
      </w:r>
    </w:p>
    <w:p>
      <w:pPr>
        <w:spacing w:after="0" w:line="225"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Segment profit in 2018 increased $26 million due to $52 million of combined price and mix, $27 million of insurance proceeds for the third quarter 2018 lost profits from the Marshalltown tornado, $14 million from higher sales volume, $12 million from sourcing and engineering-led cost reductions, and $5 million of higher factory productivity. Partially offsetting these increases is $35 million of higher commodity costs, $32 million of higher freight and distribution expenses, $9 million of higher other product costs, $4 million from lower equity method income, $3 million from unfavorable foreign exchange rates, and $1 million from higher SG&amp;A.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7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Commercial Heating &amp; Cooling</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Commercial Heating &amp; Cooling segment’s net sales and profit for 2018 and 2017 (dollars in millions):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1,043.5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Commercial Heating &amp; Cooling net sales increased 7% in 2018 compared to 2017. Sales volume increased 5% and price and mix combined increased 2%.</w:t>
      </w:r>
    </w:p>
    <w:p>
      <w:pPr>
        <w:spacing w:after="0" w:line="225"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Segment profit in 2018 increased $2 million compared to 2017 due to $15 million from higher sales volume, $11 million of combined price and mix, and $4 million from sourcing and engineering-led cost reductions. Partially offsetting these increases is $9 million of higher commodity costs, $8 million of higher other product costs, $5 million of higher freight and distribution expense, $3 million of lower factory productivity, $2 million of higher SG&amp;A expense, and $1 million of lower equity method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Refrigeration</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Refrigeration segment’s net sales and profit for 2018 and 2017 (dollars in millions):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r>
      <w:tr>
        <w:trPr>
          <w:trHeight w:val="231"/>
        </w:trPr>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7"/>
        </w:trPr>
        <w:tc>
          <w:tcPr>
            <w:tcW w:w="5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decreased 15% in 2018 compared to 2017. The loss of sales from the divested Australia, Asia and South America businesses contributed 16% and price and mix combined was 1% lower partially offset by sales volume increases of 1% and 1% from foreign currency exchange rates.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profit in 2018 decreased $7 million compared to 2017 due to $6 million of higher commodity costs, $6 million of lower profit due to the divested Australia, Asia and South America businesses, $2 million of lower factory productivity, $2 million of higher freight and distribution expense, $2 million of lower equity method income, and $1 million of higher other product costs. Partially offsetting these decreases is $6 million of sourcing and engineering-led cost reductions, $2 million from selling refrigerant allocations in Europe, $2 million of lower SG&amp;A expense, $1 million from higher sales volume, and $1 million of favorable foreign currency exchange rates.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Corporate and other expenses decreased by $5 million in 2018 primarily due to $2 million of non-recurring discretionary expenses in 2017, $2 million of pension expense that was reclassified out of operating income due to a change in accounting rules, and $1 million of lower health and welfare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2017 Compared to Year Ended December 31, 2016 - Consolidated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27"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Net sales increased 5.4% in 2017 compared to 2016, primarily driven by volume increases. The increase in volume was primarily due to market growth in our Residential Heating and Cooling and Commercial Heating and Cooling segments. Changes in foreign currency exchange rates and the effects of price and mix also had positive impacts on net sales.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7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Gross profit margins for 2017 decreased 30 basis points (“bps”) to 29.3% compared to 29.6% in 2016. We saw margin decreases of 80 bps from higher commodity costs, 50 bps for investments in distribution expansion, and 40 bps from other product costs. These decreases were offset by increases of 100 bps from sourcing and engineering-led cost reductions and 40 bps from favorable price and mix.</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SG&amp;A expenses increased by $17 million in 2017 compared to 2016. As a percentage of net sales, SG&amp;A expenses decreased 50 bps from 17.1% to 16.6% in the same periods. SG&amp;A increased due to general wage inflation, increased healthcare costs and increased investment in information technology and research and development partially offset by decreases in incentive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for 2017 and 2016 included the following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54"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For the Years Ended December</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9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Realized (gains) losses, net on settled futures contracts</w:t>
            </w: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exchange (gains) losses, net</w:t>
            </w:r>
          </w:p>
        </w:tc>
        <w:tc>
          <w:tcPr>
            <w:tcW w:w="7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on disposal of fixed assets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unrealized losses (gains), net on unsettled futures contracts</w:t>
            </w: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legal contingency charge</w:t>
            </w: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Contractor tax payments</w:t>
            </w: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items, net</w:t>
            </w: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r>
      <w:tr>
        <w:trPr>
          <w:trHeight w:val="257"/>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7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9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realized gains on settled futures contracts in 2017 was attributable to changes in commodity prices relative to our settled futures contract prices, as commodity prices have increased in 2017 relative to 2016. Additionally, the change in unrealized losses, net on unsettled futures contracts was due to lower commodity prices relative to the unsettled futures contract prices.</w:t>
      </w:r>
    </w:p>
    <w:p>
      <w:pPr>
        <w:spacing w:after="0" w:line="17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Foreign currency exchange gains increased in 2017 primarily due to improvement in foreign exchange rates in our primary markets. The special legal contingency charges increased primarily due to costs associated with the matter reported to the Securities and Exchange Commission and Department of Justice. The asbestos-related litigation relates to known and estimated future asbestos matters. The environmental liabilities relate to estimated remediation costs for contamination at some of our facilities. The contractor tax payments relate to a charge for underpaid contractor taxes at one of our non-U.S. subsidiaries. Refer to Note 11 in the Notes to the Consolidated Financial Statements for more information on litigation, including the asbestos-related litigation, and the environmental liabilities.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Restructuring charges were $3.2 million in 2017 compared to $1.8 million in 2016. The charges in 2017 and 2016 were primarily for projects to realign resources and enhance distribution capabilities.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performed a qualitative impairment analysis and noted no indicators of goodwill impairment through December 31, 2017. Also, we did not record any goodwill impairments in 2016. Refer to Note 5 in the Notes to the Consolidated Financial Statements for more information on goodwill.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78"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Pension Settlement</w:t>
      </w:r>
    </w:p>
    <w:p>
      <w:pPr>
        <w:spacing w:after="0" w:line="227" w:lineRule="exact"/>
        <w:rPr>
          <w:sz w:val="20"/>
          <w:szCs w:val="20"/>
          <w:color w:val="auto"/>
        </w:rPr>
      </w:pPr>
    </w:p>
    <w:p>
      <w:pPr>
        <w:ind w:right="120" w:firstLine="243"/>
        <w:spacing w:after="0" w:line="266" w:lineRule="auto"/>
        <w:rPr>
          <w:sz w:val="20"/>
          <w:szCs w:val="20"/>
          <w:color w:val="auto"/>
        </w:rPr>
      </w:pPr>
      <w:r>
        <w:rPr>
          <w:rFonts w:ascii="Times New Roman" w:cs="Times New Roman" w:eastAsia="Times New Roman" w:hAnsi="Times New Roman"/>
          <w:sz w:val="18"/>
          <w:szCs w:val="18"/>
          <w:color w:val="auto"/>
        </w:rPr>
        <w:t>In 2016 our unfunded pension liability declined by $33 million to $89 million as the favorable impact of our $50 million discretionary contribution was partially offset by lower discount rates across all plans. In addition, we recorded a pension settlement charge of $31 million in the fourth quarter of 2016. We did not have similar funding or pension buyout activity in 2017.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Investments over which we do not exercise control but have significant influence are accounted for using the equity method of accounting. Income from equity method investments was $18 million in 2017 compared to $18 million in 2016 due to flat earnings from our joint ventures.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interest expense of $31 million in 2017 increased from $27 million in 2016 primarily due to an increase in our average borrowings.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income tax provision was $157 million in 2017 compared to $124 million in 2016, and the effective tax rate was 34% in 2017 compared to 31% in 2016. The 2017 effective tax rate was negatively impacted by recent changes in U.S. tax legislation that reduced the value of our deferred tax assets by $31.8 million, partially offset by the benefit from the impact of excess tax benefits of $23.6 million. The 2016 effective tax rate was not impacted by either U.S. tax rate changes or the impact of excess tax benefits.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w:t>
      </w:r>
    </w:p>
    <w:p>
      <w:pPr>
        <w:spacing w:after="0" w:line="227"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$2 million of pre-tax losses incurred in 2017 and $1 million of pre-tax losses in 2016 primarily relate to changes in retained product liabilities and general liabilities for the Service Experts business sold in 2013 and the Hearth business sold in 2012.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2017 Compared to Year Ended December 31, 2016 - Results by Segment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Heating &amp; Cooling</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Residential Heating &amp; Cooling segment’s net sales and profit for 2017 and 2016 (dollars in millions):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2,140.4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Residential Heating &amp; Cooling net sales increased 7% in 2017 compared to 2016. Sales volume increased by 7% primarily due to market growth.</w:t>
      </w:r>
    </w:p>
    <w:p>
      <w:pPr>
        <w:spacing w:after="0" w:line="225"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Segment profit in 2017 increased $25 million due to $39 million from higher sales volume, $21 million from sourcing and engineering-led cost reductions, $15 million from favorable price, $5 million from favorable foreign currency, $2 million from lower warranty expense, and $1 million from higher income from equity method investments. Partially offsetting these increases was $20 million in higher commodity costs, $15 million in SG&amp;A expenses to support investments in technology and research and development, incremental headcount and higher personnel costs, $12 million in freight and distribution investments, $6 million from unfavorable mix, and $5 million from increases in other product costs.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78"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Commercial Heating &amp; Cooling</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Commercial Heating &amp; Cooling segment’s net sales and profit for 2017 and 2016 (dollars in millions):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Commercial Heating &amp; Cooling net sales increased 6% in 2017 compared to 2016. Sales volume increased by 5% primarily due to market growth and 1% from favorable foreign currency.</w:t>
      </w:r>
    </w:p>
    <w:p>
      <w:pPr>
        <w:spacing w:after="0" w:line="162"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Segment profit in 2017 increased $8 million compared to 2016 due to $14 million from higher sales volume, $7 million from sourcing and engineering-led cost reductions, and $1 million in favorable foreign currency. Partially offsetting these increases was $5 million from warranty and other product costs, $4 million of higher commodity costs, $3 million from factory inefficiencies, $1 million in higher SG&amp;A expenses, and $1 million in freight and distribution investments.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Refrigeration</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Refrigeration segment’s net sales and profit for 2017 and 2016 (dollars in millions):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 2017 were flat compared to 2016. Favorable foreign currency increased sales by 1% offset by lower sales volume of 1% primarily from our North America supermarket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profit in 2017 increased $4 million compared to 2016 due to $9 million from sourcing and engineering-led cost reductions, $3 million from favorable price and mix, and $3 million in lower other product costs. Partially offsetting these increases was $5 million from factory inefficiencies, $2 million from freight and distribution, $2 million from higher commodity costs, and $2 million from higher SG&amp;A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27"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Corporate and other expenses decreased by $8 million in 2017 primarily due from lower incentive compensation with a partial offset from general wage inflation and information technology investments.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Futures Contracts</w:t>
      </w:r>
    </w:p>
    <w:p>
      <w:pPr>
        <w:spacing w:after="0" w:line="229" w:lineRule="exact"/>
        <w:rPr>
          <w:sz w:val="20"/>
          <w:szCs w:val="20"/>
          <w:color w:val="auto"/>
        </w:rPr>
      </w:pPr>
    </w:p>
    <w:p>
      <w:pPr>
        <w:jc w:val="both"/>
        <w:ind w:right="20" w:firstLine="230"/>
        <w:spacing w:after="0" w:line="258" w:lineRule="auto"/>
        <w:rPr>
          <w:sz w:val="20"/>
          <w:szCs w:val="20"/>
          <w:color w:val="auto"/>
        </w:rPr>
      </w:pPr>
      <w:r>
        <w:rPr>
          <w:rFonts w:ascii="Times New Roman" w:cs="Times New Roman" w:eastAsia="Times New Roman" w:hAnsi="Times New Roman"/>
          <w:sz w:val="18"/>
          <w:szCs w:val="18"/>
          <w:color w:val="auto"/>
        </w:rPr>
        <w:t>Realized gains and losses on settled futures contracts are a component of segment profit (loss). Unrealized gains and losses on unsettled futures contracts are excluded from segment profit (loss) as they are subject to changes in fair value until their settlement date. Both realized and unrealized gains and losses on futures contracts are a component of Losses (gains) and other expenses, net in the accompanying Consolidated Statements of Operations. See Note 9 of the Notes to Consolidated Financial Statements for more information on our derivatives and Note 20 of the Notes to the Consolidated Financial Statements for more information on our segments and for a reconciliation of segment profit to operating income.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7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years ended December 31, 2018, 2017 and 2016 (in millions):</w:t>
      </w:r>
    </w:p>
    <w:p>
      <w:pPr>
        <w:spacing w:after="0" w:line="187"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325.1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373.9</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7"/>
        </w:trPr>
        <w:tc>
          <w:tcPr>
            <w:tcW w:w="6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increased $170 million to $496 million in 2018 compared to $325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2017. This increase was primarily attributable to the decrease in working capital and an increase in net income.</w:t>
      </w:r>
    </w:p>
    <w:p>
      <w:pPr>
        <w:spacing w:after="0" w:line="124" w:lineRule="exact"/>
        <w:rPr>
          <w:sz w:val="20"/>
          <w:szCs w:val="20"/>
          <w:color w:val="auto"/>
        </w:rPr>
      </w:pPr>
    </w:p>
    <w:p>
      <w:pPr>
        <w:jc w:val="both"/>
        <w:ind w:firstLine="162"/>
        <w:spacing w:after="0" w:line="305"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Investing Activities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expenditures were $95 million, $98 million and $84 million in 2018, 2017 and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Capital expenditures in 2018 were primarily related to expansion of our manufacturing capacity and equipment and investments in systems and software to support the overall enterprise. Net proceeds of $115 million were provided by the sale of our businesses in Australia and Asia along with the related property as well as the sale of our business in South America.</w:t>
      </w:r>
    </w:p>
    <w:p>
      <w:pPr>
        <w:spacing w:after="0" w:line="160" w:lineRule="exact"/>
        <w:rPr>
          <w:sz w:val="20"/>
          <w:szCs w:val="20"/>
          <w:color w:val="auto"/>
        </w:rPr>
      </w:pPr>
    </w:p>
    <w:p>
      <w:pPr>
        <w:jc w:val="both"/>
        <w:ind w:firstLine="243"/>
        <w:spacing w:after="0" w:line="305"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in financing activities increased to $538 million in 2018 from $218 million in 2017.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used in financing activities is largely due to an increase in share repurchases. During 2018 we repurchased $450 million of shares as compared to $250 million of shares in 2017. We also returned $94 million to shareholders through dividend payments. For additional information on share repurchases, refer to Note 16 in the Notes to the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December 31, 2018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45"/>
        </w:trPr>
        <w:tc>
          <w:tcPr>
            <w:tcW w:w="9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Borrowings</w:t>
            </w:r>
          </w:p>
        </w:tc>
      </w:tr>
      <w:tr>
        <w:trPr>
          <w:trHeight w:val="22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Current maturities of long-term debt:</w:t>
            </w: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41"/>
        </w:trPr>
        <w:tc>
          <w:tcPr>
            <w:tcW w:w="9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Asset Securitization Program </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268.0</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Domestic credit facility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300.8</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xml:space="preserve">Domestic credit facility </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Senior unsecured notes</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long-term debt</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debt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255" w:hanging="1255"/>
        <w:spacing w:after="0"/>
        <w:tabs>
          <w:tab w:leader="none" w:pos="1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w:t>
      </w:r>
    </w:p>
    <w:p>
      <w:pPr>
        <w:spacing w:after="0" w:line="63" w:lineRule="exact"/>
        <w:rPr>
          <w:rFonts w:ascii="Times New Roman" w:cs="Times New Roman" w:eastAsia="Times New Roman" w:hAnsi="Times New Roman"/>
          <w:sz w:val="18"/>
          <w:szCs w:val="18"/>
          <w:color w:val="auto"/>
        </w:rPr>
      </w:pPr>
    </w:p>
    <w:p>
      <w:pPr>
        <w:ind w:left="115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378.0</w:t>
      </w:r>
    </w:p>
    <w:p>
      <w:pPr>
        <w:spacing w:after="0" w:line="63" w:lineRule="exact"/>
        <w:rPr>
          <w:rFonts w:ascii="Times New Roman" w:cs="Times New Roman" w:eastAsia="Times New Roman" w:hAnsi="Times New Roman"/>
          <w:sz w:val="18"/>
          <w:szCs w:val="18"/>
          <w:color w:val="auto"/>
        </w:rPr>
      </w:pPr>
    </w:p>
    <w:p>
      <w:pPr>
        <w:ind w:left="115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w:t>
      </w:r>
    </w:p>
    <w:p>
      <w:pPr>
        <w:spacing w:after="0" w:line="63" w:lineRule="exact"/>
        <w:rPr>
          <w:rFonts w:ascii="Times New Roman" w:cs="Times New Roman" w:eastAsia="Times New Roman" w:hAnsi="Times New Roman"/>
          <w:sz w:val="18"/>
          <w:szCs w:val="18"/>
          <w:color w:val="auto"/>
        </w:rPr>
      </w:pPr>
    </w:p>
    <w:p>
      <w:pPr>
        <w:ind w:left="127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76" w:lineRule="exact"/>
        <w:rPr>
          <w:rFonts w:ascii="Times New Roman" w:cs="Times New Roman" w:eastAsia="Times New Roman" w:hAnsi="Times New Roman"/>
          <w:sz w:val="18"/>
          <w:szCs w:val="18"/>
          <w:color w:val="auto"/>
        </w:rPr>
      </w:pPr>
    </w:p>
    <w:p>
      <w:pPr>
        <w:ind w:left="115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080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57" w:lineRule="exact"/>
        <w:rPr>
          <w:sz w:val="20"/>
          <w:szCs w:val="20"/>
          <w:color w:val="auto"/>
        </w:rPr>
      </w:pPr>
    </w:p>
    <w:p>
      <w:pPr>
        <w:ind w:left="1035" w:hanging="1035"/>
        <w:spacing w:after="0"/>
        <w:tabs>
          <w:tab w:leader="none" w:pos="10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080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51435</wp:posOffset>
            </wp:positionV>
            <wp:extent cx="1080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9025" w:space="720"/>
            <w:col w:w="1675"/>
          </w:cols>
          <w:pgMar w:left="240" w:top="576" w:right="2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76" w:right="239" w:bottom="1440" w:gutter="0" w:footer="0" w:header="0"/>
          <w:type w:val="continuous"/>
        </w:sectPr>
      </w:pPr>
    </w:p>
    <w:bookmarkStart w:id="27" w:name="page28"/>
    <w:bookmarkEnd w:id="27"/>
    <w:p>
      <w:pPr>
        <w:jc w:val="both"/>
        <w:ind w:left="260" w:hanging="252"/>
        <w:spacing w:after="0" w:line="228" w:lineRule="auto"/>
        <w:tabs>
          <w:tab w:leader="none" w:pos="2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maximum securitization amount ranges from $225.0 million to $380.0 million, depending on the period. The maximum capacity of the Asset Securitization Program (“ASP”) is the lesser of the maximum securitization amount or 100% of the net pool balance less reserves, as defined under the ASP.</w:t>
      </w:r>
    </w:p>
    <w:p>
      <w:pPr>
        <w:spacing w:after="0" w:line="35" w:lineRule="exact"/>
        <w:rPr>
          <w:rFonts w:ascii="Times New Roman" w:cs="Times New Roman" w:eastAsia="Times New Roman" w:hAnsi="Times New Roman"/>
          <w:sz w:val="25"/>
          <w:szCs w:val="25"/>
          <w:color w:val="auto"/>
          <w:vertAlign w:val="superscript"/>
        </w:rPr>
      </w:pPr>
    </w:p>
    <w:p>
      <w:pPr>
        <w:jc w:val="both"/>
        <w:ind w:left="260" w:hanging="252"/>
        <w:spacing w:after="0" w:line="233" w:lineRule="auto"/>
        <w:tabs>
          <w:tab w:leader="none" w:pos="2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available future borrowings on our domestic credit facility are $429.5 million after being reduced by the outstanding borrowings and $2.5 million in outstanding standby letters of credit. We also had $30.7 million in outstanding standby letters of credit outside of the domestic credit facility as of December 31, 2018. In January 2019, we increased the maximum revolving credit commitments by $350 million as permitted under the Domestic Credit Facility bringing the total maximum revolving credit commitments to $1.0 billion.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27"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We periodically review our capital structure, including our primary bank facility, to ensure the appropriate levels of liquidity and leverage and to take advantage of favorable interest rate environments or other market conditions. We consider various other financing alternatives and may, from time to time, access the capital markets.</w:t>
      </w:r>
    </w:p>
    <w:p>
      <w:pPr>
        <w:spacing w:after="0" w:line="17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of December 31, 2018, our senior credit ratings were Baa3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180"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Our debt-to-total-capital ratio increased to 116.8% at December 31, 2018 compared to 95.2% at December 31, 2017. The increase in the ratio in 2018 is primarily due to the decrease in equity. We evaluate our debt-to-EBITDA ratio in order to determine the appropriate targets for share repurchases under our share repurchase programs.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We believe our cash and cash equivalents of $46 million, future cash generated from operations and available future borrowings are sufficient to fund our operations, planned capital expenditures, future contractual obligations, share repurchases, anticipated dividends and other needs in the foreseeable future. Included in our cash and cash equivalents as of December 31, 2018 was $29 million of cash held in foreign locations, although that amount can fluctuate significantly depending on the timing of cash receipts and payments.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 contributions are required to be made to our U.S. defined benefit plans in 2019. We made $21 million in total contributions to pension plans in 2018.</w:t>
      </w:r>
    </w:p>
    <w:p>
      <w:pPr>
        <w:spacing w:after="0" w:line="225" w:lineRule="exact"/>
        <w:rPr>
          <w:sz w:val="20"/>
          <w:szCs w:val="20"/>
          <w:color w:val="auto"/>
        </w:rPr>
      </w:pPr>
    </w:p>
    <w:p>
      <w:pPr>
        <w:jc w:val="both"/>
        <w:ind w:right="20" w:firstLine="230"/>
        <w:spacing w:after="0" w:line="266" w:lineRule="auto"/>
        <w:rPr>
          <w:sz w:val="20"/>
          <w:szCs w:val="20"/>
          <w:color w:val="auto"/>
        </w:rPr>
      </w:pPr>
      <w:r>
        <w:rPr>
          <w:rFonts w:ascii="Times New Roman" w:cs="Times New Roman" w:eastAsia="Times New Roman" w:hAnsi="Times New Roman"/>
          <w:sz w:val="18"/>
          <w:szCs w:val="18"/>
          <w:color w:val="auto"/>
        </w:rPr>
        <w:t>On May 16, 2018, our Board of Directors approved a 25% increase in our quarterly dividend on common stock from $0.51 to $0.64 per share effective with the May 2018 dividend payment. Dividend payments were $94 million in 2018 compared to $80 million in 2017, with the increase due primarily to the increase in dividends approved by the Board of Directors.</w:t>
      </w:r>
    </w:p>
    <w:p>
      <w:pPr>
        <w:spacing w:after="0" w:line="176"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We also continued to increase shareholder value through our share repurchase programs. We returned $450 million to our investors through share repurchases in 2018 and expect to return another $350 million in 2019. An additional $446 million of repurchases are still available under the programs at December 31, 2018.</w:t>
      </w:r>
    </w:p>
    <w:p>
      <w:pPr>
        <w:spacing w:after="0" w:line="176" w:lineRule="exact"/>
        <w:rPr>
          <w:sz w:val="20"/>
          <w:szCs w:val="20"/>
          <w:color w:val="auto"/>
        </w:rPr>
      </w:pPr>
    </w:p>
    <w:p>
      <w:pPr>
        <w:jc w:val="both"/>
        <w:ind w:right="20" w:firstLine="230"/>
        <w:spacing w:after="0" w:line="282" w:lineRule="auto"/>
        <w:rPr>
          <w:sz w:val="20"/>
          <w:szCs w:val="20"/>
          <w:color w:val="auto"/>
        </w:rPr>
      </w:pPr>
      <w:r>
        <w:rPr>
          <w:rFonts w:ascii="Times New Roman" w:cs="Times New Roman" w:eastAsia="Times New Roman" w:hAnsi="Times New Roman"/>
          <w:sz w:val="18"/>
          <w:szCs w:val="18"/>
          <w:color w:val="auto"/>
        </w:rPr>
        <w:t>We expect capital expenditures of approximately $215 million in 2019, including $115 million to complete the reconstruction of the Marshalltown, Iowa manufacturing facility. We expect the reconstruction of our Iowa facility to be funded by insurance proceeds.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 related to our Debt</w:t>
      </w:r>
    </w:p>
    <w:p>
      <w:pPr>
        <w:spacing w:after="0" w:line="227"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Interest Expense Ratio. The required ratios under our domestic credit facility are detailed below:</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80" w:right="239" w:bottom="1440" w:gutter="0" w:footer="0" w:header="0"/>
        </w:sectPr>
      </w:pPr>
    </w:p>
    <w:bookmarkStart w:id="28" w:name="page29"/>
    <w:bookmarkEnd w:id="28"/>
    <w:tbl>
      <w:tblPr>
        <w:tblLayout w:type="fixed"/>
        <w:tblInd w:w="1460" w:type="dxa"/>
        <w:tblCellMar>
          <w:top w:w="0" w:type="dxa"/>
          <w:left w:w="0" w:type="dxa"/>
          <w:bottom w:w="0" w:type="dxa"/>
          <w:right w:w="0" w:type="dxa"/>
        </w:tblCellMar>
      </w:tblP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Indebtedness to Adjusted EBITDA Ratio no greater than</w:t>
            </w:r>
          </w:p>
        </w:tc>
        <w:tc>
          <w:tcPr>
            <w:tcW w:w="22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3.5 : 1.0</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to Interest Expense Ratio no less than</w:t>
            </w:r>
          </w:p>
        </w:tc>
        <w:tc>
          <w:tcPr>
            <w:tcW w:w="2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 : 1.0</w:t>
            </w:r>
          </w:p>
        </w:tc>
      </w:tr>
    </w:tbl>
    <w:p>
      <w:pPr>
        <w:spacing w:after="0" w:line="225"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Our domestic credit facility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176" w:lineRule="exact"/>
        <w:rPr>
          <w:sz w:val="20"/>
          <w:szCs w:val="20"/>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27" w:lineRule="exact"/>
        <w:rPr>
          <w:rFonts w:ascii="Times New Roman" w:cs="Times New Roman" w:eastAsia="Times New Roman" w:hAnsi="Times New Roman"/>
          <w:sz w:val="18"/>
          <w:szCs w:val="18"/>
          <w:color w:val="auto"/>
        </w:rPr>
      </w:pPr>
    </w:p>
    <w:p>
      <w:pPr>
        <w:jc w:val="both"/>
        <w:ind w:left="580" w:hanging="248"/>
        <w:spacing w:after="0" w:line="255"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186"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our domestic credit facility, our senior unsecured notes, or our ASP were to occur, it could have a wider impact on our liquidity than might otherwise occur from a default of a single debt instrument or lease commitment.</w:t>
      </w:r>
    </w:p>
    <w:p>
      <w:pPr>
        <w:spacing w:after="0" w:line="176"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w:t>
      </w:r>
    </w:p>
    <w:p>
      <w:pPr>
        <w:spacing w:after="0" w:line="180"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The notes are guaranteed, on a senior unsecured basis, by each of our subsidiaries that guarantee payment by us of any indebtedness under our domestic credit facility. The indenture governing the notes contains covenants that, among other things, limit our ability and the ability of the subsidiary guarantors to: create or incur certain liens; enter into certain sale and leaseback transactions; enter into certain mergers, consolidations and transfers of substantially all of our assets; and transfer certain properties. The indenture also contains a cross default provision which is triggered if we default on other debt of at least $75 million in principal which is then accelerated, and such acceleration is not rescinded within 30 days of the notice date.</w:t>
      </w:r>
    </w:p>
    <w:p>
      <w:pPr>
        <w:spacing w:after="0" w:line="18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As of December 31, 2018, we believe we were in compliance with all covenant requirements. Delaware law limits the ability to pay dividends to surplus or, if there is no surplus, out of net profits for the fiscal year in which the dividend is declared and/or the preceding fiscal year. In addition, stock repurchases can only be made out of surplus and only if our capital would not be impaired.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Commitments</w:t>
      </w:r>
    </w:p>
    <w:p>
      <w:pPr>
        <w:spacing w:after="0" w:line="227"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On March 22, 2013, we entered into an agreement with a financial institution to renew the lease of our corporate headquarters in Richardson, Texas for a term of approximately six years through March 1, 2019 (the “Lake Park Renewal”). The agreement contains customary lease covenants and events of default as well as financial covenants consistent with our credit agreement and we believe we were in compliance with those covenants as of December 31, 2018. We are in the process of finalizing the renewal of our lease that expires on March 1, 2019 and expect the terms and conditions to be similar to the existing lease.</w:t>
      </w:r>
    </w:p>
    <w:p>
      <w:pPr>
        <w:spacing w:after="0" w:line="18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2008, we expanded our Tifton, Georgia manufacturing facility using the proceeds from industrial development bonds (“IDBs”). We entered into a lease agreement with the owner of the property and the issuer of the IDBs, and through our lease payments fund the interest payments to investors in the IDBs. We also guaranteed the repayment of the IDBs and have outstanding letters of credit totaling $11.7 million to fund a potential repurchase of the IDBs in the event investors exercised their right to tender the IDBs to the trustee. We had capital lease obligations of $11.7 million and $14.3 million related to these transactions as of December 31, 2018 and 2017, as we made $2.6 million of payments in 2018.</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Refer to Note 11 in the Notes to the Consolidated Financial Statements for more details on our leasing commitments.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34"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to the credit facilities, promissory notes and leasing commitments described above, we also lease real estate and machinery and equipment pursuant to operating leases that are not capitalized on the balance sheet, including high-turnover equipment such as autos and service vehicles and short-lived equipment such as personal computers. Rent expense for these leases was $59 million, $58 million, and $58 million in 2018, 2017 and 2016, respectively. Refer to Notes 11 and 24 of the Notes to the Consolidated Financial Statements for more information on our lease commitments and rent expense,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Summarized below are our contractual obligations as of December 31, 2018 and their expected impact on our liquidity and cash flows in future periods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Payments Due by Period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r>
      <w:tr>
        <w:trPr>
          <w:trHeight w:val="207"/>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1 Year or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More than 5</w:t>
            </w:r>
          </w:p>
        </w:tc>
      </w:tr>
      <w:tr>
        <w:trPr>
          <w:trHeight w:val="212"/>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Less</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1 - 3 Years</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3 - 5 Years</w:t>
            </w:r>
          </w:p>
        </w:tc>
        <w:tc>
          <w:tcPr>
            <w:tcW w:w="220" w:type="dxa"/>
            <w:vAlign w:val="bottom"/>
          </w:tcPr>
          <w:p>
            <w:pPr>
              <w:spacing w:after="0"/>
              <w:rPr>
                <w:sz w:val="18"/>
                <w:szCs w:val="18"/>
                <w:color w:val="auto"/>
              </w:rPr>
            </w:pP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33"/>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82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Total long-term debt obligations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r>
      <w:tr>
        <w:trPr>
          <w:trHeight w:val="270"/>
        </w:trPr>
        <w:tc>
          <w:tcPr>
            <w:tcW w:w="58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Estimated interest payments on debt obligations </w:t>
            </w:r>
            <w:r>
              <w:rPr>
                <w:rFonts w:ascii="Times New Roman" w:cs="Times New Roman" w:eastAsia="Times New Roman" w:hAnsi="Times New Roman"/>
                <w:sz w:val="25"/>
                <w:szCs w:val="25"/>
                <w:color w:val="auto"/>
                <w:vertAlign w:val="superscript"/>
              </w:rPr>
              <w:t>(2)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r>
      <w:tr>
        <w:trPr>
          <w:trHeight w:val="270"/>
        </w:trPr>
        <w:tc>
          <w:tcPr>
            <w:tcW w:w="58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5"/>
                <w:szCs w:val="25"/>
                <w:color w:val="auto"/>
                <w:vertAlign w:val="superscript"/>
              </w:rPr>
              <w:t>(3)</w:t>
            </w:r>
          </w:p>
        </w:tc>
        <w:tc>
          <w:tcPr>
            <w:tcW w:w="24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1,330.4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 w:lineRule="exact"/>
        <w:rPr>
          <w:sz w:val="20"/>
          <w:szCs w:val="20"/>
          <w:color w:val="auto"/>
        </w:rPr>
      </w:pPr>
    </w:p>
    <w:p>
      <w:pPr>
        <w:ind w:left="520" w:hanging="188"/>
        <w:spacing w:after="0"/>
        <w:tabs>
          <w:tab w:leader="none" w:pos="52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Contractual obligations related to capital leases are included as part of long-term debt.</w:t>
      </w:r>
    </w:p>
    <w:p>
      <w:pPr>
        <w:spacing w:after="0" w:line="1" w:lineRule="exact"/>
        <w:rPr>
          <w:rFonts w:ascii="Times New Roman" w:cs="Times New Roman" w:eastAsia="Times New Roman" w:hAnsi="Times New Roman"/>
          <w:sz w:val="24"/>
          <w:szCs w:val="24"/>
          <w:color w:val="auto"/>
          <w:vertAlign w:val="superscript"/>
        </w:rPr>
      </w:pPr>
    </w:p>
    <w:p>
      <w:pPr>
        <w:ind w:left="500" w:hanging="168"/>
        <w:spacing w:after="0" w:line="208" w:lineRule="auto"/>
        <w:tabs>
          <w:tab w:leader="none" w:pos="542"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Estimated interest payments are based on current contractual requirements and do not reflect seasonal changes in the balance of our domestic credit facility.</w:t>
      </w:r>
    </w:p>
    <w:p>
      <w:pPr>
        <w:spacing w:after="0" w:line="1" w:lineRule="exact"/>
        <w:rPr>
          <w:rFonts w:ascii="Times New Roman" w:cs="Times New Roman" w:eastAsia="Times New Roman" w:hAnsi="Times New Roman"/>
          <w:sz w:val="25"/>
          <w:szCs w:val="25"/>
          <w:color w:val="auto"/>
          <w:vertAlign w:val="superscript"/>
        </w:rPr>
      </w:pPr>
    </w:p>
    <w:p>
      <w:pPr>
        <w:ind w:left="520" w:hanging="188"/>
        <w:spacing w:after="0" w:line="187" w:lineRule="auto"/>
        <w:tabs>
          <w:tab w:leader="none" w:pos="52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Purchase obligations consist of inventory that is part of our third party logistics programs.</w:t>
      </w:r>
    </w:p>
    <w:p>
      <w:pPr>
        <w:spacing w:after="0" w:line="19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table above does not include pension, post-retirement benefit and warranty liabilities because it is not certain when these liabilities will be funded. For additional information regarding our contractual obligations, see Notes 11 and 12 of the Notes to the Consolidated Financial Statements. See Note 13 of the Notes to the Consolidated Financial Statements for more information on our pension and post-retirement benefits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a three-level hierarchy for fair value measurements.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three-level fair value hierarchy for disclosure of fair value measurements is defined as follows:</w:t>
      </w:r>
    </w:p>
    <w:p>
      <w:pPr>
        <w:spacing w:after="0" w:line="223" w:lineRule="exact"/>
        <w:rPr>
          <w:sz w:val="20"/>
          <w:szCs w:val="20"/>
          <w:color w:val="auto"/>
        </w:rPr>
      </w:pPr>
    </w:p>
    <w:p>
      <w:pPr>
        <w:ind w:left="240"/>
        <w:spacing w:after="0"/>
        <w:tabs>
          <w:tab w:leader="none" w:pos="1080" w:val="left"/>
        </w:tabs>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Quoted prices for </w:t>
      </w:r>
      <w:r>
        <w:rPr>
          <w:rFonts w:ascii="Times New Roman" w:cs="Times New Roman" w:eastAsia="Times New Roman" w:hAnsi="Times New Roman"/>
          <w:sz w:val="17"/>
          <w:szCs w:val="17"/>
          <w:i w:val="1"/>
          <w:iCs w:val="1"/>
          <w:color w:val="auto"/>
        </w:rPr>
        <w:t>identical</w:t>
      </w:r>
      <w:r>
        <w:rPr>
          <w:rFonts w:ascii="Times New Roman" w:cs="Times New Roman" w:eastAsia="Times New Roman" w:hAnsi="Times New Roman"/>
          <w:sz w:val="17"/>
          <w:szCs w:val="17"/>
          <w:color w:val="auto"/>
        </w:rPr>
        <w:t xml:space="preserve"> instruments in active markets at the measurement date.</w:t>
      </w:r>
    </w:p>
    <w:p>
      <w:pPr>
        <w:spacing w:after="0" w:line="225" w:lineRule="exact"/>
        <w:rPr>
          <w:sz w:val="20"/>
          <w:szCs w:val="20"/>
          <w:color w:val="auto"/>
        </w:rPr>
      </w:pPr>
    </w:p>
    <w:p>
      <w:pPr>
        <w:jc w:val="both"/>
        <w:ind w:left="1300" w:right="20" w:hanging="1066"/>
        <w:spacing w:after="0" w:line="267"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2 -</w:t>
      </w:r>
      <w:r>
        <w:rPr>
          <w:sz w:val="20"/>
          <w:szCs w:val="20"/>
          <w:color w:val="auto"/>
        </w:rPr>
        <w:tab/>
      </w:r>
      <w:r>
        <w:rPr>
          <w:rFonts w:ascii="Times New Roman" w:cs="Times New Roman" w:eastAsia="Times New Roman" w:hAnsi="Times New Roman"/>
          <w:sz w:val="18"/>
          <w:szCs w:val="18"/>
          <w:color w:val="auto"/>
        </w:rPr>
        <w:t xml:space="preserve">Quoted prices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instruments in active markets; quoted prices for identical or similar instruments in markets that are not active; and model-derived valuations in which all significant inputs and significant value drivers are </w:t>
      </w:r>
      <w:r>
        <w:rPr>
          <w:rFonts w:ascii="Times New Roman" w:cs="Times New Roman" w:eastAsia="Times New Roman" w:hAnsi="Times New Roman"/>
          <w:sz w:val="18"/>
          <w:szCs w:val="18"/>
          <w:i w:val="1"/>
          <w:iCs w:val="1"/>
          <w:color w:val="auto"/>
        </w:rPr>
        <w:t>observable</w:t>
      </w:r>
      <w:r>
        <w:rPr>
          <w:rFonts w:ascii="Times New Roman" w:cs="Times New Roman" w:eastAsia="Times New Roman" w:hAnsi="Times New Roman"/>
          <w:sz w:val="18"/>
          <w:szCs w:val="18"/>
          <w:color w:val="auto"/>
        </w:rPr>
        <w:t xml:space="preserve"> in active markets at the measurement date and for the anticipated term of the instrument.</w:t>
      </w:r>
    </w:p>
    <w:p>
      <w:pPr>
        <w:spacing w:after="0" w:line="174" w:lineRule="exact"/>
        <w:rPr>
          <w:sz w:val="20"/>
          <w:szCs w:val="20"/>
          <w:color w:val="auto"/>
        </w:rPr>
      </w:pPr>
    </w:p>
    <w:p>
      <w:pPr>
        <w:jc w:val="both"/>
        <w:ind w:left="1300" w:hanging="1066"/>
        <w:spacing w:after="0" w:line="267"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Valuations derived from valuation techniques in which one or more significant inputs or significant value drivers are </w:t>
      </w:r>
      <w:r>
        <w:rPr>
          <w:rFonts w:ascii="Times New Roman" w:cs="Times New Roman" w:eastAsia="Times New Roman" w:hAnsi="Times New Roman"/>
          <w:sz w:val="18"/>
          <w:szCs w:val="18"/>
          <w:i w:val="1"/>
          <w:iCs w:val="1"/>
          <w:color w:val="auto"/>
        </w:rPr>
        <w:t>unobservable</w:t>
      </w:r>
      <w:r>
        <w:rPr>
          <w:rFonts w:ascii="Times New Roman" w:cs="Times New Roman" w:eastAsia="Times New Roman" w:hAnsi="Times New Roman"/>
          <w:sz w:val="18"/>
          <w:szCs w:val="18"/>
          <w:color w:val="auto"/>
        </w:rPr>
        <w:t xml:space="preserve"> inputs that reflect the reporting entity’s own assumptions about the assumptions market participants would use in pricing the asset or liability developed based on the best information available in the circumstances.</w:t>
      </w:r>
    </w:p>
    <w:p>
      <w:pPr>
        <w:spacing w:after="0" w:line="17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76" w:right="2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Valuation adjustments to reflect either party’s creditworthiness and ability to pay were incorporated into our valuations, where appropriate, as of December 31, 2018 and 2017, the measurement dates.</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21 of the Notes to the Consolidated Financial Statements for more information on the assets and liabilities measured at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22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enter into commodity futures contracts to stabilize prices expected to be paid for raw materials and parts containing high copper and aluminum content. These contracts are for quantities equal to or less than quantities expected to be consumed in future production. Fluctuations in metal commodity prices impact the value of the futures contracts that we hold. When metal commodity prices rise, the fair value of our futures contracts increases. Conversely, when commodity prices fall, the fair value of our futures contracts decreases. Information about our exposure to metal commodity price market risks and a sensitivity analysis related to our metal commodity hedges is presented below (in millions):</w:t>
      </w:r>
    </w:p>
    <w:p>
      <w:pPr>
        <w:spacing w:after="0" w:line="337" w:lineRule="exact"/>
        <w:rPr>
          <w:sz w:val="20"/>
          <w:szCs w:val="20"/>
          <w:color w:val="auto"/>
        </w:rPr>
      </w:pPr>
    </w:p>
    <w:tbl>
      <w:tblPr>
        <w:tblLayout w:type="fixed"/>
        <w:tblInd w:w="1800" w:type="dxa"/>
        <w:tblCellMar>
          <w:top w:w="0" w:type="dxa"/>
          <w:left w:w="0" w:type="dxa"/>
          <w:bottom w:w="0" w:type="dxa"/>
          <w:right w:w="0" w:type="dxa"/>
        </w:tblCellMar>
      </w:tblPr>
      <w:tr>
        <w:trPr>
          <w:trHeight w:val="27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Notional amount (pounds of aluminum and copper)</w:t>
            </w:r>
          </w:p>
        </w:tc>
        <w:tc>
          <w:tcPr>
            <w:tcW w:w="17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and fair value of net liability</w:t>
            </w:r>
          </w:p>
        </w:tc>
        <w:tc>
          <w:tcPr>
            <w:tcW w:w="1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5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from 10% change in forward prices</w:t>
            </w:r>
          </w:p>
        </w:tc>
        <w:tc>
          <w:tcPr>
            <w:tcW w:w="1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5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Refer to Note 9 of the Notes to the Consolidated Financial Statements for additional information regarding our commodity futures contracts.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results of operations can be affected by changes in interest rates due to variable rates of interest on our debt facilities, cash, cash equivalents and short-term investments. A 10% adverse movement in the levels of interest rates across the entire yield curve would have resulted in an increase to pre-tax interest expense of approximately $2.7 million, $1.8 million and $2.0 million for the years ended December 31, 2018, 2017 and 2016, respectively.</w:t>
      </w:r>
    </w:p>
    <w:p>
      <w:pPr>
        <w:spacing w:after="0" w:line="17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From time to time, we may use an interest rate swap hedging strategy to eliminate the variability of cash flows in a portion of our interest payments. This strategy, when employed, allows us to fix a portion of our interest payments while also taking advantage of historically low interest rates. As of December 31, 2018 and 2017, no interest rate swaps were in effect.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results of operations are affected by changes in foreign currency exchange rates. Net sales and expenses in foreign currencies are translated into U.S. dollars for financial reporting purposes based on the average exchange rate for the period. During 2018, 2017 and 2016, net sales from outside the U.S. represented 15.7%, 18.5% and 18.5% , respectively, of our total net sales. For the years ended December 31, 2018 and 2017, foreign currency transaction gains and losses did not have a material impact to our results of operations. A 10% change in foreign exchange rates would have had an estimated $2.1 million, $5.2 million and $4.0 million impact to net income for the years ended December 31, 2018, 2017 and 2016, respectively.</w:t>
      </w:r>
    </w:p>
    <w:p>
      <w:pPr>
        <w:spacing w:after="0" w:line="18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seek to mitigate the impact of currency exchange rate movements on certain short-term transactions by periodically entering into foreign currency forward contracts. By entering into forward contracts, we lock in exchange rates that would otherwise cause losses should the U.S. dollar appreciate and gains should the U.S. dollar depreciate. Refer to Note 9 of the Notes to the Consolidated Financial Statements for additional information regarding our foreign currency forward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 critical accounting estimate is one that requires difficult, subjective or complex estimates and assessments and is fundamental to our results of operations and financial condition. The following are our critical accounting estimates and describe how we develop our judgments, assumptions and estimates about future events and how such policies can impact our financial statements:</w:t>
      </w:r>
    </w:p>
    <w:p>
      <w:pPr>
        <w:spacing w:after="0" w:line="176" w:lineRule="exact"/>
        <w:rPr>
          <w:sz w:val="20"/>
          <w:szCs w:val="20"/>
          <w:color w:val="auto"/>
        </w:rPr>
      </w:pPr>
    </w:p>
    <w:p>
      <w:pPr>
        <w:ind w:left="660" w:hanging="409"/>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warranties and product-related contingencies; and</w:t>
      </w:r>
    </w:p>
    <w:p>
      <w:pPr>
        <w:spacing w:after="0" w:line="27" w:lineRule="exact"/>
        <w:rPr>
          <w:rFonts w:ascii="Times New Roman" w:cs="Times New Roman" w:eastAsia="Times New Roman" w:hAnsi="Times New Roman"/>
          <w:sz w:val="18"/>
          <w:szCs w:val="18"/>
          <w:color w:val="auto"/>
        </w:rPr>
      </w:pPr>
    </w:p>
    <w:p>
      <w:pPr>
        <w:ind w:left="660" w:hanging="42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Self-insurance expense.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80" w:right="239" w:bottom="1440" w:gutter="0" w:footer="0" w:header="0"/>
        </w:sectPr>
      </w:pPr>
    </w:p>
    <w:bookmarkStart w:id="31" w:name="page32"/>
    <w:bookmarkEnd w:id="31"/>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our Consolidated Financial Statements and related Notes in “Item 8. Financial Statements and Supplementary Data.”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 and Product-Related Contingencies</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estimate of our liability for future warranty costs requires us to make assumptions about the amount, timing and nature of future product-related costs. Some of the warranties we issue extend 10 years or more in duration and a relatively small adjustment to an assumption may have a significant impact on our overall liability. We may also incur costs related to our products that may not be covered under our warranties and are not covered by insurance, and, from time to time, we may repair or replace installed products experiencing quality issues in order to satisfy our customers and protect our brand.</w:t>
      </w:r>
    </w:p>
    <w:p>
      <w:pPr>
        <w:spacing w:after="0" w:line="18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periodically review the assumptions used to determine the liabilities for product warranties and product-related contingencies and we adjust our assumptions based upon factors such as actual failure rates and cost experience. Numerous factors could affect actual failure rates and cost experience, including the amount and timing of new product introductions, changes in manufacturing techniques or locations, components or suppliers used. Should actual costs differ from our estimates, we may be required to adjust the liabilities and to record expense in future periods. See Note 11 in the Notes to the Consolidated Financial Statements for more information on our product warranties and product-related contingencies.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 Expense</w:t>
      </w:r>
    </w:p>
    <w:p>
      <w:pPr>
        <w:spacing w:after="0" w:line="227"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We use a combination of third-party insurance and self-insurance plans to provide protection against claims relating to workers’ compensation/employers’ liability, general liability, product liability, auto liability, auto physical damage and other exposures. Many of these plans have large deductibles and may also include per occurrence and annual aggregate limits. As a result, we expect to incur costs related to these types of claims in future periods.</w:t>
      </w:r>
    </w:p>
    <w:p>
      <w:pPr>
        <w:spacing w:after="0" w:line="176"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estimates for self-insurance expense and liabilities involve assumptions about the amount, timing and nature of future claim costs. We estimate these amounts actuarially based primarily on our historical claims information and industry factors and trends. The amounts and timing of payments for future claims may vary depending on numerous factors, including the development and ultimate settlement of reported and unreported claims. To the extent actuarial assumptions change and claims experience differ from historical rates, our liabilities may change. The self-insurance liabilities as of December 31, 2018 represent the best estimate of the future payments to be made on reported and unreported losses. See Note 11 in the Notes to the Consolidated Financial Statements for additional information on our self-insurance expense and liabilities.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See Note 2 in the Notes to the Consolidated Financial Statements for disclosure of recent accounting pronouncements and the potential impact on our financial statements and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information required by this item is included under the caption “Market Risk” in Item 7 above.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796"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87"/>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by the Securities and Exchange Commission, internal control over financial reporting is a process designed to provide reasonable assurance regarding the reliability of financial reporting and the preparation of the consolidated financial statements in accordance with U.S. generally accepted accounting principles.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Management, including our Chief Executive Officer and Chief Financial Officer, has undertaken an assessment of the effectiveness of the Company’s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by the Committee of Sponsoring Organizations of the Treadway Commission. Management’s assessment included an evaluation of the design of the Company’s internal control over financial reporting and testing of the operational effectiveness of those controls.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this assessment, management concluded that as of December 31, 2018, the Company’s internal control over financial reporting was effective.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KPMG LLP, the independent registered public accounting firm that audited the Company’s consolidated financial statements, has issued an audit report including an opinion on the effectiveness of our internal control over financial reporting as of December 31, 2018, a copy of which is included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76"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308"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Lennox International Inc. and subsidiaries (the Company) as of December 31, 2018 and 2017, the related consolidated statements of operations, comprehensive (loss) income, stockholders’ (deficit) equity, and cash flows for each of the years in the three-year period ended December 31, 2018, and the related notes and Schedule II - Valuation and Qualifying Accounts and Reserves (collectively, the consolidated financial statements). We also have audited the Company’s internal control over financial reporting as of December 31, 2018,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3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 Also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Note 2 to the consolidated financial statements, in 2018 the Company adopted Accounting Standards Update No.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 (Topic 606)</w:t>
      </w:r>
      <w:r>
        <w:rPr>
          <w:rFonts w:ascii="Times New Roman" w:cs="Times New Roman" w:eastAsia="Times New Roman" w:hAnsi="Times New Roman"/>
          <w:sz w:val="18"/>
          <w:szCs w:val="18"/>
          <w:color w:val="auto"/>
        </w:rPr>
        <w:t>, as amended.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792" w:right="2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2019</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80"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millions, except shares and par values)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902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and notes receivable, net of allowances of $6.3 and $5.9 in 2018 and 2017,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1,089.4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1,137.3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$778.5 and $774.2 in 2018 and 2017,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1,891.5</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330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654.5</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970.5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1,841.4</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25,000,000 shares authorized, no shares issued or outstanding</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$.01 par value, 200,000,000 shares authorized, 87,170,197 shares issued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1,061.5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1,855.0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1,575.9</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shares 47,312,248 and 45,361,145 shares for 2018 and 2017, respectively</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1,891.5</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765"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4"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38735</wp:posOffset>
            </wp:positionV>
            <wp:extent cx="2752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3,839.6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3,641.6</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2,565.1</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1,076.5</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621.0</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Pension settlement</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(gain), net on sale of businesses and related property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Insurance proceeds for lost profits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from insurance recoveries, net of losses incurred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429.4</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467.9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124.1</w:t>
            </w: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360.3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307.1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278.6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277.8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305"/>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dividends declared per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76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765" w:right="239" w:bottom="1440" w:gutter="0" w:footer="0" w:header="0"/>
          <w:type w:val="continuous"/>
        </w:sectPr>
      </w:pPr>
    </w:p>
    <w:bookmarkStart w:id="37" w:name="page38"/>
    <w:bookmarkEnd w:id="37"/>
    <w:p>
      <w:pPr>
        <w:ind w:left="346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17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3"/>
              </w:rPr>
              <w:t>359.0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305.7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277.8</w:t>
            </w:r>
          </w:p>
        </w:tc>
      </w:tr>
      <w:tr>
        <w:trPr>
          <w:trHeight w:val="22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70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of foreign currency translation adjustments into earnings</w:t>
            </w: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pension and post-retirement benefit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available-for-sale marketable equity securities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of cash flow hedge losses into earnings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w:t>
            </w: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880" w:type="dxa"/>
            <w:vAlign w:val="bottom"/>
            <w:tcBorders>
              <w:top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expense</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3"/>
              </w:rPr>
              <w:t>327.6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343.4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765"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2018, 2017 and 2016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50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Treasury Stock at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7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8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560" w:type="dxa"/>
            <w:vAlign w:val="bottom"/>
          </w:tcPr>
          <w:p>
            <w:pPr>
              <w:spacing w:after="0"/>
              <w:rPr>
                <w:sz w:val="14"/>
                <w:szCs w:val="14"/>
                <w:color w:val="auto"/>
              </w:rPr>
            </w:pPr>
          </w:p>
        </w:tc>
        <w:tc>
          <w:tcPr>
            <w:tcW w:w="94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Cost</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Non-</w:t>
            </w:r>
          </w:p>
        </w:tc>
        <w:tc>
          <w:tcPr>
            <w:tcW w:w="10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780" w:type="dxa"/>
            <w:vAlign w:val="bottom"/>
            <w:gridSpan w:val="2"/>
            <w:vMerge w:val="restart"/>
          </w:tcPr>
          <w:p>
            <w:pPr>
              <w:jc w:val="center"/>
              <w:ind w:right="100"/>
              <w:spacing w:after="0" w:line="154" w:lineRule="exact"/>
              <w:rPr>
                <w:sz w:val="20"/>
                <w:szCs w:val="20"/>
                <w:color w:val="auto"/>
              </w:rPr>
            </w:pPr>
            <w:r>
              <w:rPr>
                <w:rFonts w:ascii="Times New Roman" w:cs="Times New Roman" w:eastAsia="Times New Roman" w:hAnsi="Times New Roman"/>
                <w:sz w:val="15"/>
                <w:szCs w:val="15"/>
                <w:b w:val="1"/>
                <w:bCs w:val="1"/>
                <w:color w:val="auto"/>
              </w:rPr>
              <w:t>Stock</w:t>
            </w:r>
          </w:p>
        </w:tc>
        <w:tc>
          <w:tcPr>
            <w:tcW w:w="880" w:type="dxa"/>
            <w:vAlign w:val="bottom"/>
            <w:gridSpan w:val="2"/>
            <w:vMerge w:val="restart"/>
          </w:tcPr>
          <w:p>
            <w:pPr>
              <w:jc w:val="center"/>
              <w:ind w:right="100"/>
              <w:spacing w:after="0" w:line="154" w:lineRule="exact"/>
              <w:rPr>
                <w:sz w:val="20"/>
                <w:szCs w:val="20"/>
                <w:color w:val="auto"/>
              </w:rPr>
            </w:pPr>
            <w:r>
              <w:rPr>
                <w:rFonts w:ascii="Times New Roman" w:cs="Times New Roman" w:eastAsia="Times New Roman" w:hAnsi="Times New Roman"/>
                <w:sz w:val="15"/>
                <w:szCs w:val="15"/>
                <w:b w:val="1"/>
                <w:bCs w:val="1"/>
                <w:color w:val="auto"/>
              </w:rPr>
              <w:t>Paid-In</w:t>
            </w:r>
          </w:p>
        </w:tc>
        <w:tc>
          <w:tcPr>
            <w:tcW w:w="780" w:type="dxa"/>
            <w:vAlign w:val="bottom"/>
            <w:gridSpan w:val="2"/>
            <w:vMerge w:val="restart"/>
          </w:tcPr>
          <w:p>
            <w:pPr>
              <w:ind w:left="40"/>
              <w:spacing w:after="0" w:line="154"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240" w:type="dxa"/>
            <w:vAlign w:val="bottom"/>
            <w:gridSpan w:val="3"/>
            <w:vMerge w:val="restart"/>
          </w:tcPr>
          <w:p>
            <w:pPr>
              <w:jc w:val="center"/>
              <w:ind w:right="100"/>
              <w:spacing w:after="0" w:line="154"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3"/>
            <w:vMerge w:val="restart"/>
          </w:tcPr>
          <w:p>
            <w:pPr>
              <w:jc w:val="center"/>
              <w:ind w:right="100"/>
              <w:spacing w:after="0" w:line="154" w:lineRule="exact"/>
              <w:rPr>
                <w:sz w:val="20"/>
                <w:szCs w:val="20"/>
                <w:color w:val="auto"/>
              </w:rPr>
            </w:pPr>
            <w:r>
              <w:rPr>
                <w:rFonts w:ascii="Times New Roman" w:cs="Times New Roman" w:eastAsia="Times New Roman" w:hAnsi="Times New Roman"/>
                <w:sz w:val="15"/>
                <w:szCs w:val="15"/>
                <w:b w:val="1"/>
                <w:bCs w:val="1"/>
                <w:color w:val="auto"/>
                <w:w w:val="99"/>
              </w:rPr>
              <w:t>controlling</w:t>
            </w:r>
          </w:p>
        </w:tc>
        <w:tc>
          <w:tcPr>
            <w:tcW w:w="180" w:type="dxa"/>
            <w:vAlign w:val="bottom"/>
          </w:tcPr>
          <w:p>
            <w:pPr>
              <w:spacing w:after="0"/>
              <w:rPr>
                <w:sz w:val="4"/>
                <w:szCs w:val="4"/>
                <w:color w:val="auto"/>
              </w:rPr>
            </w:pPr>
          </w:p>
        </w:tc>
        <w:tc>
          <w:tcPr>
            <w:tcW w:w="840" w:type="dxa"/>
            <w:vAlign w:val="bottom"/>
            <w:vMerge w:val="restart"/>
          </w:tcPr>
          <w:p>
            <w:pPr>
              <w:jc w:val="center"/>
              <w:ind w:right="103"/>
              <w:spacing w:after="0" w:line="154" w:lineRule="exact"/>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80"/>
        </w:trPr>
        <w:tc>
          <w:tcPr>
            <w:tcW w:w="4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3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Issued</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Loss</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54"/>
        </w:trPr>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Balance as of December 31, 2015</w:t>
            </w:r>
          </w:p>
        </w:tc>
        <w:tc>
          <w:tcPr>
            <w:tcW w:w="6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1,002.4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1,146.7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42.5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(1,844.1)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101.6</w:t>
            </w:r>
          </w:p>
        </w:tc>
        <w:tc>
          <w:tcPr>
            <w:tcW w:w="0" w:type="dxa"/>
            <w:vAlign w:val="bottom"/>
          </w:tcPr>
          <w:p>
            <w:pPr>
              <w:spacing w:after="0"/>
              <w:rPr>
                <w:sz w:val="1"/>
                <w:szCs w:val="1"/>
                <w:color w:val="auto"/>
              </w:rPr>
            </w:pPr>
          </w:p>
        </w:tc>
      </w:tr>
      <w:tr>
        <w:trPr>
          <w:trHeight w:val="266"/>
        </w:trPr>
        <w:tc>
          <w:tcPr>
            <w:tcW w:w="4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277.8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277.8</w:t>
            </w:r>
          </w:p>
        </w:tc>
        <w:tc>
          <w:tcPr>
            <w:tcW w:w="0" w:type="dxa"/>
            <w:vAlign w:val="bottom"/>
          </w:tcPr>
          <w:p>
            <w:pPr>
              <w:spacing w:after="0"/>
              <w:rPr>
                <w:sz w:val="1"/>
                <w:szCs w:val="1"/>
                <w:color w:val="auto"/>
              </w:rPr>
            </w:pPr>
          </w:p>
        </w:tc>
      </w:tr>
      <w:tr>
        <w:trPr>
          <w:trHeight w:val="274"/>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Dividends, $1.65 per share</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0" w:type="dxa"/>
            <w:vAlign w:val="bottom"/>
          </w:tcPr>
          <w:p>
            <w:pPr>
              <w:spacing w:after="0"/>
              <w:rPr>
                <w:sz w:val="1"/>
                <w:szCs w:val="1"/>
                <w:color w:val="auto"/>
              </w:rPr>
            </w:pPr>
          </w:p>
        </w:tc>
      </w:tr>
      <w:tr>
        <w:trPr>
          <w:trHeight w:val="266"/>
        </w:trPr>
        <w:tc>
          <w:tcPr>
            <w:tcW w:w="4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20" w:type="dxa"/>
            <w:vAlign w:val="bottom"/>
          </w:tcPr>
          <w:p>
            <w:pPr>
              <w:spacing w:after="0"/>
              <w:rPr>
                <w:sz w:val="23"/>
                <w:szCs w:val="23"/>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176"/>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Pension and post-retirement liability changes, net of tax benefit</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of $7.4</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172"/>
        </w:trPr>
        <w:tc>
          <w:tcPr>
            <w:tcW w:w="4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Change in fair value of available-for-sale marketable equity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securities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Pr>
          <w:p>
            <w:pPr>
              <w:spacing w:after="0"/>
              <w:rPr>
                <w:sz w:val="17"/>
                <w:szCs w:val="17"/>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74"/>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31.7</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31.7</w:t>
            </w:r>
          </w:p>
        </w:tc>
        <w:tc>
          <w:tcPr>
            <w:tcW w:w="0" w:type="dxa"/>
            <w:vAlign w:val="bottom"/>
          </w:tcPr>
          <w:p>
            <w:pPr>
              <w:spacing w:after="0"/>
              <w:rPr>
                <w:sz w:val="1"/>
                <w:szCs w:val="1"/>
                <w:color w:val="auto"/>
              </w:rPr>
            </w:pPr>
          </w:p>
        </w:tc>
      </w:tr>
      <w:tr>
        <w:trPr>
          <w:trHeight w:val="266"/>
        </w:trPr>
        <w:tc>
          <w:tcPr>
            <w:tcW w:w="4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Change in cash flow hedges, net of tax benefit of $8.0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14.0</w:t>
            </w:r>
          </w:p>
        </w:tc>
        <w:tc>
          <w:tcPr>
            <w:tcW w:w="120" w:type="dxa"/>
            <w:vAlign w:val="bottom"/>
          </w:tcPr>
          <w:p>
            <w:pPr>
              <w:spacing w:after="0"/>
              <w:rPr>
                <w:sz w:val="23"/>
                <w:szCs w:val="23"/>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14.0</w:t>
            </w:r>
          </w:p>
        </w:tc>
        <w:tc>
          <w:tcPr>
            <w:tcW w:w="0" w:type="dxa"/>
            <w:vAlign w:val="bottom"/>
          </w:tcPr>
          <w:p>
            <w:pPr>
              <w:spacing w:after="0"/>
              <w:rPr>
                <w:sz w:val="1"/>
                <w:szCs w:val="1"/>
                <w:color w:val="auto"/>
              </w:rPr>
            </w:pPr>
          </w:p>
        </w:tc>
      </w:tr>
      <w:tr>
        <w:trPr>
          <w:trHeight w:val="274"/>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266"/>
        </w:trPr>
        <w:tc>
          <w:tcPr>
            <w:tcW w:w="43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Additional investment in subsidiary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4"/>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Treasury stock purchases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(333.3)</w:t>
            </w:r>
          </w:p>
        </w:tc>
        <w:tc>
          <w:tcPr>
            <w:tcW w:w="0" w:type="dxa"/>
            <w:vAlign w:val="bottom"/>
          </w:tcPr>
          <w:p>
            <w:pPr>
              <w:spacing w:after="0"/>
              <w:rPr>
                <w:sz w:val="1"/>
                <w:szCs w:val="1"/>
                <w:color w:val="auto"/>
              </w:rPr>
            </w:pPr>
          </w:p>
        </w:tc>
      </w:tr>
      <w:tr>
        <w:trPr>
          <w:trHeight w:val="266"/>
        </w:trPr>
        <w:tc>
          <w:tcPr>
            <w:tcW w:w="4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Tax benefits of stock-based compensation</w:t>
            </w:r>
          </w:p>
        </w:tc>
        <w:tc>
          <w:tcPr>
            <w:tcW w:w="6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19.4</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19.4</w:t>
            </w:r>
          </w:p>
        </w:tc>
        <w:tc>
          <w:tcPr>
            <w:tcW w:w="0" w:type="dxa"/>
            <w:vAlign w:val="bottom"/>
          </w:tcPr>
          <w:p>
            <w:pPr>
              <w:spacing w:after="0"/>
              <w:rPr>
                <w:sz w:val="1"/>
                <w:szCs w:val="1"/>
                <w:color w:val="auto"/>
              </w:rPr>
            </w:pPr>
          </w:p>
        </w:tc>
      </w:tr>
      <w:tr>
        <w:trPr>
          <w:trHeight w:val="254"/>
        </w:trPr>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Balance as of December 31, 2016</w:t>
            </w:r>
          </w:p>
        </w:tc>
        <w:tc>
          <w:tcPr>
            <w:tcW w:w="6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1,046.2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1,353.0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(195.1)</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44.2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(2,167.4)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38.0</w:t>
            </w:r>
          </w:p>
        </w:tc>
        <w:tc>
          <w:tcPr>
            <w:tcW w:w="0" w:type="dxa"/>
            <w:vAlign w:val="bottom"/>
          </w:tcPr>
          <w:p>
            <w:pPr>
              <w:spacing w:after="0"/>
              <w:rPr>
                <w:sz w:val="1"/>
                <w:szCs w:val="1"/>
                <w:color w:val="auto"/>
              </w:rPr>
            </w:pPr>
          </w:p>
        </w:tc>
      </w:tr>
      <w:tr>
        <w:trPr>
          <w:trHeight w:val="266"/>
        </w:trPr>
        <w:tc>
          <w:tcPr>
            <w:tcW w:w="4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305.7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305.7</w:t>
            </w:r>
          </w:p>
        </w:tc>
        <w:tc>
          <w:tcPr>
            <w:tcW w:w="0" w:type="dxa"/>
            <w:vAlign w:val="bottom"/>
          </w:tcPr>
          <w:p>
            <w:pPr>
              <w:spacing w:after="0"/>
              <w:rPr>
                <w:sz w:val="1"/>
                <w:szCs w:val="1"/>
                <w:color w:val="auto"/>
              </w:rPr>
            </w:pPr>
          </w:p>
        </w:tc>
      </w:tr>
      <w:tr>
        <w:trPr>
          <w:trHeight w:val="274"/>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Dividends, $1.96 per share</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w:t>
            </w:r>
          </w:p>
        </w:tc>
        <w:tc>
          <w:tcPr>
            <w:tcW w:w="0" w:type="dxa"/>
            <w:vAlign w:val="bottom"/>
          </w:tcPr>
          <w:p>
            <w:pPr>
              <w:spacing w:after="0"/>
              <w:rPr>
                <w:sz w:val="1"/>
                <w:szCs w:val="1"/>
                <w:color w:val="auto"/>
              </w:rPr>
            </w:pPr>
          </w:p>
        </w:tc>
      </w:tr>
      <w:tr>
        <w:trPr>
          <w:trHeight w:val="266"/>
        </w:trPr>
        <w:tc>
          <w:tcPr>
            <w:tcW w:w="4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33.9</w:t>
            </w:r>
          </w:p>
        </w:tc>
        <w:tc>
          <w:tcPr>
            <w:tcW w:w="120" w:type="dxa"/>
            <w:vAlign w:val="bottom"/>
          </w:tcPr>
          <w:p>
            <w:pPr>
              <w:spacing w:after="0"/>
              <w:rPr>
                <w:sz w:val="23"/>
                <w:szCs w:val="23"/>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33.9</w:t>
            </w:r>
          </w:p>
        </w:tc>
        <w:tc>
          <w:tcPr>
            <w:tcW w:w="0" w:type="dxa"/>
            <w:vAlign w:val="bottom"/>
          </w:tcPr>
          <w:p>
            <w:pPr>
              <w:spacing w:after="0"/>
              <w:rPr>
                <w:sz w:val="1"/>
                <w:szCs w:val="1"/>
                <w:color w:val="auto"/>
              </w:rPr>
            </w:pPr>
          </w:p>
        </w:tc>
      </w:tr>
      <w:tr>
        <w:trPr>
          <w:trHeight w:val="176"/>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Pension and post-retirement liability changes, net of tax benefit</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of $0.5</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72"/>
        </w:trPr>
        <w:tc>
          <w:tcPr>
            <w:tcW w:w="4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Change in fair value of available-for-sale marketable equity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securities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Pr>
          <w:p>
            <w:pPr>
              <w:spacing w:after="0"/>
              <w:rPr>
                <w:sz w:val="17"/>
                <w:szCs w:val="17"/>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274"/>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24.9</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24.9</w:t>
            </w:r>
          </w:p>
        </w:tc>
        <w:tc>
          <w:tcPr>
            <w:tcW w:w="0" w:type="dxa"/>
            <w:vAlign w:val="bottom"/>
          </w:tcPr>
          <w:p>
            <w:pPr>
              <w:spacing w:after="0"/>
              <w:rPr>
                <w:sz w:val="1"/>
                <w:szCs w:val="1"/>
                <w:color w:val="auto"/>
              </w:rPr>
            </w:pPr>
          </w:p>
        </w:tc>
      </w:tr>
      <w:tr>
        <w:trPr>
          <w:trHeight w:val="266"/>
        </w:trPr>
        <w:tc>
          <w:tcPr>
            <w:tcW w:w="4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Change in cash flow hedges, net of tax expense of $0.6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tcPr>
          <w:p>
            <w:pPr>
              <w:spacing w:after="0"/>
              <w:rPr>
                <w:sz w:val="23"/>
                <w:szCs w:val="23"/>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74"/>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66"/>
        </w:trPr>
        <w:tc>
          <w:tcPr>
            <w:tcW w:w="43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Additional investment in subsidiary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Treasury stock purchases</w:t>
            </w: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(276.1)</w:t>
            </w:r>
          </w:p>
        </w:tc>
        <w:tc>
          <w:tcPr>
            <w:tcW w:w="0" w:type="dxa"/>
            <w:vAlign w:val="bottom"/>
          </w:tcPr>
          <w:p>
            <w:pPr>
              <w:spacing w:after="0"/>
              <w:rPr>
                <w:sz w:val="1"/>
                <w:szCs w:val="1"/>
                <w:color w:val="auto"/>
              </w:rPr>
            </w:pPr>
          </w:p>
        </w:tc>
      </w:tr>
      <w:tr>
        <w:trPr>
          <w:trHeight w:val="250"/>
        </w:trPr>
        <w:tc>
          <w:tcPr>
            <w:tcW w:w="43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Balance as of December 31, 2017</w:t>
            </w: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tcPr>
          <w:p>
            <w:pPr>
              <w:spacing w:after="0"/>
              <w:rPr>
                <w:sz w:val="21"/>
                <w:szCs w:val="21"/>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1,061.5</w:t>
            </w:r>
          </w:p>
        </w:tc>
        <w:tc>
          <w:tcPr>
            <w:tcW w:w="100" w:type="dxa"/>
            <w:vAlign w:val="bottom"/>
          </w:tcPr>
          <w:p>
            <w:pPr>
              <w:spacing w:after="0"/>
              <w:rPr>
                <w:sz w:val="21"/>
                <w:szCs w:val="21"/>
                <w:color w:val="auto"/>
              </w:rPr>
            </w:pP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1,575.9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(157.4)</w:t>
            </w:r>
          </w:p>
        </w:tc>
        <w:tc>
          <w:tcPr>
            <w:tcW w:w="120" w:type="dxa"/>
            <w:vAlign w:val="bottom"/>
          </w:tcPr>
          <w:p>
            <w:pPr>
              <w:spacing w:after="0"/>
              <w:rPr>
                <w:sz w:val="21"/>
                <w:szCs w:val="21"/>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45.4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(2,430.8)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1"/>
                <w:szCs w:val="21"/>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50.1</w:t>
            </w:r>
          </w:p>
        </w:tc>
        <w:tc>
          <w:tcPr>
            <w:tcW w:w="0" w:type="dxa"/>
            <w:vAlign w:val="bottom"/>
          </w:tcPr>
          <w:p>
            <w:pPr>
              <w:spacing w:after="0"/>
              <w:rPr>
                <w:sz w:val="1"/>
                <w:szCs w:val="1"/>
                <w:color w:val="auto"/>
              </w:rPr>
            </w:pPr>
          </w:p>
        </w:tc>
      </w:tr>
      <w:tr>
        <w:trPr>
          <w:trHeight w:val="176"/>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Cumulative effect adjustment upon adoption of new accounting</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standard (ASU 2016-16), (ASU 2018-02) and (ASC 606)</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66"/>
        </w:trPr>
        <w:tc>
          <w:tcPr>
            <w:tcW w:w="4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359.0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359.0</w:t>
            </w:r>
          </w:p>
        </w:tc>
        <w:tc>
          <w:tcPr>
            <w:tcW w:w="0" w:type="dxa"/>
            <w:vAlign w:val="bottom"/>
          </w:tcPr>
          <w:p>
            <w:pPr>
              <w:spacing w:after="0"/>
              <w:rPr>
                <w:sz w:val="1"/>
                <w:szCs w:val="1"/>
                <w:color w:val="auto"/>
              </w:rPr>
            </w:pPr>
          </w:p>
        </w:tc>
      </w:tr>
      <w:tr>
        <w:trPr>
          <w:trHeight w:val="274"/>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Dividends, $2.43 per share</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w:t>
            </w:r>
          </w:p>
        </w:tc>
        <w:tc>
          <w:tcPr>
            <w:tcW w:w="0" w:type="dxa"/>
            <w:vAlign w:val="bottom"/>
          </w:tcPr>
          <w:p>
            <w:pPr>
              <w:spacing w:after="0"/>
              <w:rPr>
                <w:sz w:val="1"/>
                <w:szCs w:val="1"/>
                <w:color w:val="auto"/>
              </w:rPr>
            </w:pPr>
          </w:p>
        </w:tc>
      </w:tr>
      <w:tr>
        <w:trPr>
          <w:trHeight w:val="266"/>
        </w:trPr>
        <w:tc>
          <w:tcPr>
            <w:tcW w:w="4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11.0</w:t>
            </w:r>
          </w:p>
        </w:tc>
        <w:tc>
          <w:tcPr>
            <w:tcW w:w="120" w:type="dxa"/>
            <w:vAlign w:val="bottom"/>
          </w:tcPr>
          <w:p>
            <w:pPr>
              <w:spacing w:after="0"/>
              <w:rPr>
                <w:sz w:val="23"/>
                <w:szCs w:val="23"/>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176"/>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Pension and post-retirement liability changes, net of tax benefit</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of $1.6</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266"/>
        </w:trPr>
        <w:tc>
          <w:tcPr>
            <w:tcW w:w="4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Sale of marketable equity securities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tcPr>
          <w:p>
            <w:pPr>
              <w:spacing w:after="0"/>
              <w:rPr>
                <w:sz w:val="23"/>
                <w:szCs w:val="23"/>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4"/>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26.3</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26.3</w:t>
            </w:r>
          </w:p>
        </w:tc>
        <w:tc>
          <w:tcPr>
            <w:tcW w:w="0" w:type="dxa"/>
            <w:vAlign w:val="bottom"/>
          </w:tcPr>
          <w:p>
            <w:pPr>
              <w:spacing w:after="0"/>
              <w:rPr>
                <w:sz w:val="1"/>
                <w:szCs w:val="1"/>
                <w:color w:val="auto"/>
              </w:rPr>
            </w:pPr>
          </w:p>
        </w:tc>
      </w:tr>
      <w:tr>
        <w:trPr>
          <w:trHeight w:val="266"/>
        </w:trPr>
        <w:tc>
          <w:tcPr>
            <w:tcW w:w="4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Change in cash flow hedges, net of tax benefit of $4.7</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120" w:type="dxa"/>
            <w:vAlign w:val="bottom"/>
          </w:tcPr>
          <w:p>
            <w:pPr>
              <w:spacing w:after="0"/>
              <w:rPr>
                <w:sz w:val="23"/>
                <w:szCs w:val="23"/>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0" w:type="dxa"/>
            <w:vAlign w:val="bottom"/>
          </w:tcPr>
          <w:p>
            <w:pPr>
              <w:spacing w:after="0"/>
              <w:rPr>
                <w:sz w:val="1"/>
                <w:szCs w:val="1"/>
                <w:color w:val="auto"/>
              </w:rPr>
            </w:pPr>
          </w:p>
        </w:tc>
      </w:tr>
      <w:tr>
        <w:trPr>
          <w:trHeight w:val="274"/>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266"/>
        </w:trPr>
        <w:tc>
          <w:tcPr>
            <w:tcW w:w="4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Treasury stock purchases</w:t>
            </w:r>
          </w:p>
        </w:tc>
        <w:tc>
          <w:tcPr>
            <w:tcW w:w="6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(477.1)</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(477.1)</w:t>
            </w:r>
          </w:p>
        </w:tc>
        <w:tc>
          <w:tcPr>
            <w:tcW w:w="0" w:type="dxa"/>
            <w:vAlign w:val="bottom"/>
          </w:tcPr>
          <w:p>
            <w:pPr>
              <w:spacing w:after="0"/>
              <w:rPr>
                <w:sz w:val="1"/>
                <w:szCs w:val="1"/>
                <w:color w:val="auto"/>
              </w:rPr>
            </w:pPr>
          </w:p>
        </w:tc>
      </w:tr>
      <w:tr>
        <w:trPr>
          <w:trHeight w:val="241"/>
        </w:trPr>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Balance as of December 31, 2018</w:t>
            </w:r>
          </w:p>
        </w:tc>
        <w:tc>
          <w:tcPr>
            <w:tcW w:w="6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    0.9</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  1,078.8</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$1,855.0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(188.8)</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47.3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(2,895.5)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83" w:right="239" w:bottom="1440" w:gutter="0" w:footer="0" w:header="0"/>
        </w:sectPr>
      </w:pPr>
    </w:p>
    <w:bookmarkStart w:id="39" w:name="page40"/>
    <w:bookmarkEnd w:id="39"/>
    <w:p>
      <w:pPr>
        <w:jc w:val="center"/>
        <w:ind w:left="3420"/>
        <w:spacing w:after="0" w:line="221" w:lineRule="auto"/>
        <w:rPr>
          <w:sz w:val="20"/>
          <w:szCs w:val="20"/>
          <w:color w:val="auto"/>
        </w:rPr>
      </w:pPr>
      <w:r>
        <w:rPr>
          <w:rFonts w:ascii="Times New Roman" w:cs="Times New Roman" w:eastAsia="Times New Roman" w:hAnsi="Times New Roman"/>
          <w:sz w:val="18"/>
          <w:szCs w:val="18"/>
          <w:b w:val="1"/>
          <w:bCs w:val="1"/>
          <w:color w:val="auto"/>
        </w:rPr>
        <w:t>LENNOX INTERNATIONAL INC. AND SUBSIDIARIES CONSOLIDATED STATEMENTS OF CASH FLOWS For the Years Ended December 31, 2018, 2017 and 2016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income</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Gain on sale of real estate</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Impairment/loss on the sale of Australia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Impairment/loss on the sale of South America business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Gain from insurance recoveries, net of losses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Income from equity method investments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Dividends from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Restructuring expenses, net of cash paid</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Provision for bad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Unrealized losses (gains), net on derivative contracts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Pension expense</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Pension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Other items, net</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Changes in assets and liabilities, net of effects of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Accounts and notes receivable</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Accrued expenses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Income taxes payable and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Other, net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Proceeds from the disposal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Purchases of property, plant and equipment</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proceeds from sale of businesses and related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Insurance recoveries received for property damage incurred from natural disaster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Short-term borrowings,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Asset securitization borrowings</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Asset securitization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Long-term debt borrowings</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Long-term debt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Borrowings from credit facility</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Payments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Payments of deferred financing costs</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Proceeds from employee stock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Repurchases of common stock</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Repurchases of common stock to satisfy employee withholding tax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Cash dividends paid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Increase in cash and cash equivalents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beginning of year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Supplementary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Cash paid during the year for:</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Interest,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95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95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51"/>
        </w:trPr>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510"/>
        </w:trPr>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359.0</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305.7</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277.8</w:t>
            </w:r>
          </w:p>
        </w:tc>
      </w:tr>
      <w:tr>
        <w:trPr>
          <w:trHeight w:val="540"/>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31.7</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58.1</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37.7</w:t>
            </w:r>
          </w:p>
        </w:tc>
      </w:tr>
      <w:tr>
        <w:trPr>
          <w:trHeight w:val="203"/>
        </w:trPr>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0.9</w:t>
            </w:r>
          </w:p>
        </w:tc>
      </w:tr>
      <w:tr>
        <w:trPr>
          <w:trHeight w:val="540"/>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40.1</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36.2</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75"/>
        </w:trPr>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r>
      <w:tr>
        <w:trPr>
          <w:trHeight w:val="245"/>
        </w:trPr>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373.9</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5"/>
        </w:trPr>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w:t>
            </w:r>
          </w:p>
        </w:tc>
      </w:tr>
      <w:tr>
        <w:trPr>
          <w:trHeight w:val="540"/>
        </w:trPr>
        <w:tc>
          <w:tcPr>
            <w:tcW w:w="2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145.0</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350.0</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2,376.5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2,336.5</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(2,346.0)</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275"/>
        </w:trPr>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w:t>
            </w:r>
          </w:p>
        </w:tc>
      </w:tr>
      <w:tr>
        <w:trPr>
          <w:trHeight w:val="245"/>
        </w:trPr>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75"/>
        </w:trPr>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68.2</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38.9</w:t>
            </w:r>
          </w:p>
        </w:tc>
      </w:tr>
      <w:tr>
        <w:trPr>
          <w:trHeight w:val="237"/>
        </w:trPr>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660" w:val="left"/>
          <w:tab w:leader="none" w:pos="1180" w:val="left"/>
          <w:tab w:leader="none" w:pos="1800" w:val="left"/>
          <w:tab w:leader="none" w:pos="2300" w:val="left"/>
          <w:tab w:leader="none" w:pos="29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38.7</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32.4</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01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2">
            <w:col w:w="7940" w:space="140"/>
            <w:col w:w="3300"/>
          </w:cols>
          <w:pgMar w:left="280" w:top="752" w:right="23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5"/>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4"/>
                <w:szCs w:val="14"/>
                <w:color w:val="auto"/>
              </w:rPr>
              <w:t>Insurance recoveries received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120" w:type="dxa"/>
            <w:vAlign w:val="bottom"/>
            <w:vMerge w:val="continue"/>
          </w:tcPr>
          <w:p>
            <w:pPr>
              <w:spacing w:after="0"/>
              <w:rPr>
                <w:sz w:val="12"/>
                <w:szCs w:val="12"/>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124.3</w:t>
            </w:r>
          </w:p>
        </w:tc>
        <w:tc>
          <w:tcPr>
            <w:tcW w:w="120" w:type="dxa"/>
            <w:vAlign w:val="bottom"/>
          </w:tcPr>
          <w:p>
            <w:pPr>
              <w:spacing w:after="0"/>
              <w:rPr>
                <w:sz w:val="12"/>
                <w:szCs w:val="12"/>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9"/>
        </w:trPr>
        <w:tc>
          <w:tcPr>
            <w:tcW w:w="8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40"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0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Lennox International Inc., a Delaware corporation, through its subsidiaries (referred to herein as “we,” “our,” “us,” “LII,” or the “Company”), is a leading global provider of climate control solutions. We design, manufacture, market and service a broad range of products for the heating, ventilation, air conditioning and refrigeration (“HVACR”) markets and sell our products and services through a combination of direct sales, distributors and company-owned parts and supplies stores. We operate in three reportable business segments: Residential Heating &amp; Cooling, Commercial Heating &amp; Cooling, and Refrigeration. See Note 20 for financial information regarding our reportable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Lennox International Inc. and our majority-owned subsidiaries. All intercompany transactions, profits and balances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consider all highly liquid temporary investments with original maturity dates of three months or less to be cash equivalents. Cash and cash equivalents consisted primarily of bank deposits.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and Notes Receivable</w:t>
      </w:r>
    </w:p>
    <w:p>
      <w:pPr>
        <w:spacing w:after="0" w:line="229"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Accounts and notes receivable are shown in the accompanying Consolidated Balance Sheets, net of allowance for doubtful accounts. The allowance for doubtful accounts is generally established during the period in which receivables are recognized and is based on the age of the receivables and management’s judgment on our ability to collect. Management considers the historical trends of write-offs and recoveries of previously written-off accounts, the financial strength of customers and projected economic and market conditions. We determine the delinquency status of receivables predominantly based on contractual terms and we write-off uncollectible receivables after management’s review of our ability to collect, as noted above. We have no significant concentrations of credit risk within our accounts and notes receivable.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Inventory costs include material, labor, depreciation and plant overhead. Inventories of $343.5 million and $291.0 million as of December 31, 2018 and 2017, respectively, were valued at the lower of cost or net realizable value using the last-in, first-out (“LIFO”) cost method. The remainder of inventory is valued at the lower of cost or net realizable value with cost determined primarily using either the first-in, first-out (“FIFO”) or average cost methods.</w:t>
      </w:r>
    </w:p>
    <w:p>
      <w:pPr>
        <w:spacing w:after="0" w:line="176"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We elected to use the LIFO cost method for our domestic manufacturing companies in 1974 and continued to elect the LIFO cost method for new operations through the late 1980s. The types of inventory costs that use LIFO include raw materials, purchased components, work-in-process, repair parts and finished goods. Since the late 1990s, we have adopted the FIFO cost method for all new domestic manufacturing operations (primarily acquisitions). Our operating entities with a previous LIFO election continue to use the LIFO cost method. We use the FIFO cost method for our foreign-based manufacturing facilities. See Note 4 for more information on our inventories.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Property, plant and equipment is stated at cost, net of accumulated depreciation. Expenditures that increase the utility or extend the useful lives of fixed assets are capitalized while expenditures for maintenance and repairs are charged to expense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76" w:right="23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8"/>
          <w:szCs w:val="18"/>
          <w:color w:val="auto"/>
        </w:rPr>
        <w:t>Depreciation is computed using the straight-line method over the following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240665</wp:posOffset>
            </wp:positionV>
            <wp:extent cx="680085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0850" cy="171450"/>
                    </a:xfrm>
                    <a:prstGeom prst="rect">
                      <a:avLst/>
                    </a:prstGeom>
                    <a:noFill/>
                  </pic:spPr>
                </pic:pic>
              </a:graphicData>
            </a:graphic>
          </wp:anchor>
        </w:drawing>
      </w:r>
    </w:p>
    <w:p>
      <w:pPr>
        <w:spacing w:after="0" w:line="3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Buildings and improvements:</w:t>
      </w:r>
    </w:p>
    <w:p>
      <w:pPr>
        <w:spacing w:after="0" w:line="63"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33 years</w:t>
            </w:r>
          </w:p>
        </w:tc>
      </w:tr>
      <w:tr>
        <w:trPr>
          <w:trHeight w:val="27"/>
        </w:trPr>
        <w:tc>
          <w:tcPr>
            <w:tcW w:w="638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Leasehold improvements</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to 39 years</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3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Computer hardware</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43"/>
        </w:trPr>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Computer software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10 years</w:t>
            </w:r>
          </w:p>
        </w:tc>
      </w:tr>
      <w:tr>
        <w:trPr>
          <w:trHeight w:val="27"/>
        </w:trPr>
        <w:tc>
          <w:tcPr>
            <w:tcW w:w="638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Factory machinery and equipment</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to 15 years</w:t>
            </w:r>
          </w:p>
        </w:tc>
      </w:tr>
      <w:tr>
        <w:trPr>
          <w:trHeight w:val="243"/>
        </w:trPr>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 equipment</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10 years</w:t>
            </w:r>
          </w:p>
        </w:tc>
      </w:tr>
      <w:tr>
        <w:trPr>
          <w:trHeight w:val="27"/>
        </w:trPr>
        <w:tc>
          <w:tcPr>
            <w:tcW w:w="638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43"/>
        </w:trPr>
        <w:tc>
          <w:tcPr>
            <w:tcW w:w="6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Vehicles</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8 years</w:t>
            </w:r>
          </w:p>
        </w:tc>
      </w:tr>
      <w:tr>
        <w:trPr>
          <w:trHeight w:val="27"/>
        </w:trPr>
        <w:tc>
          <w:tcPr>
            <w:tcW w:w="638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We periodically review long-lived assets for impairment as events or changes in circumstances indicate that the carrying amount of such assets might not be recoverable. To assess recoverability, we compare the estimated expected future undiscounted cash flows identified with each long-lived asset or related asset group to the carrying amount of such assets. If the expected future cash flows do not exceed the carrying value of the asset or assets being reviewed, an impairment loss is recognized based on the excess of the carrying amount of the impaired assets over their fair value. See Note 6 for additional information on our property, plant and equipment.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cost over fair value of assets from acquired businesses. Goodwill is not amortized, but is reviewed for impairment annually and whenever events or changes in circumstances indicate the asset may be impaired (See Note 5 for additional information on our goodwill). The annual goodwill impairment test was performed during the fourth quarter of 2018.</w:t>
      </w:r>
    </w:p>
    <w:p>
      <w:pPr>
        <w:spacing w:after="0" w:line="17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provisions of the accounting standard for goodwill allow us to first assess qualitative factors to determine whether it is necessary to perform a two-step quantitative goodwill impairment test. As part of our qualitative assessment, we monitor economic, legal, regulatory and other factors, industry trends, our market capitalization, recent and forecasted financial performance of our reporting units and the timing and nature of our restructuring activities for LII as a whole and for each reporting unit.</w:t>
      </w:r>
    </w:p>
    <w:p>
      <w:pPr>
        <w:spacing w:after="0" w:line="18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a quantitative goodwill impairment test is determined to be necessary, we estimate reporting unit fair values using a combination of the discounted cash flow approach and a market approach. The discounted cash flows used to estimate fair value are based on assumptions regarding each reporting unit’s estimated projected future cash flows and the estimated weighted-average cost of capital that a market participant would use in evaluating the reporting unit in a purchase transaction. The estimated weighted-average cost of capital is based on the risk-free interest rate and other factors such as equity risk premiums and the ratio of total debt to equity capital. In performing these impairment tests, we take steps to ensure that appropriate and reasonable cash flow projections and assumptions are used. We reconcile our estimated enterprise value to our market capitalization and determine the reasonableness of the cost of capital used by comparing to market data. We also perform sensitivity analyses on the key assumptions used, such as the weighted-average cost of capital and terminal growth rates. The market approach is based on objective evidence of market values.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amortize intangible assets and other assets with finite lives over their respective estimated useful lives to their estimated residual values, as follows:</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48"/>
        </w:trPr>
        <w:tc>
          <w:tcPr>
            <w:tcW w:w="2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70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020" w:type="dxa"/>
            <w:vAlign w:val="bottom"/>
          </w:tcPr>
          <w:p>
            <w:pPr>
              <w:spacing w:after="0"/>
              <w:rPr>
                <w:sz w:val="4"/>
                <w:szCs w:val="4"/>
                <w:color w:val="auto"/>
              </w:rPr>
            </w:pPr>
          </w:p>
        </w:tc>
      </w:tr>
      <w:tr>
        <w:trPr>
          <w:trHeight w:val="250"/>
        </w:trPr>
        <w:tc>
          <w:tcPr>
            <w:tcW w:w="3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interest method</w:t>
            </w:r>
          </w:p>
        </w:tc>
      </w:tr>
      <w:tr>
        <w:trPr>
          <w:trHeight w:val="243"/>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Straight-line method up to 12 years</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43"/>
        </w:trPr>
        <w:tc>
          <w:tcPr>
            <w:tcW w:w="3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others</w:t>
            </w: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Straight-line method up to 20 years</w:t>
            </w:r>
          </w:p>
        </w:tc>
      </w:tr>
      <w:tr>
        <w:trPr>
          <w:trHeight w:val="27"/>
        </w:trPr>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We periodically review intangible assets with estimable useful lives for impairment as events or changes in circumstances indicate that the carrying amount of such assets might not be recoverable. We assess recoverability by comparing the estimated expected undiscounted future cash flows identified with each intangible asset or related asset group to the carrying amount of such assets. If the expected future cash flows do not exceed the carrying value of the asset or assets being reviewed, an impairment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80" w:right="239" w:bottom="144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loss is recognized based on the excess of the carrying amount of the impaired assets over their fair value. In assessing the fair value of these intangible assets, we must make assumptions that a market participant would make regarding estimated future cash flows and other factors to determine the fair value of the respective assets. If these estimates or the related assumptions change, we may be required to record impairment charges for these assets in the future.</w:t>
      </w:r>
    </w:p>
    <w:p>
      <w:pPr>
        <w:spacing w:after="0" w:line="17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review our indefinite-lived intangible assets for impairment annually in the fourth quarter and whenever events or changes in circumstances indicate the asset may be impaired. The provisions of the accounting standard for indefinite-lived intangible assets allow us to first assess qualitative factors to determine whether it is necessary to perform a two-step quantitative impairment test. As part of our qualitative assessment, we monitor economic, legal, regulatory and other factors, industry trends, recent and forecasted financial performance of our reporting units and the timing and nature of our restructuring activities for LII as a whole and as they relate to the fair value of the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For some of our heating, ventilation and air conditioning (“HVAC”) products, we provide warranty terms ranging from one to 20 years to customers for certain components such as compressors or heat exchangers. For select products, we also provide limited lifetime warranties. A liability for estimated warranty expense is recorded on the date that revenue is recognized. Our estimates of future warranty costs are determined by product line. The number of units we expect to repair or replace is determined by applying an estimated failure rate, which is generally based on historical experience, to the number of units that were sold and are still under warranty. The estimated units to be repaired under warranty are multiplied by the average cost to repair or replace such products to determine the estimated future warranty cost. We do not discount product warranty liabilities as the amounts are not fixed and the timing of future cash payments is neither fixed nor reliably determinable. We also provide for specifically-identified warranty obligations. Estimated future warranty costs are subject to adjustment depending on changes in actual failure rate and cost experience. Subsequent costs incurred for warranty claims serve to reduce the accrued product warranty liability. See Note 11 for more information on our estimated future warranty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Pensions and Post-retirement Benefits</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We provide pension and post-retirement medical benefits to eligible domestic and foreign employees and we recognize pension and post-retirement benefit costs over the estimated service life or average life expectancy of those employees. We also recognize the funded status of our benefit plans, as measured at year-end by the difference between plan assets at fair value and the benefit obligation, in the Consolidated Balance Sheets. Changes in the funded status are recognized in the year in which the changes occur through accumulated other comprehensive loss (“AOCL”). Actuarial gains or losses are amortized into net period benefit cost over the estimated service life of covered employees or average life expectancy of participants depending on the plan.</w:t>
      </w:r>
    </w:p>
    <w:p>
      <w:pPr>
        <w:spacing w:after="0" w:line="184"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benefit plan assets and liabilities reflect assumptions about the long-range performance of our benefit plans. Should actual results differ from management’s estimates, revisions to the benefit plan assets and liabilities would be required. See Note 13 for information regarding those estimates and additional disclosures on pension and post-retirement medical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Self-insurance expense and liabilities were actuarially determined based primarily on our historical claims information, industry factors and trends. The self-insurance liabilities as of December 31, 2018 represent the best estimate of the future payments to be made on reported and unreported losses for 2018 and prior years. The amounts and timing of payments for claims reserved may vary depending on various factors, including the development and ultimate settlement of reported and unreported claims. To the extent actuarial assumptions change and claims experience rates differ from historical rates, our liabilities may change. See Note 11 for additional information on our self-insured risks and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use futures contracts, forward contracts and fixed forward contracts to mitigate our exposure to volatility in metal commodity prices and foreign exchange rates. We hedge only exposures in the ordinary course of business and do not hold or trade derivatives for profit. All derivatives are recognized in the Consolidated Balance Sheets at fair value and the classification of each derivative instrument is based upon whether the maturity of the instrument is less than or greater than 12 months. See Note 9 for more information on our derivatives.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recognize deferred tax assets and liabilities for the future tax consequences attributable to differences between the financial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80" w:right="2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8"/>
          <w:szCs w:val="18"/>
          <w:color w:val="auto"/>
        </w:rPr>
        <w:t>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Unrecognized tax benefits are accounted for as required by the Financial Accounting Standards Board (“FASB”) Accounting Standards Codification (“ASC”) Topic 740. See Note 10 for more information related to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 See Note 3 for more information on our revenue recognition practices.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SG&amp;A expenses include payroll and benefit costs, advertising, commissions, research and development, information technology costs, and other selling, general and administrative related costs such as insurance, travel, non-production depreciation and 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recognize compensation expense for stock-based arrangements over the required employee service periods. We measure stock-based compensation costs based on the estimated grant-date fair value of the stock-based awards that are expected to ultimately vest and we adjust expected vesting rates to actual rates as additional information becomes known. For stock-based arrangements with performance conditions, we periodically adjust performance achievement rates based on our best estimates of those rates at the end of the performance period. See Note 15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All assets and liabilities of foreign subsidiaries and joint ventures are translated into U.S. dollars using rates of exchange in effect at the balance sheet date. Revenue and expenses are translated at weighted average exchange rates during the year. Unrealized translation gains and losses are included in AOCL in the accompanying Consolidated Balance Sheets. Transaction gains and losses are included in Losses (gains) and other expenses, net in the accompanying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goodwill, intangible assets and other long-lived assets, contingencies, product warranties, guarantee obligations, indemnifications, and assumptions used in the calculation of income taxes, pension and post-retirement medical benefits, and stock-based compensation among others. These estimates and assumptions are based on our best estimates and judgment.</w:t>
      </w:r>
    </w:p>
    <w:p>
      <w:pPr>
        <w:spacing w:after="0" w:line="18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and uncertain future economic conditions combine to increase the uncertainty inherent in such estimates and assumptions. Future events and their effects cannot be determined with precision and actual results could differ significantly from these estimates.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Changes in these estimates resulting from continuing changes in the economic environment will be reflected in the financial statements in future periods.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Certain amounts have been reclassified from the prior year presentation to conform to the current year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27"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Financial Accounting Standards Board (“FASB”) issued Accounting Standards Update (“ASU”) 2016-15, </w:t>
      </w:r>
      <w:r>
        <w:rPr>
          <w:rFonts w:ascii="Times New Roman" w:cs="Times New Roman" w:eastAsia="Times New Roman" w:hAnsi="Times New Roman"/>
          <w:sz w:val="18"/>
          <w:szCs w:val="18"/>
          <w:i w:val="1"/>
          <w:iCs w:val="1"/>
          <w:color w:val="auto"/>
        </w:rPr>
        <w:t>Classification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Cash Receipts and Cash Payments</w:t>
      </w:r>
      <w:r>
        <w:rPr>
          <w:rFonts w:ascii="Times New Roman" w:cs="Times New Roman" w:eastAsia="Times New Roman" w:hAnsi="Times New Roman"/>
          <w:sz w:val="18"/>
          <w:szCs w:val="18"/>
          <w:color w:val="auto"/>
        </w:rPr>
        <w:t>. The amendments in this ASU clarify the classification for eight different types of activities, including debt prepayment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extinguishment costs, proceeds from insurance claims and distributions from equity method investees. For public business entities, the standard is effective for financial statements issued for fiscal years beginning after December 15, 2017. This standard did not have a material impact on our consolidated financial statements.</w:t>
      </w:r>
    </w:p>
    <w:p>
      <w:pPr>
        <w:spacing w:after="0" w:line="18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also adopted other new accounting standards during the first quarter of 2018. The impact of these additional standards are discussed in their respective Notes 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On February 25, 2016, the FASB issued ASU No. 2016-02, </w:t>
      </w:r>
      <w:r>
        <w:rPr>
          <w:rFonts w:ascii="Times New Roman" w:cs="Times New Roman" w:eastAsia="Times New Roman" w:hAnsi="Times New Roman"/>
          <w:sz w:val="18"/>
          <w:szCs w:val="18"/>
          <w:i w:val="1"/>
          <w:iCs w:val="1"/>
          <w:color w:val="auto"/>
        </w:rPr>
        <w:t>Leases (ASC 842).</w:t>
      </w:r>
      <w:r>
        <w:rPr>
          <w:rFonts w:ascii="Times New Roman" w:cs="Times New Roman" w:eastAsia="Times New Roman" w:hAnsi="Times New Roman"/>
          <w:sz w:val="18"/>
          <w:szCs w:val="18"/>
          <w:color w:val="auto"/>
        </w:rPr>
        <w:t xml:space="preserve"> Lessees will need to recognize almost all leases on their balance sheet as a right-of-use asset and a lease liability. For income statement purposes, the FASB retained a dual model, requiring leases to be classified as either operating or finance. Classification will be based on criteria that are largely similar to those applied in current lease accounting, but without explicit bright lines. ASU 2016-02 is effective for public companies for annual reporting periods beginning after December 15, 2018, and interim periods within those fiscal years. As a result of the new standard, all of our leases greater than one year in duration will be recognized in our Consolidated Balance Sheets as both operating lease liabilities and right-of-use assets upon adoption of the standard. We will adopt the standard using the prospective approach. We have completed a qualitative and quantitative assessment of our lease portfolio and are in the process of finalizing the testing of our new lease accounting system and implementing new processes and controls to account for our leases in accordance with the new standard. Upon adoption, we expect to record right-of-use assets and operating lease liabilities between $130 million and $160 million in our Consolidated Balance Sheet.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7"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On January 1, 2018, we adopted the new accounting standard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all the related amendments (“the new revenue standard”) and applied it to all contracts using the modified retrospective method. We recognized the cumulative effect of initially applying the new revenue standard as an adjustment to the opening balance of retained earnings. The comparative information has not been restated and continues to be reported under the accounting standards in effect for those periods. We expect the impact of the adoption of the new standard to be immaterial to our net income on an ongoing basis.</w:t>
      </w:r>
    </w:p>
    <w:p>
      <w:pPr>
        <w:spacing w:after="0" w:line="18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cumulative effect of the changes made to our consolidated January 1, 2018 balance sheet for the adoption of the new revenue standard was as follows (in millions):</w:t>
      </w:r>
    </w:p>
    <w:p>
      <w:pPr>
        <w:spacing w:after="0" w:line="99" w:lineRule="exact"/>
        <w:rPr>
          <w:sz w:val="20"/>
          <w:szCs w:val="20"/>
          <w:color w:val="auto"/>
        </w:rPr>
      </w:pPr>
    </w:p>
    <w:tbl>
      <w:tblPr>
        <w:tblLayout w:type="fixed"/>
        <w:tblInd w:w="1220" w:type="dxa"/>
        <w:tblCellMar>
          <w:top w:w="0" w:type="dxa"/>
          <w:left w:w="0" w:type="dxa"/>
          <w:bottom w:w="0" w:type="dxa"/>
          <w:right w:w="0" w:type="dxa"/>
        </w:tblCellMar>
      </w:tblPr>
      <w:tr>
        <w:trPr>
          <w:trHeight w:val="221"/>
        </w:trPr>
        <w:tc>
          <w:tcPr>
            <w:tcW w:w="5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3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16"/>
        </w:trPr>
        <w:tc>
          <w:tcPr>
            <w:tcW w:w="53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Due to ASC</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b w:val="1"/>
                <w:bCs w:val="1"/>
                <w:color w:val="auto"/>
                <w:w w:val="99"/>
              </w:rPr>
              <w:t>January 1,</w:t>
            </w:r>
          </w:p>
        </w:tc>
      </w:tr>
      <w:tr>
        <w:trPr>
          <w:trHeight w:val="265"/>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606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35"/>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9"/>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and notes receivable,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w:t>
            </w:r>
          </w:p>
        </w:tc>
      </w:tr>
      <w:tr>
        <w:trPr>
          <w:trHeight w:val="241"/>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 EQUITY</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9"/>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1,574.9</w:t>
            </w:r>
          </w:p>
        </w:tc>
      </w:tr>
    </w:tbl>
    <w:p>
      <w:pPr>
        <w:spacing w:after="0" w:line="231" w:lineRule="exact"/>
        <w:rPr>
          <w:sz w:val="20"/>
          <w:szCs w:val="20"/>
          <w:color w:val="auto"/>
        </w:rPr>
      </w:pPr>
    </w:p>
    <w:p>
      <w:pPr>
        <w:ind w:right="120" w:firstLine="243"/>
        <w:spacing w:after="0" w:line="282" w:lineRule="auto"/>
        <w:rPr>
          <w:sz w:val="20"/>
          <w:szCs w:val="20"/>
          <w:color w:val="auto"/>
        </w:rPr>
      </w:pPr>
      <w:r>
        <w:rPr>
          <w:rFonts w:ascii="Times New Roman" w:cs="Times New Roman" w:eastAsia="Times New Roman" w:hAnsi="Times New Roman"/>
          <w:sz w:val="18"/>
          <w:szCs w:val="18"/>
          <w:color w:val="auto"/>
        </w:rPr>
        <w:t>In accordance with the new revenue standard requirements, the disclosure of the impact of adoption on our Consolidated Balance Sheet and Consolidated Statement of Operations was as follows (in millions):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8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70"/>
        </w:trPr>
        <w:tc>
          <w:tcPr>
            <w:tcW w:w="5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r>
      <w:tr>
        <w:trPr>
          <w:trHeight w:val="207"/>
        </w:trPr>
        <w:tc>
          <w:tcPr>
            <w:tcW w:w="5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Balances Without</w:t>
            </w: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Effect of Change</w:t>
            </w:r>
          </w:p>
        </w:tc>
      </w:tr>
      <w:tr>
        <w:trPr>
          <w:trHeight w:val="212"/>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4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Adoption of ASC 606</w:t>
            </w:r>
          </w:p>
        </w:tc>
        <w:tc>
          <w:tcPr>
            <w:tcW w:w="240" w:type="dxa"/>
            <w:vAlign w:val="bottom"/>
          </w:tcPr>
          <w:p>
            <w:pPr>
              <w:spacing w:after="0"/>
              <w:rPr>
                <w:sz w:val="18"/>
                <w:szCs w:val="18"/>
                <w:color w:val="auto"/>
              </w:rPr>
            </w:pPr>
          </w:p>
        </w:tc>
        <w:tc>
          <w:tcPr>
            <w:tcW w:w="16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Higher/(Lower)</w:t>
            </w:r>
          </w:p>
        </w:tc>
      </w:tr>
      <w:tr>
        <w:trPr>
          <w:trHeight w:val="33"/>
        </w:trPr>
        <w:tc>
          <w:tcPr>
            <w:tcW w:w="5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and notes receivable, net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w:t>
            </w: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 EQUITY</w:t>
            </w: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1,855.0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bl>
    <w:p>
      <w:pPr>
        <w:spacing w:after="0" w:line="168"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5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020" w:type="dxa"/>
            <w:vAlign w:val="bottom"/>
            <w:tcBorders>
              <w:bottom w:val="single" w:sz="8" w:color="CCEEFF"/>
            </w:tcBorders>
            <w:gridSpan w:val="6"/>
            <w:shd w:val="clear" w:color="auto" w:fill="CCEEFF"/>
          </w:tcPr>
          <w:p>
            <w:pPr>
              <w:jc w:val="center"/>
              <w:ind w:left="1179"/>
              <w:spacing w:after="0"/>
              <w:rPr>
                <w:sz w:val="20"/>
                <w:szCs w:val="20"/>
                <w:color w:val="auto"/>
              </w:rPr>
            </w:pPr>
            <w:r>
              <w:rPr>
                <w:rFonts w:ascii="Times New Roman" w:cs="Times New Roman" w:eastAsia="Times New Roman" w:hAnsi="Times New Roman"/>
                <w:sz w:val="16"/>
                <w:szCs w:val="16"/>
                <w:b w:val="1"/>
                <w:bCs w:val="1"/>
                <w:color w:val="auto"/>
              </w:rPr>
              <w:t>For the Year Ended December 31, 2018</w:t>
            </w:r>
          </w:p>
        </w:tc>
        <w:tc>
          <w:tcPr>
            <w:tcW w:w="1540" w:type="dxa"/>
            <w:vAlign w:val="bottom"/>
            <w:tcBorders>
              <w:bottom w:val="single" w:sz="8" w:color="CCEEFF"/>
            </w:tcBorders>
            <w:shd w:val="clear" w:color="auto" w:fill="CCEEFF"/>
          </w:tcPr>
          <w:p>
            <w:pPr>
              <w:spacing w:after="0"/>
              <w:rPr>
                <w:sz w:val="23"/>
                <w:szCs w:val="23"/>
                <w:color w:val="auto"/>
              </w:rPr>
            </w:pPr>
          </w:p>
        </w:tc>
      </w:tr>
      <w:tr>
        <w:trPr>
          <w:trHeight w:val="207"/>
        </w:trPr>
        <w:tc>
          <w:tcPr>
            <w:tcW w:w="5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Activity Without</w:t>
            </w:r>
          </w:p>
        </w:tc>
        <w:tc>
          <w:tcPr>
            <w:tcW w:w="3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Effect of Change</w:t>
            </w:r>
          </w:p>
        </w:tc>
      </w:tr>
      <w:tr>
        <w:trPr>
          <w:trHeight w:val="212"/>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6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Adoption of ASC 606</w:t>
            </w:r>
          </w:p>
        </w:tc>
        <w:tc>
          <w:tcPr>
            <w:tcW w:w="340" w:type="dxa"/>
            <w:vAlign w:val="bottom"/>
          </w:tcPr>
          <w:p>
            <w:pPr>
              <w:spacing w:after="0"/>
              <w:rPr>
                <w:sz w:val="18"/>
                <w:szCs w:val="18"/>
                <w:color w:val="auto"/>
              </w:rPr>
            </w:pPr>
          </w:p>
        </w:tc>
        <w:tc>
          <w:tcPr>
            <w:tcW w:w="15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Higher/(Lower)</w:t>
            </w:r>
          </w:p>
        </w:tc>
      </w:tr>
      <w:tr>
        <w:trPr>
          <w:trHeight w:val="33"/>
        </w:trPr>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3,884.1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359.1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5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which provides information as to the major sources of revenue. See Note 20 for additional description of our reportable business segments and the products and services being sold in each segment.</w:t>
      </w:r>
    </w:p>
    <w:p>
      <w:pPr>
        <w:spacing w:after="0" w:line="315"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48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Year Ended December 31, 2018</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7"/>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8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2,066.7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3,275.9</w:t>
            </w: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254.8</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353.2</w:t>
            </w:r>
          </w:p>
        </w:tc>
      </w:tr>
      <w:tr>
        <w:trPr>
          <w:trHeight w:val="24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2,225.0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1,043.5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615.4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3,883.9</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our businesses that provide services, revenue is recognized at the time services are completed. Our Commercial Heating &amp; Cooling segment also provides sales, installation, maintenance and repair services under fixed-price contracts. Revenue for services is recognized as the services are performed under the contract based on the relative fair value of the services provided. We allocate a portion of the revenue for extended labor warranty obligations and recognize the revenue over the term of the extended warranty. See Note 11 for more information on product warranties.</w:t>
      </w:r>
    </w:p>
    <w:p>
      <w:pPr>
        <w:spacing w:after="0" w:line="17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Residential Heating &amp; Cooling </w:t>
      </w:r>
      <w:r>
        <w:rPr>
          <w:rFonts w:ascii="Times New Roman" w:cs="Times New Roman" w:eastAsia="Times New Roman" w:hAnsi="Times New Roman"/>
          <w:sz w:val="18"/>
          <w:szCs w:val="18"/>
          <w:color w:val="auto"/>
        </w:rPr>
        <w:t>- We manufacture and market a broad range of furnaces, air conditioners, heat pumps, packaged heating and cooling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PartsPlus stores or to independent distributors. For the segment, for the year ended December 31, 2018, direct sales represent approximately $1,698.7 million of revenues and sales to independent distributors represent approximately $526.3 million of revenues. Given the nature of our business, customer product orders are fulfilled at a point in time and not over a period of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734" w:right="239" w:bottom="1440" w:gutter="0" w:footer="0" w:header="0"/>
        </w:sectPr>
      </w:pPr>
    </w:p>
    <w:bookmarkStart w:id="47" w:name="page48"/>
    <w:bookmarkEnd w:id="47"/>
    <w:p>
      <w:pPr>
        <w:jc w:val="both"/>
        <w:ind w:firstLine="24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Commercial Heating &amp; Cooling </w:t>
      </w:r>
      <w:r>
        <w:rPr>
          <w:rFonts w:ascii="Times New Roman" w:cs="Times New Roman" w:eastAsia="Times New Roman" w:hAnsi="Times New Roman"/>
          <w:sz w:val="18"/>
          <w:szCs w:val="18"/>
          <w:color w:val="auto"/>
        </w:rPr>
        <w:t>- In North America, we manufacture and sell unitary heating and cooling equipment used in light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 provides installation, service and preventive maintenance for commercial HVAC national account customers in the United States and Canada. Revenue related to service contracts is recognized as the services are performed under the contract based on the relative fair value of the services provided. In Europe, we manufacture and sell unitary products and applied systems. For the segment, for the year ended December 31, 2018, equipment sales represent approximately $917.1 million of revenues while $126.4 million of our revenue is generated from our service business.</w:t>
      </w:r>
    </w:p>
    <w:p>
      <w:pPr>
        <w:spacing w:after="0" w:line="185"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Refrigeration </w:t>
      </w:r>
      <w:r>
        <w:rPr>
          <w:rFonts w:ascii="Times New Roman" w:cs="Times New Roman" w:eastAsia="Times New Roman" w:hAnsi="Times New Roman"/>
          <w:sz w:val="18"/>
          <w:szCs w:val="18"/>
          <w:color w:val="auto"/>
        </w:rPr>
        <w:t>- We manufacture and market equipment for the global commercial refrigeration markets under the Heatcraft Worldwide Refrigeration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Our products are used in the food retail, food service, cold storage as well as non-food refrigeration markets. We sell these products to distributors, installing contractors, engineering design firms, original equipment manufacturers and end-users. Revenue for the products sold is $605.2 million for the year ended December 31, 2018 and is recognized at a point in time when control transfers to the customer, which is generally at time of shipment. The remaining segment revenue relates to service revenues related to start-up and commissioning activities.</w:t>
      </w:r>
    </w:p>
    <w:p>
      <w:pPr>
        <w:spacing w:after="0" w:line="180" w:lineRule="exact"/>
        <w:rPr>
          <w:sz w:val="20"/>
          <w:szCs w:val="20"/>
          <w:color w:val="auto"/>
        </w:rPr>
      </w:pPr>
    </w:p>
    <w:p>
      <w:pPr>
        <w:jc w:val="both"/>
        <w:ind w:firstLine="24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Variable Consideration </w:t>
      </w:r>
      <w:r>
        <w:rPr>
          <w:rFonts w:ascii="Times New Roman" w:cs="Times New Roman" w:eastAsia="Times New Roman" w:hAnsi="Times New Roman"/>
          <w:sz w:val="18"/>
          <w:szCs w:val="18"/>
          <w:color w:val="auto"/>
        </w:rPr>
        <w:t>- We engage in cooperative advertising, customer rebate, and other miscellaneous programs that result in payments or credits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SG&amp;A expenses. All other advertising, promotions and marketing costs are expensed as incurred.</w:t>
      </w:r>
    </w:p>
    <w:p>
      <w:pPr>
        <w:spacing w:after="0" w:line="17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Other Judgments and Assumptions </w:t>
      </w:r>
      <w:r>
        <w:rPr>
          <w:rFonts w:ascii="Times New Roman" w:cs="Times New Roman" w:eastAsia="Times New Roman" w:hAnsi="Times New Roman"/>
          <w:sz w:val="18"/>
          <w:szCs w:val="18"/>
          <w:color w:val="auto"/>
        </w:rPr>
        <w:t>- We apply the practical expedient in ASC 606-10-50-14 and do not disclose information about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182" w:lineRule="exact"/>
        <w:rPr>
          <w:sz w:val="20"/>
          <w:szCs w:val="20"/>
          <w:color w:val="auto"/>
        </w:rPr>
      </w:pPr>
    </w:p>
    <w:p>
      <w:pPr>
        <w:jc w:val="both"/>
        <w:ind w:firstLine="24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 Assets </w:t>
      </w:r>
      <w:r>
        <w:rPr>
          <w:rFonts w:ascii="Times New Roman" w:cs="Times New Roman" w:eastAsia="Times New Roman" w:hAnsi="Times New Roman"/>
          <w:sz w:val="18"/>
          <w:szCs w:val="18"/>
          <w:color w:val="auto"/>
        </w:rPr>
        <w:t>- We do not have material amounts of contract assets since revenue is recognized as control of goods is transferred or as services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in our Consolidated Balance Sheet.</w:t>
      </w:r>
    </w:p>
    <w:p>
      <w:pPr>
        <w:spacing w:after="0" w:line="177" w:lineRule="exact"/>
        <w:rPr>
          <w:sz w:val="20"/>
          <w:szCs w:val="20"/>
          <w:color w:val="auto"/>
        </w:rPr>
      </w:pPr>
    </w:p>
    <w:p>
      <w:pPr>
        <w:jc w:val="both"/>
        <w:ind w:firstLine="24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Our contract liabilities are reported in a net position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Accounts payable in our Consolidated Balance Sheet. The noncurrent portion of deferred revenue is included in Other liabilities in our Consolidated Balance Sheet.</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contract assets (liabilities) consisted of the following:</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5"/>
        </w:trPr>
        <w:tc>
          <w:tcPr>
            <w:tcW w:w="5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7"/>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33"/>
        </w:trPr>
        <w:tc>
          <w:tcPr>
            <w:tcW w:w="5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37"/>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 noncurrent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33"/>
        </w:trPr>
        <w:tc>
          <w:tcPr>
            <w:tcW w:w="5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we recognized revenue of $4.8 million related to our contract liabilities at January 1, 2018. Impairment losses recognized in our receivables and contract assets were de minimis in fiscal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76"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inventories are as follows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320" w:type="dxa"/>
            <w:vAlign w:val="bottom"/>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520" w:type="dxa"/>
            <w:vAlign w:val="bottom"/>
          </w:tcPr>
          <w:p>
            <w:pPr>
              <w:spacing w:after="0"/>
              <w:rPr>
                <w:sz w:val="20"/>
                <w:szCs w:val="20"/>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330.5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331.9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 and parts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229.1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199.2</w:t>
            </w: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569.6</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536.6</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of current cost over last-in, first-out cost</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inventories, net</w:t>
            </w:r>
          </w:p>
        </w:tc>
        <w:tc>
          <w:tcPr>
            <w:tcW w:w="8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509.8</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484.2</w:t>
            </w:r>
          </w:p>
        </w:tc>
      </w:tr>
      <w:tr>
        <w:trPr>
          <w:trHeight w:val="27"/>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no pre-tax loss in 2018 or in 2017 and pre-tax loss of $0.2 million in 2016 from LIFO inventory liquidations. Reserve balances, primarily related to obsolete and slow-moving inventories, were $16.5 million and $20.1 million at December 31, 2018 and December 31, 2017,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changes in the carrying amount of goodwill in 2018 and 2017, in total and by segment, are summarized in the table below (in millions):</w:t>
      </w:r>
    </w:p>
    <w:p>
      <w:pPr>
        <w:spacing w:after="0" w:line="15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Changes in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Changes in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1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Write-off due</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2"/>
                <w:szCs w:val="12"/>
                <w:color w:val="auto"/>
              </w:rPr>
            </w:pPr>
          </w:p>
        </w:tc>
        <w:tc>
          <w:tcPr>
            <w:tcW w:w="88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1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1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 divested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businesses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49"/>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1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500" w:right="20" w:hanging="168"/>
        <w:spacing w:after="0" w:line="218" w:lineRule="auto"/>
        <w:tabs>
          <w:tab w:leader="none" w:pos="536"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goodwill balances in the table above are presented net of accumulated impairment charges of $21.2 million, all of which relate to impairments in periods prior to 2016.</w:t>
      </w:r>
    </w:p>
    <w:p>
      <w:pPr>
        <w:spacing w:after="0" w:line="19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reviewed our reporting unit structure as part of our annual goodwill impairment testing. We identified several components one level below our operating segments which were determined to be reporting units. We then performed our analysis to determine the proper aggregation of our reporting units, which considered similar economic and other characteristics, including product types, gross profits, production processes, customer types, distribution processes, and regulatory environments. Our analysis incorporated qualitative and quantitative measures to evaluate economic similarity and concluded that our reporting units continue to be equivalent to our operating segments except for our North America supermarket display cases and systems business which is a separate reporting unit within the Refrigeration segment.</w:t>
      </w:r>
    </w:p>
    <w:p>
      <w:pPr>
        <w:spacing w:after="0" w:line="18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 qualitative review of impairment indicators was performed in 2018 for the Residential Heating &amp; Cooling, the Commercial Heating &amp; Cooling, and the Refrigeration segments and we determined that it was not more likely than not that the fair values of our reporting units, individually or collectively, were less than their carrying values. Accordingly, a quantitative impairment analysis was not performed for these segments. In the current year, we wrote off $11.5 million of goodwill as a part of the completed sales of our Australia, Asia and South America businesses (discussed further in Note 17 of the Notes to the Consolidated Financial Statements). We did not record any goodwill impairments related to continuing operations in 2017 and 2016.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76"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Components of Property, plant and equipment, net were as follows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33"/>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234.4</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838.6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804.4</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 and equipment not yet in service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r>
      <w:tr>
        <w:trPr>
          <w:trHeight w:val="237"/>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1,186.8</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1,172.0</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r>
      <w:tr>
        <w:trPr>
          <w:trHeight w:val="257"/>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408.3</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397.8</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243"/>
        <w:spacing w:after="0" w:line="266" w:lineRule="auto"/>
        <w:rPr>
          <w:sz w:val="20"/>
          <w:szCs w:val="20"/>
          <w:color w:val="auto"/>
        </w:rPr>
      </w:pPr>
      <w:r>
        <w:rPr>
          <w:rFonts w:ascii="Times New Roman" w:cs="Times New Roman" w:eastAsia="Times New Roman" w:hAnsi="Times New Roman"/>
          <w:sz w:val="18"/>
          <w:szCs w:val="18"/>
          <w:color w:val="auto"/>
        </w:rPr>
        <w:t>We wrote off $4 million of property, plant and equipment related at our Marshalltown facility that was damaged by the tornado in 2018. Refer to Note 11 in the Notes to the Consolidated Financial Statements for more information on the damage to our Marshalltown facility. No impairment charges were recorded in 2017 or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Joint Ventures and Other Equity Investments:</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We participate in two joint ventures, the largest located in the U.S. and the other in Mexico, that are engaged in the manufacture and sale of compressors, unit coolers and condensing units. We exert significant influence over these affiliates based upon our respective 25% and 50% ownerships, but do not control them due to venture partner participation. Accordingly, these joint ventures have been accounted for under the equity method and their financial position and results of operations are not consolidated.</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combined balance of equity method investments included in Other assets, net totaled (in millions):</w:t>
      </w:r>
    </w:p>
    <w:p>
      <w:pPr>
        <w:spacing w:after="0" w:line="200" w:lineRule="exact"/>
        <w:rPr>
          <w:sz w:val="20"/>
          <w:szCs w:val="20"/>
          <w:color w:val="auto"/>
        </w:rPr>
      </w:pPr>
    </w:p>
    <w:p>
      <w:pPr>
        <w:spacing w:after="0" w:line="203"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38735</wp:posOffset>
            </wp:positionV>
            <wp:extent cx="1809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ind w:left="9100"/>
        <w:spacing w:after="0"/>
        <w:tabs>
          <w:tab w:leader="none" w:pos="10560" w:val="left"/>
        </w:tabs>
        <w:rPr>
          <w:sz w:val="20"/>
          <w:szCs w:val="20"/>
          <w:color w:val="auto"/>
        </w:rPr>
      </w:pPr>
      <w:r>
        <w:rPr>
          <w:rFonts w:ascii="Times New Roman" w:cs="Times New Roman" w:eastAsia="Times New Roman" w:hAnsi="Times New Roman"/>
          <w:sz w:val="16"/>
          <w:szCs w:val="16"/>
          <w:b w:val="1"/>
          <w:bCs w:val="1"/>
          <w:color w:val="auto"/>
        </w:rPr>
        <w:t>2018</w:t>
      </w:r>
      <w:r>
        <w:rPr>
          <w:sz w:val="20"/>
          <w:szCs w:val="20"/>
          <w:color w:val="auto"/>
        </w:rPr>
        <w:tab/>
      </w:r>
      <w:r>
        <w:rPr>
          <w:rFonts w:ascii="Times New Roman" w:cs="Times New Roman" w:eastAsia="Times New Roman" w:hAnsi="Times New Roman"/>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4" w:lineRule="exact"/>
        <w:rPr>
          <w:sz w:val="20"/>
          <w:szCs w:val="20"/>
          <w:color w:val="auto"/>
        </w:rPr>
      </w:pPr>
    </w:p>
    <w:p>
      <w:pPr>
        <w:ind w:left="40"/>
        <w:spacing w:after="0"/>
        <w:tabs>
          <w:tab w:leader="none" w:pos="8580" w:val="left"/>
          <w:tab w:leader="none" w:pos="9500" w:val="left"/>
          <w:tab w:leader="none" w:pos="10060" w:val="left"/>
          <w:tab w:leader="none" w:pos="10980" w:val="left"/>
        </w:tabs>
        <w:rPr>
          <w:sz w:val="20"/>
          <w:szCs w:val="20"/>
          <w:color w:val="auto"/>
        </w:rPr>
      </w:pPr>
      <w:r>
        <w:rPr>
          <w:rFonts w:ascii="Times New Roman" w:cs="Times New Roman" w:eastAsia="Times New Roman" w:hAnsi="Times New Roman"/>
          <w:sz w:val="18"/>
          <w:szCs w:val="18"/>
          <w:color w:val="auto"/>
        </w:rPr>
        <w:t>Equity method investments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36.6</w:t>
        <w:tab/>
        <w:t>$</w:t>
      </w:r>
      <w:r>
        <w:rPr>
          <w:sz w:val="20"/>
          <w:szCs w:val="20"/>
          <w:color w:val="auto"/>
        </w:rPr>
        <w:tab/>
      </w:r>
      <w:r>
        <w:rPr>
          <w:rFonts w:ascii="Times New Roman" w:cs="Times New Roman" w:eastAsia="Times New Roman" w:hAnsi="Times New Roman"/>
          <w:sz w:val="18"/>
          <w:szCs w:val="18"/>
          <w:color w:val="auto"/>
        </w:rPr>
        <w:t>33.3</w:t>
      </w: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purchase compressors from our U.S. joint venture for use in certain of our products. The amounts of purchases included in Cost of goods sold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were as follows (in millions):</w:t>
      </w:r>
    </w:p>
    <w:p>
      <w:pPr>
        <w:spacing w:after="0" w:line="38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38735</wp:posOffset>
            </wp:positionV>
            <wp:extent cx="25298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0" w:lineRule="exact"/>
        <w:rPr>
          <w:sz w:val="20"/>
          <w:szCs w:val="20"/>
          <w:color w:val="auto"/>
        </w:rPr>
      </w:pPr>
    </w:p>
    <w:p>
      <w:pPr>
        <w:ind w:left="7900"/>
        <w:spacing w:after="0"/>
        <w:tabs>
          <w:tab w:leader="none" w:pos="9240" w:val="left"/>
          <w:tab w:leader="none" w:pos="10620" w:val="left"/>
        </w:tabs>
        <w:rPr>
          <w:sz w:val="20"/>
          <w:szCs w:val="20"/>
          <w:color w:val="auto"/>
        </w:rPr>
      </w:pPr>
      <w:r>
        <w:rPr>
          <w:rFonts w:ascii="Times New Roman" w:cs="Times New Roman" w:eastAsia="Times New Roman" w:hAnsi="Times New Roman"/>
          <w:sz w:val="16"/>
          <w:szCs w:val="16"/>
          <w:b w:val="1"/>
          <w:bCs w:val="1"/>
          <w:color w:val="auto"/>
        </w:rPr>
        <w:t>2018</w:t>
      </w:r>
      <w:r>
        <w:rPr>
          <w:sz w:val="20"/>
          <w:szCs w:val="20"/>
          <w:color w:val="auto"/>
        </w:rPr>
        <w:tab/>
      </w:r>
      <w:r>
        <w:rPr>
          <w:rFonts w:ascii="Times New Roman" w:cs="Times New Roman" w:eastAsia="Times New Roman" w:hAnsi="Times New Roman"/>
          <w:sz w:val="16"/>
          <w:szCs w:val="16"/>
          <w:b w:val="1"/>
          <w:bCs w:val="1"/>
          <w:color w:val="auto"/>
        </w:rPr>
        <w:t>2017</w:t>
      </w:r>
      <w:r>
        <w:rPr>
          <w:sz w:val="20"/>
          <w:szCs w:val="20"/>
          <w:color w:val="auto"/>
        </w:rPr>
        <w:tab/>
      </w:r>
      <w:r>
        <w:rPr>
          <w:rFonts w:ascii="Times New Roman" w:cs="Times New Roman" w:eastAsia="Times New Roman" w:hAnsi="Times New Roman"/>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4" w:lineRule="exact"/>
        <w:rPr>
          <w:sz w:val="20"/>
          <w:szCs w:val="20"/>
          <w:color w:val="auto"/>
        </w:rPr>
      </w:pPr>
    </w:p>
    <w:p>
      <w:pPr>
        <w:ind w:left="220"/>
        <w:spacing w:after="0"/>
        <w:tabs>
          <w:tab w:leader="none" w:pos="7440" w:val="left"/>
          <w:tab w:leader="none" w:pos="8160" w:val="left"/>
          <w:tab w:leader="none" w:pos="8800" w:val="left"/>
          <w:tab w:leader="none" w:pos="9520" w:val="left"/>
          <w:tab w:leader="none" w:pos="10180" w:val="left"/>
          <w:tab w:leader="none" w:pos="10980" w:val="left"/>
        </w:tabs>
        <w:rPr>
          <w:sz w:val="20"/>
          <w:szCs w:val="20"/>
          <w:color w:val="auto"/>
        </w:rPr>
      </w:pPr>
      <w:r>
        <w:rPr>
          <w:rFonts w:ascii="Times New Roman" w:cs="Times New Roman" w:eastAsia="Times New Roman" w:hAnsi="Times New Roman"/>
          <w:sz w:val="18"/>
          <w:szCs w:val="18"/>
          <w:color w:val="auto"/>
        </w:rPr>
        <w:t>Purchases of compressors from joint venture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103.1</w:t>
        <w:tab/>
        <w:t>$</w:t>
      </w:r>
      <w:r>
        <w:rPr>
          <w:sz w:val="20"/>
          <w:szCs w:val="20"/>
          <w:color w:val="auto"/>
        </w:rPr>
        <w:tab/>
      </w:r>
      <w:r>
        <w:rPr>
          <w:rFonts w:ascii="Times New Roman" w:cs="Times New Roman" w:eastAsia="Times New Roman" w:hAnsi="Times New Roman"/>
          <w:sz w:val="18"/>
          <w:szCs w:val="18"/>
          <w:color w:val="auto"/>
        </w:rPr>
        <w:t>106.4</w:t>
        <w:tab/>
        <w:t>$</w:t>
      </w:r>
      <w:r>
        <w:rPr>
          <w:sz w:val="20"/>
          <w:szCs w:val="20"/>
          <w:color w:val="auto"/>
        </w:rPr>
        <w:tab/>
      </w:r>
      <w:r>
        <w:rPr>
          <w:rFonts w:ascii="Times New Roman" w:cs="Times New Roman" w:eastAsia="Times New Roman" w:hAnsi="Times New Roman"/>
          <w:sz w:val="18"/>
          <w:szCs w:val="18"/>
          <w:color w:val="auto"/>
        </w:rPr>
        <w:t>97.7</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576"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significant components of Accrued expenses are presented below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2540" w:type="dxa"/>
            <w:vAlign w:val="bottom"/>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4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540" w:type="dxa"/>
            <w:vAlign w:val="bottom"/>
          </w:tcPr>
          <w:p>
            <w:pPr>
              <w:spacing w:after="0"/>
              <w:rPr>
                <w:sz w:val="20"/>
                <w:szCs w:val="20"/>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rebates and promotions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warranties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sales, use, property and VAT taxes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contracts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asbestos reserves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Self insurance reserves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r>
      <w:tr>
        <w:trPr>
          <w:trHeight w:val="25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Accrued expenses</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270.3</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27"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with lower percentages hedged at future dates. This strategy allows for protection against near-term price volatility while allowing us to adjust to market price movements over time.</w:t>
      </w:r>
    </w:p>
    <w:p>
      <w:pPr>
        <w:spacing w:after="0" w:line="180"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A portion of our debt bears interest at variable interest rates, and as a result, we are subject to variability in the cash paid for interest.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174"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7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In August 2017, the FASB issued ASU 2017-12, Derivatives and Hedging (Topic 815), </w:t>
      </w:r>
      <w:r>
        <w:rPr>
          <w:rFonts w:ascii="Times New Roman" w:cs="Times New Roman" w:eastAsia="Times New Roman" w:hAnsi="Times New Roman"/>
          <w:sz w:val="18"/>
          <w:szCs w:val="18"/>
          <w:i w:val="1"/>
          <w:iCs w:val="1"/>
          <w:color w:val="auto"/>
        </w:rPr>
        <w:t>Targeted Improvements to Accounting for Hedging Activities.</w:t>
      </w:r>
      <w:r>
        <w:rPr>
          <w:rFonts w:ascii="Times New Roman" w:cs="Times New Roman" w:eastAsia="Times New Roman" w:hAnsi="Times New Roman"/>
          <w:sz w:val="18"/>
          <w:szCs w:val="18"/>
          <w:color w:val="auto"/>
        </w:rPr>
        <w:t xml:space="preserve"> ASU 2017-12 intends to simplify the application of hedge accounting guidance and better align an entity’s risk management activities and financial reporting for hedging relationships through changes to both the designation and measurement guidance for qualifying hedging relationships and the presentation of hedge results. The amendments expand and refine hedge accounting for both nonfinancial and financial risk components and align the recognition and presentation of the effects of the hedging instrument and the hedged item in the financial statements. We early adopted ASU No. 2017-12 during the first quarter of 2018. The adoption of ASU No. 2017-12 did not have a material impact on our consolidated results of operations, cash flows, and statement of financial position. With the early adoption of ASU No. 2017-12 we began entering into commodity futures contracts designated as cash flow hedges related to aluminum purchases.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have commodity futures contracts and foreign exchange forward contracts designated as cash flows hedges that are scheduled to mature through May 2020 and January 2020, respectively. Unrealized gains or losses from our cash flow hedges are included in AOCL and are expected to be reclassified into earnings within the next 18 months based on the prices of the commodities and foreign currencies at the settlement dates.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576" w:right="239" w:bottom="1440" w:gutter="0" w:footer="0" w:header="0"/>
        </w:sectPr>
      </w:pPr>
    </w:p>
    <w:bookmarkStart w:id="51" w:name="page52"/>
    <w:bookmarkEnd w:id="51"/>
    <w:p>
      <w:pPr>
        <w:ind w:left="252"/>
        <w:spacing w:after="0"/>
        <w:rPr>
          <w:sz w:val="20"/>
          <w:szCs w:val="20"/>
          <w:color w:val="auto"/>
        </w:rPr>
      </w:pPr>
      <w:r>
        <w:rPr>
          <w:rFonts w:ascii="Times New Roman" w:cs="Times New Roman" w:eastAsia="Times New Roman" w:hAnsi="Times New Roman"/>
          <w:sz w:val="18"/>
          <w:szCs w:val="18"/>
          <w:color w:val="auto"/>
        </w:rPr>
        <w:t>We recorded the following amounts related to our cash flow hedges in AOCL (in millions):</w:t>
      </w:r>
    </w:p>
    <w:p>
      <w:pPr>
        <w:spacing w:after="0" w:line="187" w:lineRule="exact"/>
        <w:rPr>
          <w:sz w:val="20"/>
          <w:szCs w:val="20"/>
          <w:color w:val="auto"/>
        </w:rPr>
      </w:pPr>
    </w:p>
    <w:tbl>
      <w:tblPr>
        <w:tblLayout w:type="fixed"/>
        <w:tblInd w:w="692"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240" w:type="dxa"/>
            <w:vAlign w:val="bottom"/>
            <w:gridSpan w:val="4"/>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80" w:type="dxa"/>
            <w:vAlign w:val="bottom"/>
          </w:tcPr>
          <w:p>
            <w:pPr>
              <w:spacing w:after="0"/>
              <w:rPr>
                <w:sz w:val="18"/>
                <w:szCs w:val="18"/>
                <w:color w:val="auto"/>
              </w:rPr>
            </w:pPr>
          </w:p>
        </w:tc>
      </w:tr>
      <w:tr>
        <w:trPr>
          <w:trHeight w:val="33"/>
        </w:trPr>
        <w:tc>
          <w:tcPr>
            <w:tcW w:w="7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480" w:type="dxa"/>
            <w:vAlign w:val="bottom"/>
          </w:tcPr>
          <w:p>
            <w:pPr>
              <w:spacing w:after="0"/>
              <w:rPr>
                <w:sz w:val="20"/>
                <w:szCs w:val="20"/>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(gains) on unsettled contracts</w:t>
            </w:r>
          </w:p>
        </w:tc>
        <w:tc>
          <w:tcPr>
            <w:tcW w:w="860" w:type="dxa"/>
            <w:vAlign w:val="bottom"/>
            <w:tcBorders>
              <w:bottom w:val="single" w:sz="8" w:color="CCEEFF"/>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73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 (Gains) included in AOCL, net of tax (1)</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7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ind w:left="812" w:hanging="245"/>
        <w:spacing w:after="0" w:line="229" w:lineRule="auto"/>
        <w:tabs>
          <w:tab w:leader="none" w:pos="761" w:val="left"/>
        </w:tabs>
        <w:numPr>
          <w:ilvl w:val="1"/>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Assuming commodity and foreign currency prices remain constant, we expect to reclassify $6.2 million of derivative losses into earnings within the next 12 months.</w:t>
      </w:r>
    </w:p>
    <w:p>
      <w:pPr>
        <w:spacing w:after="0" w:line="200" w:lineRule="exact"/>
        <w:rPr>
          <w:rFonts w:ascii="Times New Roman" w:cs="Times New Roman" w:eastAsia="Times New Roman" w:hAnsi="Times New Roman"/>
          <w:sz w:val="24"/>
          <w:szCs w:val="24"/>
          <w:color w:val="auto"/>
          <w:vertAlign w:val="superscript"/>
        </w:rPr>
      </w:pPr>
    </w:p>
    <w:p>
      <w:pPr>
        <w:spacing w:after="0" w:line="210" w:lineRule="exact"/>
        <w:rPr>
          <w:rFonts w:ascii="Times New Roman" w:cs="Times New Roman" w:eastAsia="Times New Roman" w:hAnsi="Times New Roman"/>
          <w:sz w:val="24"/>
          <w:szCs w:val="24"/>
          <w:color w:val="auto"/>
          <w:vertAlign w:val="superscript"/>
        </w:rPr>
      </w:pPr>
    </w:p>
    <w:p>
      <w:pPr>
        <w:ind w:left="272" w:hanging="272"/>
        <w:spacing w:after="0"/>
        <w:tabs>
          <w:tab w:leader="none" w:pos="27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252"/>
        <w:spacing w:after="0"/>
        <w:rPr>
          <w:sz w:val="20"/>
          <w:szCs w:val="20"/>
          <w:color w:val="auto"/>
        </w:rPr>
      </w:pPr>
      <w:r>
        <w:rPr>
          <w:rFonts w:ascii="Times New Roman" w:cs="Times New Roman" w:eastAsia="Times New Roman" w:hAnsi="Times New Roman"/>
          <w:sz w:val="18"/>
          <w:szCs w:val="18"/>
          <w:color w:val="auto"/>
        </w:rPr>
        <w:t>Our Provision for income taxes from continuing operations consisted of the following (in millions):</w:t>
      </w:r>
    </w:p>
    <w:p>
      <w:pPr>
        <w:spacing w:after="0" w:line="187" w:lineRule="exact"/>
        <w:rPr>
          <w:sz w:val="20"/>
          <w:szCs w:val="20"/>
          <w:color w:val="auto"/>
        </w:rPr>
      </w:pPr>
    </w:p>
    <w:tbl>
      <w:tblPr>
        <w:tblLayout w:type="fixed"/>
        <w:tblInd w:w="252"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gridSpan w:val="7"/>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3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w:t>
            </w:r>
          </w:p>
        </w:tc>
        <w:tc>
          <w:tcPr>
            <w:tcW w:w="24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deferred</w:t>
            </w:r>
          </w:p>
        </w:tc>
        <w:tc>
          <w:tcPr>
            <w:tcW w:w="2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4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0"/>
        </w:trPr>
        <w:tc>
          <w:tcPr>
            <w:tcW w:w="6600" w:type="dxa"/>
            <w:vAlign w:val="bottom"/>
            <w:gridSpan w:val="3"/>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 was comprised of the following (in millions):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gridSpan w:val="7"/>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7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12"/>
          </w:cols>
          <w:pgMar w:left="248" w:top="580" w:right="239" w:bottom="1440" w:gutter="0" w:footer="0" w:header="0"/>
        </w:sectPr>
      </w:pPr>
    </w:p>
    <w:bookmarkStart w:id="52" w:name="page53"/>
    <w:bookmarkEnd w:id="52"/>
    <w:p>
      <w:pPr>
        <w:ind w:left="260"/>
        <w:spacing w:after="0"/>
        <w:rPr>
          <w:sz w:val="20"/>
          <w:szCs w:val="20"/>
          <w:color w:val="auto"/>
        </w:rPr>
      </w:pPr>
      <w:r>
        <w:rPr>
          <w:rFonts w:ascii="Times New Roman" w:cs="Times New Roman" w:eastAsia="Times New Roman" w:hAnsi="Times New Roman"/>
          <w:sz w:val="18"/>
          <w:szCs w:val="18"/>
          <w:color w:val="auto"/>
        </w:rPr>
        <w:t>The difference between the income tax provision from continuing operations computed at the statutory federal income tax rate and the financial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is summarized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38735</wp:posOffset>
            </wp:positionV>
            <wp:extent cx="25298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at the U.S. statutory rate of 21% (35% for 2017,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141.0</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(reduction) in tax expense resulting from:</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income tax, net of federal income tax benefit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Domestic manufacturing deduction</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credits, net of unrecognized tax benefits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taxes at rates other than U.S. statutory rate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Deemed inclusions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rates from the Tax Act &amp; other law changes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Miscellaneous other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124.1</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SEC staff issued Staff Accounting Bulletin No. 118 (“SAB 118”), which provided guidance on the provisional accounting for the tax effects of the Tax Act in fiscal 2017. Our accounting for the following elements of the Tax Act was completed in fiscal 2018.</w:t>
      </w:r>
    </w:p>
    <w:p>
      <w:pPr>
        <w:spacing w:after="0" w:line="162" w:lineRule="exact"/>
        <w:rPr>
          <w:sz w:val="20"/>
          <w:szCs w:val="20"/>
          <w:color w:val="auto"/>
        </w:rPr>
      </w:pPr>
    </w:p>
    <w:p>
      <w:pPr>
        <w:jc w:val="both"/>
        <w:ind w:left="660" w:hanging="328"/>
        <w:spacing w:after="0" w:line="25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Act reduced the corporate tax rate to 21 percent, effective January 1, 2018. For our net federal deferred tax assets (“DTA”), we recorded a provisional decrease of $32.1 million, with a corresponding net adjustment to deferred income tax expense of $32.1 million for the year ended December 31, 2017. This adjustment was based on a reasonable estimate of the impact of the reduction in the corporate tax rate on our DTA’s as of December 22, 2017. Due to the Tax Act, several applications for changes in accounting method were filed with the IRS to accelerate deductions into the 2017 U.S. federal income tax return. Primarily on the basis of finalized calculations for accounting method changes that were completed during the reporting period, we recognized a deferred income tax benefit of $4.5 million for the year ended December 31, 2018.</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Deemed Repatriation Transition Tax (Transition Tax) is a tax on previously untaxed accumulated and current earnings and profits “(E&amp;P)” of certain of our foreign subsidiaries. To assess the amount of the Transition Tax, we must determine, in addition to other factors, the amount of post-1986 E&amp;P of the relevant subsidiaries, as well as the amount of non-U.S. income taxes paid on such earnings. We were able to make a reasonable estimate of the Transition Tax and determined that we would not have a Transition Tax obligation for the year ended December 31, 2017. However, on the basis of revised E&amp;P computations that were completed during the reporting period, we recognized an additional measurement-period adjustment of $2.8 million of Transition Tax obligation for federal and state taxes. The Transition Tax has now been determined to be complete.</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2017, we were able to reasonably assess whether our valuation allowance analyses were affected by various aspects of the Tax Act (e.g., deemed repatriation of deferred foreign income, global intangible low-taxed income (“GILTI”) inclusions, new categories of foreign tax credits (“FTCs”), and share-based compensation) and recorded provisional amounts related to certain portions of the Tax Act. Due to the limitation on the utilization of future foreign tax credits, we recorded a provisional valuation allowance against our FTC carryforwards of $4.3 million. On the basis of finalized calculations that were completed during the reporting period and 2018 divestiture activity, it is now expected that the foreign tax credits will be realized and no valuation allowance is needed. For the year ended December 31, 2018, the FTC carryforward valuation allowance is zero.</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intent to fully expense all qualifying depreciable asset expenditures allowed under the Tax Act, we recorded a provisional benefit of $4.1 million for the year ended December 31, 2017. This resulted in a decrease of approximately $1.4 million to our current income tax payable and a corresponding increase in our deferred tax liabilities (“DTLs”) of approximately $0.9 million (after considering the effects of the reduction in income tax rates). On the basis of finalized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80" w:right="239" w:bottom="1440" w:gutter="0" w:footer="0" w:header="0"/>
        </w:sectPr>
      </w:pPr>
    </w:p>
    <w:bookmarkStart w:id="53" w:name="page54"/>
    <w:bookmarkEnd w:id="53"/>
    <w:p>
      <w:pPr>
        <w:ind w:left="660"/>
        <w:spacing w:after="0" w:line="329" w:lineRule="auto"/>
        <w:rPr>
          <w:sz w:val="20"/>
          <w:szCs w:val="20"/>
          <w:color w:val="auto"/>
        </w:rPr>
      </w:pPr>
      <w:r>
        <w:rPr>
          <w:rFonts w:ascii="Times New Roman" w:cs="Times New Roman" w:eastAsia="Times New Roman" w:hAnsi="Times New Roman"/>
          <w:sz w:val="18"/>
          <w:szCs w:val="18"/>
          <w:color w:val="auto"/>
        </w:rPr>
        <w:t>computations that were completed during the reporting period, we recognized an additional measurement-period adjustment of $0.1 million decrease in our DTL.</w:t>
      </w:r>
    </w:p>
    <w:p>
      <w:pPr>
        <w:spacing w:after="0" w:line="135"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The Tax Act makes broad and complex changes to the U.S. tax code, including, but not limited to, the new global intangible low-taxed income (“GILTI”) tax rules. Under U.S. GAAP, we are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For the year ended December 31, 2017, we were not able to reasonably estimate the effect of the new GILTI tax rules on future U.S. inclusions in taxable income as the expected future impact of this provision of the Tax Act depends on our current structure and business. Therefore, we did not make any adjustments related to potential GILTI tax in our financial statements and did not make a policy decision regarding whether to record deferred taxes on GILTI. Based, in part, on the analysis completed during the recording period of our global income and whether we expect to have future U.S. inclusions in taxable income related to GILTI, we have chosen to treat taxes due on future U.S. inclusions in taxable income related to GILTI as a current period expense when incurred (the “period cost method”).</w:t>
      </w:r>
    </w:p>
    <w:p>
      <w:pPr>
        <w:spacing w:after="0" w:line="189"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2017, the effect of the tax rate change for items originally recognized in other comprehensive income was properly recorded in tax expense from continuing operations. This resulted in stranded tax effects in accumulated other comprehensive income at December 31, 2017. On February 14, 2018, the FASB issued ASU No. 2018-02, Income Statement - Reporting Comprehensive Income (Topic 220): Reclassification of Certain Tax Effects from Accumulated Other Comprehensive Income, which permits companies to reclassify stranded tax effects caused by 2017 tax reform between accumulated other comprehensive loss (“AOCL”) and retained earnings. We elected to adopt ASU 2018-02 to reclassify the income tax effects of the 2017 Act from AOCL to retained earnings for the period ending March 31, 2018. Accordingly, we recorded a $22.7 million increase to opening retained earnings in the period ending March 31, 2018 to reclassify the effect of the change in the U.S. federal corporate income tax rate, including the reduction in the federal benefit associated with state taxes, on the gross deferred tax amounts and related valuation allowances at the date of enactment of the Tax Cuts and Jobs Act related to items remaining in AOCL.</w:t>
      </w:r>
    </w:p>
    <w:p>
      <w:pPr>
        <w:spacing w:after="0" w:line="187"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 xml:space="preserve">On October 24, 2016, the FASB issued ASU No. 2016-16, </w:t>
      </w:r>
      <w:r>
        <w:rPr>
          <w:rFonts w:ascii="Times New Roman" w:cs="Times New Roman" w:eastAsia="Times New Roman" w:hAnsi="Times New Roman"/>
          <w:sz w:val="18"/>
          <w:szCs w:val="18"/>
          <w:i w:val="1"/>
          <w:iCs w:val="1"/>
          <w:color w:val="auto"/>
        </w:rPr>
        <w:t>Accounting for Income Taxes: Intra-Entity Asset Transfers of Assets Other than Inventory</w:t>
      </w:r>
      <w:r>
        <w:rPr>
          <w:rFonts w:ascii="Times New Roman" w:cs="Times New Roman" w:eastAsia="Times New Roman" w:hAnsi="Times New Roman"/>
          <w:sz w:val="18"/>
          <w:szCs w:val="18"/>
          <w:color w:val="auto"/>
        </w:rPr>
        <w:t>, which requires companies to recognize the income tax effects of intercompany sales and transfers of assets other than inventory in the period in which the transfer occurs. Prior to ASU 2016-16, companies were required to defer the income tax effects of intercompany transfers of assets until the asset had been sold to an outside party or otherwise recognized. The new guidance is effective for public business entities for annual periods beginning after December 15, 2017 and interim periods within those annual periods. The guidance requires companies to apply a modified retrospective approach with a cumulative catch-up adjustment to opening retained earnings in the period of adoption. Accordingly, we recorded a $5.1 million decrease to opening retained earnings in the period ending March 31, 2018.</w:t>
      </w:r>
    </w:p>
    <w:p>
      <w:pPr>
        <w:spacing w:after="0" w:line="185"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tax consequences on future years of temporary differences between the tax basis of assets and liabilities and their financial reporting basis and depending on the classification of the asset or liability generating the deferred tax. The deferred tax provision for the periods shown represents the effect of changes in the amounts of temporary differences during those periods.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607" w:right="239" w:bottom="1440" w:gutter="0" w:footer="0" w:header="0"/>
        </w:sectPr>
      </w:pPr>
    </w:p>
    <w:bookmarkStart w:id="54" w:name="page55"/>
    <w:bookmarkEnd w:id="54"/>
    <w:p>
      <w:pPr>
        <w:ind w:left="260"/>
        <w:spacing w:after="0"/>
        <w:rPr>
          <w:sz w:val="20"/>
          <w:szCs w:val="20"/>
          <w:color w:val="auto"/>
        </w:rPr>
      </w:pPr>
      <w:r>
        <w:rPr>
          <w:rFonts w:ascii="Times New Roman" w:cs="Times New Roman" w:eastAsia="Times New Roman" w:hAnsi="Times New Roman"/>
          <w:sz w:val="18"/>
          <w:szCs w:val="18"/>
          <w:color w:val="auto"/>
        </w:rPr>
        <w:t>Deferred tax assets (liabilities) were comprised of the following (in millions):</w:t>
      </w:r>
    </w:p>
    <w:p>
      <w:pPr>
        <w:spacing w:after="0" w:line="200" w:lineRule="exact"/>
        <w:rPr>
          <w:sz w:val="20"/>
          <w:szCs w:val="20"/>
          <w:color w:val="auto"/>
        </w:rPr>
      </w:pPr>
    </w:p>
    <w:p>
      <w:pPr>
        <w:spacing w:after="0" w:line="203" w:lineRule="exact"/>
        <w:rPr>
          <w:sz w:val="20"/>
          <w:szCs w:val="20"/>
          <w:color w:val="auto"/>
        </w:rPr>
      </w:pPr>
    </w:p>
    <w:tbl>
      <w:tblPr>
        <w:tblLayout w:type="fixed"/>
        <w:tblInd w:w="1200"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33"/>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6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carryforwards (foreign, U.S. and state)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and pension benefits</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reserves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allowance</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liabilities</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reserves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 net of federal effect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r>
      <w:tr>
        <w:trPr>
          <w:trHeight w:val="237"/>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135.9</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7"/>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6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5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94.4</w:t>
            </w: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of December 31, 2018 and 2017, we had $0.6 million and $0.8 million in tax-effected state net operating loss carryforwards, respectively, and $12.6 million and $19.8 million in tax-effected foreign net operating loss carryforwards, respectively. The state and foreign net operating loss carryforwards began expiring in 2014. The deferred tax asset valuation allowance relates primarily to the operating loss carryforwards in European tax jurisdictions. In addition, we have $9.0 million of valuation allowance related to federal capital loss carryforwards that will expire in 2023. The remainder of the valuation allowance relates to state tax credits.</w:t>
      </w:r>
    </w:p>
    <w:p>
      <w:pPr>
        <w:spacing w:after="0" w:line="18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assessing whether a deferred tax asset will be realized, we consider whether it is more likely than not that some portion or all of the deferred tax asset will not be realized. We consider the reversal of existing taxable temporary differences, projected future taxable income and tax planning strategies in making this assessment. Based upon the level of historical taxable income and projections for future taxable income over the periods in which the deferred tax assets are deductible, we believe it is more likely than not we will realize the benefits of these deductible differences, net of the existing valuation allowances, as of December 31, 2018.</w:t>
      </w:r>
    </w:p>
    <w:p>
      <w:pPr>
        <w:spacing w:after="0" w:line="18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No provision was made for income taxes which may become payable upon distribution of our foreign subsidiaries’ earnings. These earnings were approximately $27.1 million as of December 31, 2018. An actual repatriation in the future from our non-U.S. subsidiaries could still be subject to foreign withholding taxes and U.S. state taxes.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under examination for our U.S. federal income taxes for 2018 and 2017 and are subject to examination by numerous other taxing authorities in the U.S. and foreign jurisdictions. We are generally no longer subject to U.S., state and local or non-U.S. income tax examinations by taxing authorities for years before 2011.</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lease certain real and personal property under non-cancelable operating leases. Some of our lease agreements contain rent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80" w:right="239" w:bottom="1440" w:gutter="0" w:footer="0" w:header="0"/>
        </w:sectPr>
      </w:pPr>
    </w:p>
    <w:bookmarkStart w:id="55" w:name="page56"/>
    <w:bookmarkEnd w:id="5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escalation clauses (including index-based escalations), rent holidays, capital improvement funding or other lease concessions. We recognize our minimum rental expense on a straight-line basis. We amortize this expense over the term of the lease beginning with the date of initial possession, which is the date we enter the leased space and begin to make improvements in preparation for its intended use.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Future annual minimum lease payments and capital lease commitments as of December 31, 2018 were as follows (in millions):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20" w:type="dxa"/>
            <w:vAlign w:val="bottom"/>
          </w:tcPr>
          <w:p>
            <w:pPr>
              <w:spacing w:after="0"/>
              <w:rPr>
                <w:sz w:val="18"/>
                <w:szCs w:val="18"/>
                <w:color w:val="auto"/>
              </w:rPr>
            </w:pPr>
          </w:p>
        </w:tc>
        <w:tc>
          <w:tcPr>
            <w:tcW w:w="13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Capital Leases</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159.7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line="20" w:lineRule="exact"/>
              <w:rPr>
                <w:sz w:val="1"/>
                <w:szCs w:val="1"/>
                <w:color w:val="auto"/>
              </w:rPr>
            </w:pPr>
          </w:p>
        </w:tc>
      </w:tr>
      <w:tr>
        <w:trPr>
          <w:trHeight w:val="230"/>
        </w:trPr>
        <w:tc>
          <w:tcPr>
            <w:tcW w:w="80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minimum payments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On March 22, 2013, we entered into an agreement with a financial institution to renew the lease of our corporate headquarters in Richardson, Texas for a term of approximately six years through March 1, 2019 (the “Lake Park Renewal”). The leased property consists of an office building of approximately 192,000 square feet, land and related improvements. During the lease term, the Lake Park Renewal requires us to pay base rent in quarterly installments, payable in arrears. At the end of the lease term, we must do one of the following: (i) purchase the property for $41.2 million; (ii) vacate the property and return it in good condition; (iii) arrange for the sale of the leased property to a third party; or (iv) renew the lease under mutually agreeable terms. If we elect to sell the property to a third party and the sales proceeds are less than the lease balance, we must pay any such deficit to the financial institution. Any such deficit payment cannot exceed 86% of the lease balance. The Lake Park Renewal is classified as an operating lease and its future annual minimum lease payments are included in the table above. We are in the process of finalizing the renewal of our lease that expires on March 1, 2019 and expect the terms and conditions to be similar to the existing lease.</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obligations under the Lake Park Renewal are secured by a pledge of our interest in the leased property. The Lake Park Renewal contains customary lease covenants and events of default as well as events of default if (i) indebtedness of $75 million or more is not paid when due, (ii) there is a change of control or (iii) we fail to comply with certain covenants incorporated from our existing credit facility agreement. We believe we were in compliance with these financial covenants as of December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Environmental laws and regulations in the locations we operate can potentially impose obligations to remediate hazardous substances at our properties, properties formerly owned or operated by us, and facilities to which we have sent or send waste for treatment or disposal. We are aware of contamination at some facilities; however, we do not believe that any future remediation related to those facilities will be material to our results of operations. Total environmental accruals are included Accrued expenses and Other liabilities on the accompanying Consolidated Balance Sheets.</w:t>
      </w:r>
    </w:p>
    <w:p>
      <w:pPr>
        <w:spacing w:after="0" w:line="180"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Future environmental costs are estimates and may be subject to change due to changes in environmental remediation regulations, technology or site-specific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incur the risk of liability for claims related to the installation and service of heating and air conditioning products, and we maintain liabilities for those claims that we self-insure. We are involved in various claims and lawsuits related to our products. Our product liability insurance policies have limits that, if exceeded, may result in substantial costs that could have an adverse effect on our results of operations. In addition, warranty claims and certain product liability claims are not covered by our product liability insurance.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80" w:right="239" w:bottom="1440" w:gutter="0" w:footer="0" w:header="0"/>
        </w:sectPr>
      </w:pPr>
    </w:p>
    <w:bookmarkStart w:id="56" w:name="page57"/>
    <w:bookmarkEnd w:id="56"/>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Total product warranty liabilities related to continuing operations are included in the following captions on the accompanying Consolidated Balance Sheets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00" w:type="dxa"/>
            <w:vAlign w:val="bottom"/>
          </w:tcPr>
          <w:p>
            <w:pPr>
              <w:spacing w:after="0"/>
              <w:rPr>
                <w:sz w:val="18"/>
                <w:szCs w:val="18"/>
                <w:color w:val="auto"/>
              </w:rPr>
            </w:pPr>
          </w:p>
        </w:tc>
      </w:tr>
      <w:tr>
        <w:trPr>
          <w:trHeight w:val="33"/>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w w:val="93"/>
              </w:rPr>
              <w:t>2017</w:t>
            </w:r>
          </w:p>
        </w:tc>
      </w:tr>
      <w:tr>
        <w:trPr>
          <w:trHeight w:val="33"/>
        </w:trPr>
        <w:tc>
          <w:tcPr>
            <w:tcW w:w="8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37.9</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75.1</w:t>
            </w:r>
          </w:p>
        </w:tc>
      </w:tr>
      <w:tr>
        <w:trPr>
          <w:trHeight w:val="27"/>
        </w:trPr>
        <w:tc>
          <w:tcPr>
            <w:tcW w:w="8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product warranty liabilities</w:t>
            </w: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111.6</w:t>
            </w: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changes in product warranty liabilities related to continuing operations for the years ended December 31, 2018 and 2017 were as follows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warranty liability as of December 31, 2016</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101.1</w:t>
            </w:r>
          </w:p>
        </w:tc>
      </w:tr>
      <w:tr>
        <w:trPr>
          <w:trHeight w:val="243"/>
        </w:trPr>
        <w:tc>
          <w:tcPr>
            <w:tcW w:w="9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made in 2017</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r>
      <w:tr>
        <w:trPr>
          <w:trHeight w:val="243"/>
        </w:trPr>
        <w:tc>
          <w:tcPr>
            <w:tcW w:w="9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2017</w:t>
            </w:r>
          </w:p>
        </w:tc>
        <w:tc>
          <w:tcPr>
            <w:tcW w:w="7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109.9</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Payments made in 2018</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43"/>
        </w:trPr>
        <w:tc>
          <w:tcPr>
            <w:tcW w:w="9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9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Warranty liability from divestitures</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2018</w:t>
            </w:r>
          </w:p>
        </w:tc>
        <w:tc>
          <w:tcPr>
            <w:tcW w:w="7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111.6</w:t>
            </w:r>
          </w:p>
        </w:tc>
      </w:tr>
      <w:tr>
        <w:trPr>
          <w:trHeight w:val="27"/>
        </w:trPr>
        <w:tc>
          <w:tcPr>
            <w:tcW w:w="96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and will likely continue to incur, product costs not covered by insurance or our suppliers’ warranties, which are not included in the table above. Also, to satisfy our customers and protect our brands, we have repaired or replaced installed products experiencing quality-related issues, and will likely continue such repairs and replacements.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29"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We use a combination of third-party insurance and self-insurance plans to provide protection against claims relating to workers’ compensation/employers’ liability, general liability, product liability, auto liability, auto physical damage and other exposures. We use large deductible insurance plans, written through third-party insurance providers, for workers’ compensation/employers’ liability, general liability, product liability and auto liability. We also carry umbrella or excess liability insurance for all third-party and self-insurance plans, except for directors’ and officers’ liability, property damage and certain other insurance programs. For directors’ and officers’ liability, property damage and certain other exposures, we use third-party insurance plans that may include per occurrence and annual aggregate limits. We believe the deductibles and liability limits for all of our insurance policies are appropriate for our business and are adequate for companies of our size in our industry.</w:t>
      </w:r>
    </w:p>
    <w:p>
      <w:pPr>
        <w:spacing w:after="0" w:line="18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We maintain safety and manufacturing programs that are designed to remove risk, improve the effectiveness of our business processes and reduce the likelihood and significance of our various retained and insured risks. In recent years, our actual claims experience has collectively trended favorably and, as a result, both self-insurance expense and the related liability have decreased.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self-insurance liabilities were included in the following captions on the accompanying Consolidated Balance Sheets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tcPr>
          <w:p>
            <w:pPr>
              <w:spacing w:after="0"/>
              <w:rPr>
                <w:sz w:val="20"/>
                <w:szCs w:val="20"/>
                <w:color w:val="auto"/>
              </w:rPr>
            </w:pPr>
          </w:p>
        </w:tc>
        <w:tc>
          <w:tcPr>
            <w:tcW w:w="5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2018</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w w:val="93"/>
              </w:rPr>
              <w:t>2017</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514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4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self-insurance liabilities</w:t>
            </w:r>
          </w:p>
        </w:tc>
        <w:tc>
          <w:tcPr>
            <w:tcW w:w="51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2352"/>
              <w:spacing w:after="0"/>
              <w:rPr>
                <w:sz w:val="20"/>
                <w:szCs w:val="20"/>
                <w:color w:val="auto"/>
              </w:rPr>
            </w:pPr>
            <w:r>
              <w:rPr>
                <w:rFonts w:ascii="Times New Roman" w:cs="Times New Roman" w:eastAsia="Times New Roman" w:hAnsi="Times New Roman"/>
                <w:sz w:val="18"/>
                <w:szCs w:val="18"/>
                <w:color w:val="auto"/>
              </w:rPr>
              <w:t>54</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17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vary depending on several factors, and are subject to policy limits, so we may have greater financial exposure for future settlements and judgments. We currently estimate our probable liability for known cases is $9.7 million and it is recorded in Accrued expenses in the Consolidated Balance Sheet. We currently estimate future asbestos-related litigation cases to be between $19.3 million and $34.6 million before consideration of probable insurance recoveries with all amounts in that range equally likely. We have accrued $19.3 million in Other liabilities in the Consolidated Balance Sheet at December 31, 2018. For the years ended December 31, 2018, 2017 and 2016, we recorded expense of $4.0 million, $3.5 million and $6.3 million, respectively, net of probable insurance recoveries, for known and future asbestos-related litigation and is recorded in Losses (gains) and other expenses, net in the Consolidated Statements of Operations.</w:t>
      </w:r>
    </w:p>
    <w:p>
      <w:pPr>
        <w:spacing w:after="0" w:line="19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October 2016, we self-reported to the Securities and Exchange Commission (“SEC”) and the Department of Justice (“DOJ”) an alleged payment in the amount of 30,000 rubles (approximately US $475) to a Russian customs broker or official. Under the oversight of our Audit Committee, we initiated an investigation into this matter with the assistance of external legal counsel and external forensic accountants.The scope of the investigation was later expanded to include our operations in Poland and Ukraine. The investigation raised questions regarding possible irregularities with respect to non-compliance with customs documents and procedures related to these operations. We concluded our investigation and communicated our findings to the SEC and the DOJ. The DOJ has declined to prosecute this matter and we continue to fully cooperate with the SEC regarding this matter.</w:t>
      </w:r>
    </w:p>
    <w:p>
      <w:pPr>
        <w:spacing w:after="0" w:line="18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individually or in the aggregate, on our financial condition, results of operations or cash flows. Claims and lawsuits, however, involve uncertainties and it is possible that their eventual outcome could adversely affect our results of operations in a future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576"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Marshalltown Tornado and Recovery</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July 19, 2018 our manufacturing facility in Marshalltown, Iowa was severely damaged by a tornado. Insurance covers the repair or replacement of our assets that suffered damage or loss, and we are working closely with our insurance carriers and claims adjusters to ascertain the full amount of insurance recoveries due to us as a result of the damage and loss we incurred. Our insurance policies also provide business interruption coverage, including lost profits, and reimbursement for other expenses and costs that have been incurred relating to the damages and losses suffered. These costs and insurance recoveries are shown in Gain from insurance recoveries, net of losses incurred and Insurance proceeds for lost profits in the Consolidated Statements of Operations.</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gain from insurance recoveries, net of losses incurred: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65"/>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(Amounts in millions)</w:t>
            </w:r>
          </w:p>
        </w:tc>
        <w:tc>
          <w:tcPr>
            <w:tcW w:w="3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37"/>
        </w:trPr>
        <w:tc>
          <w:tcPr>
            <w:tcW w:w="5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Insurance recoveries received</w:t>
            </w:r>
          </w:p>
        </w:tc>
        <w:tc>
          <w:tcPr>
            <w:tcW w:w="34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124.3</w:t>
            </w:r>
          </w:p>
        </w:tc>
      </w:tr>
      <w:tr>
        <w:trPr>
          <w:trHeight w:val="27"/>
        </w:trPr>
        <w:tc>
          <w:tcPr>
            <w:tcW w:w="51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losses and expenses incurred:</w:t>
            </w:r>
          </w:p>
        </w:tc>
        <w:tc>
          <w:tcPr>
            <w:tcW w:w="3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Site clean-up and remediation</w:t>
            </w:r>
          </w:p>
        </w:tc>
        <w:tc>
          <w:tcPr>
            <w:tcW w:w="3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w:t>
            </w:r>
          </w:p>
        </w:tc>
      </w:tr>
      <w:tr>
        <w:trPr>
          <w:trHeight w:val="27"/>
        </w:trPr>
        <w:tc>
          <w:tcPr>
            <w:tcW w:w="5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Factory inefficiencies due to lower productivity</w:t>
            </w:r>
          </w:p>
        </w:tc>
        <w:tc>
          <w:tcPr>
            <w:tcW w:w="3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5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Write-off of property, plant and equipment</w:t>
            </w:r>
          </w:p>
        </w:tc>
        <w:tc>
          <w:tcPr>
            <w:tcW w:w="3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5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Write-off of inventory</w:t>
            </w:r>
          </w:p>
        </w:tc>
        <w:tc>
          <w:tcPr>
            <w:tcW w:w="3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5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51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4"/>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3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86.0</w:t>
            </w:r>
          </w:p>
        </w:tc>
      </w:tr>
      <w:tr>
        <w:trPr>
          <w:trHeight w:val="297"/>
        </w:trPr>
        <w:tc>
          <w:tcPr>
            <w:tcW w:w="5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Gain from insurance recoveries</w:t>
            </w:r>
          </w:p>
        </w:tc>
        <w:tc>
          <w:tcPr>
            <w:tcW w:w="34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38.3</w:t>
            </w:r>
          </w:p>
        </w:tc>
      </w:tr>
      <w:tr>
        <w:trPr>
          <w:trHeight w:val="237"/>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Presentation in the Consolidated Statements of Operations:</w:t>
            </w:r>
          </w:p>
        </w:tc>
        <w:tc>
          <w:tcPr>
            <w:tcW w:w="34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43"/>
        </w:trPr>
        <w:tc>
          <w:tcPr>
            <w:tcW w:w="5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from insurance recoveries, net of losses incurred</w:t>
            </w:r>
          </w:p>
        </w:tc>
        <w:tc>
          <w:tcPr>
            <w:tcW w:w="3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5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Insurance proceeds for lost profits</w:t>
            </w:r>
          </w:p>
        </w:tc>
        <w:tc>
          <w:tcPr>
            <w:tcW w:w="36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r>
      <w:tr>
        <w:trPr>
          <w:trHeight w:val="675"/>
        </w:trPr>
        <w:tc>
          <w:tcPr>
            <w:tcW w:w="5100" w:type="dxa"/>
            <w:vAlign w:val="bottom"/>
          </w:tcPr>
          <w:p>
            <w:pPr>
              <w:spacing w:after="0"/>
              <w:rPr>
                <w:sz w:val="24"/>
                <w:szCs w:val="24"/>
                <w:color w:val="auto"/>
              </w:rPr>
            </w:pPr>
          </w:p>
        </w:tc>
        <w:tc>
          <w:tcPr>
            <w:tcW w:w="342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12. Lines of Credit and Financing Arrangements: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tables summarize our outstanding debt obligations and the classification in the accompanying Consolidated Balance Sheets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7"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38735</wp:posOffset>
            </wp:positionV>
            <wp:extent cx="18097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obligations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short-term debt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Securitization Program</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Securitization Program</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unsecured notes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740.5</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970.5</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100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As of December 31, 2018, the aggregate amounts of required principal payments on total debt were as follows (in millions):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35"/>
        </w:trPr>
        <w:tc>
          <w:tcPr>
            <w:tcW w:w="8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349.3</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Obligations</w:t>
      </w:r>
    </w:p>
    <w:p>
      <w:pPr>
        <w:spacing w:after="0" w:line="22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Through several of our foreign subsidiaries, we have facilities available to assist in financing seasonal borrowing needs for our foreign locations. We had $0.0 million and $0.9 million of foreign obligations as of December 31, 2018 and 2017, respectively, that were primarily borrowings under non-committed facilities. Proceeds from these facilities were $40.3 million, $30.4 million and $28.4 million during the years ended December 31, 2018, 2017 and 2016, respectively. Repayments on the facilities were $41.2 million, $31.9 million and $30.8 million during the years ended December 31, 2018, 2017 and 2016, respectively.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576"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Asset Securitization Program</w:t>
      </w:r>
    </w:p>
    <w:p>
      <w:pPr>
        <w:spacing w:after="0" w:line="22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 The ASP will expire in November 2019 and we intend to renew the ASP prior to the expiration.</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ASP provides for a maximum securitization amount ranging from $225.0 million to $380.0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96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w w:val="93"/>
              </w:rPr>
              <w:t>2017</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Eligible amount available under the ASP on qualified accounts receivable</w:t>
            </w:r>
          </w:p>
        </w:tc>
        <w:tc>
          <w:tcPr>
            <w:tcW w:w="98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290.0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Beneficial interest transferred</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Remaining amount available</w:t>
            </w:r>
          </w:p>
        </w:tc>
        <w:tc>
          <w:tcPr>
            <w:tcW w:w="98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pay certain discount fees to use the ASP and to have the facility available to us. These fees relate to both the used and unused portions of the securitization. The used fee is based on the beneficial interest sold and calculated on either the average LIBOR rate or floating commercial paper rate determined by the purchaser of the beneficial interest, plus a program fee of 0.70%. The average rates as of December 31, 2018 and 2017 were 3.27% and 2.60%, respectively. The unused fee is based on 101% of the maximum available amount less the beneficial interest transferred and is calculated at a 0.35% fixed rate throughout the term of the agreement. We recorded these fees in Interest expense, net in the accompanying Consolidated Statements of Operations.</w:t>
      </w:r>
    </w:p>
    <w:p>
      <w:pPr>
        <w:spacing w:after="0" w:line="18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ASP contains certain restrictive covenants relating to the quality of our accounts receivable and cross-default provisions with our Sixth Amended and Restated Credit Facility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As of December 31, 2018, we believe we were in compliance with all covenant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Credit Facility</w:t>
      </w:r>
    </w:p>
    <w:p>
      <w:pPr>
        <w:spacing w:after="0" w:line="22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On August 30, 2016, we replaced an earlier credit facility with the Domestic Credit Facility, which consists of a $650.0 million unsecured revolving credit facility and a $250.0 million unsecured term loan and matures in August 2021 (the “Maturity Date”). Under our Domestic Credit Facility, we had outstanding borrowings of $408.0 million, of which $190.0 million was the term loan balance, as well as $2.5 million committed to standby letters of credit as of December 31, 2018. Subject to covenant limitations, $429.5 million was available for future borrowings at that date. The unsecured term loan also matures on the Maturity Date and requires quarterly principal repayments of $7.5 million beginning in March 2017. The revolving credit facility includes uncommitted subfacilities for swingline loans of up to $65.0 million and letters of credit up to $100.0 million. Additionally, at our request and subject to certain conditions, the commitments under the Domestic Credit Facility may be increased by a maximum of $350.0 million provided existing or new lenders agree to provide such additional commitments. In January 2019, we increased the maximum revolving credit commitments by $350.0 million as permitted under the Domestic Credit Facility bringing the total maximum revolving credit commitments to $1.0 billion.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578" w:right="239" w:bottom="1440" w:gutter="0" w:footer="0" w:header="0"/>
        </w:sectPr>
      </w:pPr>
    </w:p>
    <w:bookmarkStart w:id="61" w:name="page62"/>
    <w:bookmarkEnd w:id="61"/>
    <w:p>
      <w:pPr>
        <w:ind w:left="340"/>
        <w:spacing w:after="0"/>
        <w:rPr>
          <w:sz w:val="20"/>
          <w:szCs w:val="20"/>
          <w:color w:val="auto"/>
        </w:rPr>
      </w:pPr>
      <w:r>
        <w:rPr>
          <w:rFonts w:ascii="Times New Roman" w:cs="Times New Roman" w:eastAsia="Times New Roman" w:hAnsi="Times New Roman"/>
          <w:sz w:val="18"/>
          <w:szCs w:val="18"/>
          <w:color w:val="auto"/>
        </w:rPr>
        <w:t>Our weighted average borrowing rate on the facility was as follows:</w:t>
      </w:r>
    </w:p>
    <w:p>
      <w:pPr>
        <w:spacing w:after="0" w:line="187"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38735</wp:posOffset>
            </wp:positionV>
            <wp:extent cx="17494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60" w:type="dxa"/>
            <w:vAlign w:val="bottom"/>
          </w:tcPr>
          <w:p>
            <w:pPr>
              <w:spacing w:after="0"/>
              <w:rPr>
                <w:sz w:val="18"/>
                <w:szCs w:val="18"/>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8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7"/>
        </w:trPr>
        <w:tc>
          <w:tcPr>
            <w:tcW w:w="86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Interest Expense Ratio. The required ratios under our Domestic Credit Facility are detailed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Indebtedness to Adjusted EBITDA Ratio no greater than</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1.0</w:t>
            </w: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 to Interest Expense Ratio no less than</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 1.0</w:t>
            </w:r>
          </w:p>
        </w:tc>
      </w:tr>
    </w:tbl>
    <w:p>
      <w:pPr>
        <w:spacing w:after="0" w:line="17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Domestic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68" w:lineRule="exact"/>
        <w:rPr>
          <w:sz w:val="20"/>
          <w:szCs w:val="20"/>
          <w:color w:val="auto"/>
        </w:rPr>
      </w:pPr>
    </w:p>
    <w:p>
      <w:pPr>
        <w:ind w:left="660" w:hanging="24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117"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17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18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 As of December 31, 2018, we believe we were in compliance with all covenant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2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issued $350.0 million of senior unsecured notes in November 2016 (the “Notes”) which will mature on November 15, 2023 with interest being paid on May 15 and November 15 at 3.00% per annum semiannually. The Notes are guaranteed, on a senior unsecured basis, by each of our subsidiaries that guarantee indebtedness under our Domestic Credit Facility.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 million in principal which is then accelerated, and such acceleration is not rescinded within 30 days of the notice date. As of December 31, 2018, we believe we were in compliance with all covenant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Over the past several years, we have frozen many of our defined benefit pension and profit sharing plans and replaced them with defined contribution plans. We have a liability for the benefits earned under these inactive plans prior to the date the benefits were frozen. We also have several active defined benefit plans that provide benefits based on years of service. Our defined contribution plans generally include both company and employee contributions which are based on predetermined percentages of compensation earned by the employee.</w:t>
      </w:r>
    </w:p>
    <w:p>
      <w:pPr>
        <w:spacing w:after="0" w:line="18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addition to freezing the benefits of our defined benefit pension plans, we have also eliminated nearly all of our post-retirement medical benefits. In 2012, we amended the post-retirement benefit plan to shift pre-65 medical coverage for the employees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80" w:right="2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our largest manufacturing plant so that by 2016, retirees would pay 100% of the cost of post-retirement medical coverage. This change resulted in a significant reduction in the projected benefit obligation for post-retirement medical benefits in 2012.</w:t>
      </w:r>
    </w:p>
    <w:p>
      <w:pPr>
        <w:spacing w:after="0" w:line="16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Effective for fiscal year 2016, we adopted the full yield curve approach for estimating the service cost and interest cost components of expense for plans that use a yield curve to determine the discount rate. The new method applies the specific spot rates along the yield curve used in the most recent measurement of the benefit obligation, resulting in a more precise estimate of expense. The impact for fiscal year 2016 was a decrease in expense of approximately $3.2 million.</w:t>
      </w:r>
    </w:p>
    <w:p>
      <w:pPr>
        <w:spacing w:after="0" w:line="18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2016, we offered certain former employees with vested pension benefits a lump sum payout in an effort to reduce our long-term pension obligations. As a result, for 2016, the net periodic benefit cost for our pension plans included a non-cash settlement charge of $31.4 million and the projected benefit obligation decreased by $50.6 million. We did not have similar funding of pension buyout activity in 2018 and 2017.</w:t>
      </w:r>
    </w:p>
    <w:p>
      <w:pPr>
        <w:spacing w:after="0" w:line="17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On March 10, 2017, the FASB issued ASU 2017-07, </w:t>
      </w:r>
      <w:r>
        <w:rPr>
          <w:rFonts w:ascii="Times New Roman" w:cs="Times New Roman" w:eastAsia="Times New Roman" w:hAnsi="Times New Roman"/>
          <w:sz w:val="18"/>
          <w:szCs w:val="18"/>
          <w:i w:val="1"/>
          <w:iCs w:val="1"/>
          <w:color w:val="auto"/>
        </w:rPr>
        <w:t>Improving the Presentation of Net Periodic Pension Cost and Net Periodic Postretirement 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w:t>
      </w:r>
      <w:r>
        <w:rPr>
          <w:rFonts w:ascii="Times New Roman" w:cs="Times New Roman" w:eastAsia="Times New Roman" w:hAnsi="Times New Roman"/>
          <w:sz w:val="18"/>
          <w:szCs w:val="18"/>
          <w:color w:val="auto"/>
        </w:rPr>
        <w:t>. ASU 2017-07 changes the income statement presentation of defined benefit plan expense by requiring separation between operating expense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component) and non-operating expense (all other components, including interest cost, amortization of prior service cost, curtailments and settlements, etc.). The operating expense component is reported with similar compensation costs while the non-operating components are reported in Other expense (income), net in the Statement of Operations. In addition, only the service cost component is eligible for capitalization as part of an asset such as inventory or property, plant and equipment. We elected the practical expedient to use the prior year’s disclosure as a basis for the retroactive adoption of the ASU. The ASU did not have a material impact on our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recorded the following contributions to the defined contribution plans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Contributions to defined contribution plans</w:t>
            </w: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7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580"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Post-retirement Benefit Plans</w:t>
      </w:r>
    </w:p>
    <w:p>
      <w:pPr>
        <w:spacing w:after="0" w:line="229" w:lineRule="exact"/>
        <w:rPr>
          <w:sz w:val="20"/>
          <w:szCs w:val="20"/>
          <w:color w:val="auto"/>
        </w:rPr>
      </w:pPr>
    </w:p>
    <w:p>
      <w:pPr>
        <w:ind w:right="40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tables set forth amounts recognized in our financial statements and the plans’ funded status for our pension and post-retirement benefit plans (dollars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92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w w:val="99"/>
              </w:rPr>
              <w:t>2017</w:t>
            </w:r>
          </w:p>
        </w:tc>
      </w:tr>
      <w:tr>
        <w:trPr>
          <w:trHeight w:val="33"/>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401.5</w:t>
            </w:r>
          </w:p>
        </w:tc>
      </w:tr>
      <w:tr>
        <w:trPr>
          <w:trHeight w:val="297"/>
        </w:trPr>
        <w:tc>
          <w:tcPr>
            <w:tcW w:w="8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Changes in projected benefit obligation: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9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Actuarial (gain) loss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Effect of exchange rates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Benefits paid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940" w:type="dxa"/>
            <w:vAlign w:val="bottom"/>
            <w:tcBorders>
              <w:top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405.5</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Changes in plan assets: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292.5</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Actual (loss) gain return on plan assets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Employer contribution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exchange rates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Plan settlements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Benefits paid</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318.6</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Funded status / net amount recognized</w:t>
            </w:r>
          </w:p>
        </w:tc>
        <w:tc>
          <w:tcPr>
            <w:tcW w:w="94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71"/>
        </w:trPr>
        <w:tc>
          <w:tcPr>
            <w:tcW w:w="8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amount recognized consists of:</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liability</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liability</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amount recognized</w:t>
            </w:r>
          </w:p>
        </w:tc>
        <w:tc>
          <w:tcPr>
            <w:tcW w:w="940" w:type="dxa"/>
            <w:vAlign w:val="bottom"/>
            <w:tcBorders>
              <w:top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69"/>
        </w:trPr>
        <w:tc>
          <w:tcPr>
            <w:tcW w:w="8340" w:type="dxa"/>
            <w:vAlign w:val="bottom"/>
          </w:tcPr>
          <w:p>
            <w:pPr>
              <w:spacing w:after="0"/>
              <w:rPr>
                <w:sz w:val="24"/>
                <w:szCs w:val="24"/>
                <w:color w:val="auto"/>
              </w:rPr>
            </w:pPr>
          </w:p>
        </w:tc>
        <w:tc>
          <w:tcPr>
            <w:tcW w:w="3080" w:type="dxa"/>
            <w:vAlign w:val="bottom"/>
            <w:gridSpan w:val="5"/>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33"/>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w w:val="99"/>
              </w:rPr>
              <w:t>2017</w:t>
            </w:r>
          </w:p>
        </w:tc>
      </w:tr>
      <w:tr>
        <w:trPr>
          <w:trHeight w:val="33"/>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Pension plans with a benefit obligation in excess of plan assets: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9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305.9</w:t>
            </w:r>
          </w:p>
        </w:tc>
      </w:tr>
    </w:tbl>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U.S.-based pension plans comprised approximately 89% of the projected benefit obligation and 88% of plan assets as of December 31,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576" w:right="239" w:bottom="1440" w:gutter="0" w:footer="0" w:header="0"/>
        </w:sectPr>
      </w:pPr>
    </w:p>
    <w:bookmarkStart w:id="64" w:name="page65"/>
    <w:bookmarkEnd w:id="64"/>
    <w:p>
      <w:pPr>
        <w:ind w:left="8520"/>
        <w:spacing w:after="0"/>
        <w:rPr>
          <w:sz w:val="20"/>
          <w:szCs w:val="20"/>
          <w:color w:val="auto"/>
        </w:rPr>
      </w:pPr>
      <w:r>
        <w:rPr>
          <w:rFonts w:ascii="Times New Roman" w:cs="Times New Roman" w:eastAsia="Times New Roman" w:hAnsi="Times New Roman"/>
          <w:sz w:val="16"/>
          <w:szCs w:val="16"/>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38735</wp:posOffset>
            </wp:positionV>
            <wp:extent cx="29673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as of December 31:</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9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96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Settlements and curtailments</w:t>
            </w:r>
            <w:r>
              <w:rPr>
                <w:rFonts w:ascii="Times New Roman" w:cs="Times New Roman" w:eastAsia="Times New Roman" w:hAnsi="Times New Roman"/>
                <w:sz w:val="25"/>
                <w:szCs w:val="25"/>
                <w:color w:val="auto"/>
                <w:vertAlign w:val="superscript"/>
              </w:rPr>
              <w:t>(1)</w:t>
            </w:r>
          </w:p>
        </w:tc>
        <w:tc>
          <w:tcPr>
            <w:tcW w:w="9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w:t>
            </w:r>
          </w:p>
        </w:tc>
      </w:tr>
      <w:tr>
        <w:trPr>
          <w:trHeight w:val="257"/>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37.7</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40" w:hanging="251"/>
        <w:spacing w:after="0" w:line="218" w:lineRule="auto"/>
        <w:tabs>
          <w:tab w:leader="none" w:pos="289"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Consolidated Statements of Operations includes $31.4 million related to pension settlement charges that represent the lump-sum payments made in the fourth quarter of 2016.</w:t>
      </w:r>
    </w:p>
    <w:p>
      <w:pPr>
        <w:spacing w:after="0" w:line="19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recognized in AOCL and Other comprehensive income (loss) in our financial statements for 2018 and 2017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92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w w:val="99"/>
              </w:rPr>
              <w:t>2017</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Amounts recognized in AOCL:</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service costs</w:t>
            </w: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Actuarial loss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(199.4)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Subtotal</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(200.3)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71.2</w:t>
            </w:r>
          </w:p>
        </w:tc>
      </w:tr>
      <w:tr>
        <w:trPr>
          <w:trHeight w:val="297"/>
        </w:trPr>
        <w:tc>
          <w:tcPr>
            <w:tcW w:w="8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amount recognized</w:t>
            </w:r>
          </w:p>
        </w:tc>
        <w:tc>
          <w:tcPr>
            <w:tcW w:w="92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(150.8)</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37"/>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Changes recognized in other comprehensive income (loss):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year prior service costs</w:t>
            </w: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year actuarial (gain) loss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recognized in net periodic benefit cost and other comprehensive income (loss)</w:t>
            </w:r>
          </w:p>
        </w:tc>
        <w:tc>
          <w:tcPr>
            <w:tcW w:w="92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estimated prior service (costs) credits and actuarial losses that will be amortized from AOCL in 2019 are $(0.1) million and $(7.9) million, respectively, for pension benefits.</w:t>
      </w:r>
    </w:p>
    <w:p>
      <w:pPr>
        <w:spacing w:after="0" w:line="16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weighted-average assumptions used to determine Benefit obligations and Net periodic benefit cost for the U.S.-based plans in 2018 and 2017:</w:t>
      </w:r>
    </w:p>
    <w:p>
      <w:pPr>
        <w:spacing w:after="0" w:line="124"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38735</wp:posOffset>
            </wp:positionV>
            <wp:extent cx="20326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8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 obligations as of December 31:</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9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675"/>
        </w:trPr>
        <w:tc>
          <w:tcPr>
            <w:tcW w:w="8220" w:type="dxa"/>
            <w:vAlign w:val="bottom"/>
          </w:tcPr>
          <w:p>
            <w:pPr>
              <w:jc w:val="right"/>
              <w:ind w:right="2332"/>
              <w:spacing w:after="0"/>
              <w:rPr>
                <w:sz w:val="20"/>
                <w:szCs w:val="20"/>
                <w:color w:val="auto"/>
              </w:rPr>
            </w:pPr>
            <w:r>
              <w:rPr>
                <w:rFonts w:ascii="Times New Roman" w:cs="Times New Roman" w:eastAsia="Times New Roman" w:hAnsi="Times New Roman"/>
                <w:sz w:val="18"/>
                <w:szCs w:val="18"/>
                <w:color w:val="auto"/>
              </w:rPr>
              <w:t>62</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758" w:right="239" w:bottom="1440" w:gutter="0" w:footer="0" w:header="0"/>
        </w:sectPr>
      </w:pPr>
    </w:p>
    <w:bookmarkStart w:id="65" w:name="page66"/>
    <w:bookmarkEnd w:id="65"/>
    <w:p>
      <w:pPr>
        <w:ind w:left="8440"/>
        <w:spacing w:after="0"/>
        <w:rPr>
          <w:sz w:val="20"/>
          <w:szCs w:val="20"/>
          <w:color w:val="auto"/>
        </w:rPr>
      </w:pPr>
      <w:r>
        <w:rPr>
          <w:rFonts w:ascii="Times New Roman" w:cs="Times New Roman" w:eastAsia="Times New Roman" w:hAnsi="Times New Roman"/>
          <w:sz w:val="16"/>
          <w:szCs w:val="16"/>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38735</wp:posOffset>
            </wp:positionV>
            <wp:extent cx="30702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gridSpan w:val="2"/>
          </w:tcPr>
          <w:p>
            <w:pPr>
              <w:ind w:left="720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1"/>
        </w:trPr>
        <w:tc>
          <w:tcPr>
            <w:tcW w:w="658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Weighted-average assumptions used to determine net periodic benefit cost for the</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45"/>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Discount rate - 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weighted-average assumptions used to determine Benefit obligations and Net periodic benefit cost for the non-U.S.-based plans in 2018 and 2017: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5"/>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Pension Benefits</w:t>
            </w:r>
          </w:p>
        </w:tc>
      </w:tr>
      <w:tr>
        <w:trPr>
          <w:trHeight w:val="33"/>
        </w:trPr>
        <w:tc>
          <w:tcPr>
            <w:tcW w:w="8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8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 obligations as of December 31:</w:t>
            </w: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2"/>
          </w:tcPr>
          <w:p>
            <w:pPr>
              <w:jc w:val="center"/>
              <w:ind w:left="233"/>
              <w:spacing w:after="0"/>
              <w:rPr>
                <w:sz w:val="20"/>
                <w:szCs w:val="20"/>
                <w:color w:val="auto"/>
              </w:rPr>
            </w:pPr>
            <w:r>
              <w:rPr>
                <w:rFonts w:ascii="Times New Roman" w:cs="Times New Roman" w:eastAsia="Times New Roman" w:hAnsi="Times New Roman"/>
                <w:sz w:val="18"/>
                <w:szCs w:val="18"/>
                <w:color w:val="auto"/>
                <w:w w:val="98"/>
              </w:rPr>
              <w:t>2.93%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8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8"/>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588"/>
        </w:trPr>
        <w:tc>
          <w:tcPr>
            <w:tcW w:w="8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980" w:type="dxa"/>
            <w:vAlign w:val="bottom"/>
          </w:tcPr>
          <w:p>
            <w:pPr>
              <w:spacing w:after="0"/>
              <w:rPr>
                <w:sz w:val="24"/>
                <w:szCs w:val="24"/>
                <w:color w:val="auto"/>
              </w:rPr>
            </w:pPr>
          </w:p>
        </w:tc>
      </w:tr>
      <w:tr>
        <w:trPr>
          <w:trHeight w:val="33"/>
        </w:trPr>
        <w:tc>
          <w:tcPr>
            <w:tcW w:w="824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2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860" w:type="dxa"/>
            <w:vAlign w:val="bottom"/>
            <w:gridSpan w:val="2"/>
          </w:tcPr>
          <w:p>
            <w:pPr>
              <w:jc w:val="center"/>
              <w:ind w:left="253"/>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2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1"/>
        </w:trPr>
        <w:tc>
          <w:tcPr>
            <w:tcW w:w="824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Weighted-average assumptions used to determine net periodic benefit cost for the years ended December</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45"/>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31:</w:t>
            </w: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7"/>
        </w:trPr>
        <w:tc>
          <w:tcPr>
            <w:tcW w:w="8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Discount rate - interest cost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10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7"/>
        </w:trPr>
        <w:tc>
          <w:tcPr>
            <w:tcW w:w="8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7"/>
        </w:trPr>
        <w:tc>
          <w:tcPr>
            <w:tcW w:w="8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To develop the expected long-term rate of return on assets assumption for the U.S. plans, we considered the historical returns for each asset category, as well as the target asset allocation of the pension portfolio and the effect of periodic balancing. These results were adjusted for the payment of reasonable expenses of the plan from plan assets. This resulted in the selection of the 6.50% long-term rate of return on assets assumption. A similar process was followed for the non-U.S.-based plans.</w:t>
      </w:r>
    </w:p>
    <w:p>
      <w:pPr>
        <w:spacing w:after="0" w:line="18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To select a discount rate for the purpose of valuing the plan obligations for the U.S. plans, we performed an analysis in which the projected cash flows from defined benefit and retiree healthcare plans was matched with a yield curve based on the appropriate universe of high-quality corporate bonds that were available. We used the results of the yield curve analysis to select the discount rate for each plan. The analysis was completed separately for each U.S. pension and OPEB plan. A similar process was followed for the non-U.S.-based plans with sufficient corporate bond information. In other countries, the discount rate was selected based on the approximate duration of plan obligations.</w:t>
      </w:r>
    </w:p>
    <w:p>
      <w:pPr>
        <w:spacing w:after="0" w:line="18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Assumed health care cost trend rates have an effect on the amounts reported for our healthcare plan. The following table sets forth the healthcare trend rate assumptions used: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Assumed health care cost trend rates as of December 31: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7"/>
        </w:trPr>
        <w:tc>
          <w:tcPr>
            <w:tcW w:w="57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Rate to which the cost rate is assumed to decline (the ultimate trend rate)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2021</w:t>
            </w:r>
          </w:p>
        </w:tc>
      </w:tr>
      <w:tr>
        <w:trPr>
          <w:trHeight w:val="459"/>
        </w:trPr>
        <w:tc>
          <w:tcPr>
            <w:tcW w:w="58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Expected future benefit payments are shown in the table below (in millions):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2"/>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60" w:type="dxa"/>
            <w:vAlign w:val="bottom"/>
            <w:gridSpan w:val="10"/>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2024-2028</w:t>
            </w: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benefits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147.1</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5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758" w:right="2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Pension Plan Assets</w:t>
      </w:r>
    </w:p>
    <w:p>
      <w:pPr>
        <w:spacing w:after="0" w:line="227"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believe asset returns can be optimized at an acceptable level of risk by adequately diversifying the plan assets between equity and fixed income. In the second quarter of 2018, we changed the targeted allocations for our plan assets. The targeted allocation for fixed income and cash investments was changed to 60%, and the targeted allocation for equity investments was changed to 40%. Our targeted exposure to International equity including emerging markets was changed to 15.0% of total assets and our exposure to domestic equity was changed to 25.0%. Our U.S. pension plan represents 87%, our Canadian pension plan 6%, and our United Kingdom (“U.K.”) pension plan 7% of the total fair value of our plan assets as of December 31, 2018.</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U.S. pension plans’ weighted-average asset allocations as of December 31, 2018 and 2017, by asset category,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3200" w:type="dxa"/>
            <w:vAlign w:val="bottom"/>
            <w:gridSpan w:val="3"/>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Plan Assets as of December 31,</w:t>
            </w:r>
          </w:p>
        </w:tc>
        <w:tc>
          <w:tcPr>
            <w:tcW w:w="0" w:type="dxa"/>
            <w:vAlign w:val="bottom"/>
          </w:tcPr>
          <w:p>
            <w:pPr>
              <w:spacing w:after="0"/>
              <w:rPr>
                <w:sz w:val="1"/>
                <w:szCs w:val="1"/>
                <w:color w:val="auto"/>
              </w:rPr>
            </w:pPr>
          </w:p>
        </w:tc>
      </w:tr>
      <w:tr>
        <w:trPr>
          <w:trHeight w:val="33"/>
        </w:trPr>
        <w:tc>
          <w:tcPr>
            <w:tcW w:w="8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20" w:type="dxa"/>
            <w:vAlign w:val="bottom"/>
            <w:vMerge w:val="continue"/>
          </w:tcPr>
          <w:p>
            <w:pPr>
              <w:spacing w:after="0"/>
              <w:rPr>
                <w:sz w:val="20"/>
                <w:szCs w:val="20"/>
                <w:color w:val="auto"/>
              </w:rPr>
            </w:pPr>
          </w:p>
        </w:tc>
        <w:tc>
          <w:tcPr>
            <w:tcW w:w="15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56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equity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equity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market/cash</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U.S. pension plan assets are invested according to the following targets:</w:t>
            </w: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equity</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equity</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8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Canadian pension plans were invested approximately 75% in Canadian bonds and 25% in international equities. Our U.K. pension plan was invested in a broad mix of assets consisting of U.K. and international equities, and U.K. fixed income securities, including corporate and government bonds.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794" w:right="239" w:bottom="1440" w:gutter="0" w:footer="0" w:header="0"/>
        </w:sectPr>
      </w:pPr>
    </w:p>
    <w:bookmarkStart w:id="67" w:name="page68"/>
    <w:bookmarkEnd w:id="67"/>
    <w:p>
      <w:pPr>
        <w:ind w:left="260"/>
        <w:spacing w:after="0"/>
        <w:rPr>
          <w:sz w:val="20"/>
          <w:szCs w:val="20"/>
          <w:color w:val="auto"/>
        </w:rPr>
      </w:pPr>
      <w:r>
        <w:rPr>
          <w:rFonts w:ascii="Times New Roman" w:cs="Times New Roman" w:eastAsia="Times New Roman" w:hAnsi="Times New Roman"/>
          <w:sz w:val="18"/>
          <w:szCs w:val="18"/>
          <w:color w:val="auto"/>
        </w:rPr>
        <w:t>The fair values of our pension plan assets, by asset category, are as follows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20" w:type="dxa"/>
            <w:vAlign w:val="bottom"/>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Measurements as of December 31, 2018</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ind w:right="33"/>
              <w:spacing w:after="0" w:line="145"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2"/>
                <w:szCs w:val="12"/>
                <w:color w:val="auto"/>
              </w:rPr>
            </w:pPr>
          </w:p>
        </w:tc>
        <w:tc>
          <w:tcPr>
            <w:tcW w:w="18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 Assets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U.S. equity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equity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International equity</w:t>
            </w: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fund:</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equity </w:t>
            </w:r>
            <w:r>
              <w:rPr>
                <w:rFonts w:ascii="Times New Roman" w:cs="Times New Roman" w:eastAsia="Times New Roman" w:hAnsi="Times New Roman"/>
                <w:sz w:val="25"/>
                <w:szCs w:val="25"/>
                <w:color w:val="auto"/>
                <w:vertAlign w:val="superscript"/>
              </w:rPr>
              <w:t>(5)</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5"/>
                <w:szCs w:val="25"/>
                <w:color w:val="auto"/>
                <w:vertAlign w:val="superscript"/>
              </w:rPr>
              <w:t>(6)</w:t>
            </w: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Blend </w:t>
            </w:r>
            <w:r>
              <w:rPr>
                <w:rFonts w:ascii="Times New Roman" w:cs="Times New Roman" w:eastAsia="Times New Roman" w:hAnsi="Times New Roman"/>
                <w:sz w:val="25"/>
                <w:szCs w:val="25"/>
                <w:color w:val="auto"/>
                <w:vertAlign w:val="superscript"/>
              </w:rPr>
              <w:t>(7)</w:t>
            </w:r>
          </w:p>
        </w:tc>
        <w:tc>
          <w:tcPr>
            <w:tcW w:w="1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283.8</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20" w:type="dxa"/>
            <w:vAlign w:val="bottom"/>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Measurements as of December 31, 2017</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ind w:right="33"/>
              <w:spacing w:after="0" w:line="145"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2"/>
                <w:szCs w:val="12"/>
                <w:color w:val="auto"/>
              </w:rPr>
            </w:pPr>
          </w:p>
        </w:tc>
        <w:tc>
          <w:tcPr>
            <w:tcW w:w="18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 Assets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U.S. equity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equity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International equity</w:t>
            </w: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fund:</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equity </w:t>
            </w:r>
            <w:r>
              <w:rPr>
                <w:rFonts w:ascii="Times New Roman" w:cs="Times New Roman" w:eastAsia="Times New Roman" w:hAnsi="Times New Roman"/>
                <w:sz w:val="25"/>
                <w:szCs w:val="25"/>
                <w:color w:val="auto"/>
                <w:vertAlign w:val="superscript"/>
              </w:rPr>
              <w:t>(5)</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5"/>
                <w:szCs w:val="25"/>
                <w:color w:val="auto"/>
                <w:vertAlign w:val="superscript"/>
              </w:rPr>
              <w:t>(6)</w:t>
            </w: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Blend </w:t>
            </w:r>
            <w:r>
              <w:rPr>
                <w:rFonts w:ascii="Times New Roman" w:cs="Times New Roman" w:eastAsia="Times New Roman" w:hAnsi="Times New Roman"/>
                <w:sz w:val="25"/>
                <w:szCs w:val="25"/>
                <w:color w:val="auto"/>
                <w:vertAlign w:val="superscript"/>
              </w:rPr>
              <w:t>(7)</w:t>
            </w:r>
          </w:p>
        </w:tc>
        <w:tc>
          <w:tcPr>
            <w:tcW w:w="1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314.7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318.6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8" w:name="page69"/>
    <w:bookmarkEnd w:id="68"/>
    <w:p>
      <w:pPr>
        <w:ind w:left="260"/>
        <w:spacing w:after="0"/>
        <w:rPr>
          <w:sz w:val="20"/>
          <w:szCs w:val="20"/>
          <w:color w:val="auto"/>
        </w:rPr>
      </w:pPr>
      <w:r>
        <w:rPr>
          <w:rFonts w:ascii="Times New Roman" w:cs="Times New Roman" w:eastAsia="Times New Roman" w:hAnsi="Times New Roman"/>
          <w:sz w:val="18"/>
          <w:szCs w:val="18"/>
          <w:color w:val="auto"/>
        </w:rPr>
        <w:t>Additional information about assets measured at Net Asset Value (“NAV”) per share (in millions):</w:t>
      </w:r>
    </w:p>
    <w:p>
      <w:pPr>
        <w:spacing w:after="0" w:line="200" w:lineRule="exact"/>
        <w:rPr>
          <w:sz w:val="20"/>
          <w:szCs w:val="20"/>
          <w:color w:val="auto"/>
        </w:rPr>
      </w:pPr>
    </w:p>
    <w:p>
      <w:pPr>
        <w:spacing w:after="0" w:line="20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6"/>
          <w:szCs w:val="16"/>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38735</wp:posOffset>
            </wp:positionV>
            <wp:extent cx="3618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Redemption Frequency</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Notice Period</w:t>
            </w:r>
          </w:p>
        </w:tc>
        <w:tc>
          <w:tcPr>
            <w:tcW w:w="0" w:type="dxa"/>
            <w:vAlign w:val="bottom"/>
          </w:tcPr>
          <w:p>
            <w:pPr>
              <w:spacing w:after="0"/>
              <w:rPr>
                <w:sz w:val="1"/>
                <w:szCs w:val="1"/>
                <w:color w:val="auto"/>
              </w:rPr>
            </w:pPr>
          </w:p>
        </w:tc>
      </w:tr>
      <w:tr>
        <w:trPr>
          <w:trHeight w:val="195"/>
        </w:trPr>
        <w:tc>
          <w:tcPr>
            <w:tcW w:w="4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(if currently eligible)</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1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U.S. equity </w:t>
            </w:r>
            <w:r>
              <w:rPr>
                <w:rFonts w:ascii="Times New Roman" w:cs="Times New Roman" w:eastAsia="Times New Roman" w:hAnsi="Times New Roman"/>
                <w:sz w:val="25"/>
                <w:szCs w:val="25"/>
                <w:color w:val="auto"/>
                <w:vertAlign w:val="superscript"/>
              </w:rPr>
              <w:t>(1)</w:t>
            </w:r>
          </w:p>
        </w:tc>
        <w:tc>
          <w:tcPr>
            <w:tcW w:w="2780" w:type="dxa"/>
            <w:vAlign w:val="bottom"/>
            <w:gridSpan w:val="2"/>
            <w:shd w:val="clear" w:color="auto" w:fill="CCEEFF"/>
          </w:tcPr>
          <w:p>
            <w:pPr>
              <w:jc w:val="right"/>
              <w:ind w:right="10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70"/>
        </w:trPr>
        <w:tc>
          <w:tcPr>
            <w:tcW w:w="422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equity </w:t>
            </w:r>
            <w:r>
              <w:rPr>
                <w:rFonts w:ascii="Times New Roman" w:cs="Times New Roman" w:eastAsia="Times New Roman" w:hAnsi="Times New Roman"/>
                <w:sz w:val="25"/>
                <w:szCs w:val="25"/>
                <w:color w:val="auto"/>
                <w:vertAlign w:val="superscript"/>
              </w:rPr>
              <w:t>(2)</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3"/>
                <w:szCs w:val="23"/>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5"/>
                <w:szCs w:val="25"/>
                <w:color w:val="auto"/>
                <w:vertAlign w:val="superscript"/>
              </w:rPr>
              <w:t>(3)</w:t>
            </w:r>
          </w:p>
        </w:tc>
        <w:tc>
          <w:tcPr>
            <w:tcW w:w="15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5-15 days</w:t>
            </w:r>
          </w:p>
        </w:tc>
        <w:tc>
          <w:tcPr>
            <w:tcW w:w="0" w:type="dxa"/>
            <w:vAlign w:val="bottom"/>
          </w:tcPr>
          <w:p>
            <w:pPr>
              <w:spacing w:after="0"/>
              <w:rPr>
                <w:sz w:val="1"/>
                <w:szCs w:val="1"/>
                <w:color w:val="auto"/>
              </w:rPr>
            </w:pPr>
          </w:p>
        </w:tc>
      </w:tr>
      <w:tr>
        <w:trPr>
          <w:trHeight w:val="270"/>
        </w:trPr>
        <w:tc>
          <w:tcPr>
            <w:tcW w:w="42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5"/>
                <w:szCs w:val="25"/>
                <w:color w:val="auto"/>
                <w:vertAlign w:val="superscript"/>
              </w:rPr>
              <w:t>(4)</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 equity</w:t>
            </w:r>
          </w:p>
        </w:tc>
        <w:tc>
          <w:tcPr>
            <w:tcW w:w="1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 days</w:t>
            </w:r>
          </w:p>
        </w:tc>
        <w:tc>
          <w:tcPr>
            <w:tcW w:w="0" w:type="dxa"/>
            <w:vAlign w:val="bottom"/>
          </w:tcPr>
          <w:p>
            <w:pPr>
              <w:spacing w:after="0"/>
              <w:rPr>
                <w:sz w:val="1"/>
                <w:szCs w:val="1"/>
                <w:color w:val="auto"/>
              </w:rPr>
            </w:pPr>
          </w:p>
        </w:tc>
      </w:tr>
      <w:tr>
        <w:trPr>
          <w:trHeight w:val="243"/>
        </w:trPr>
        <w:tc>
          <w:tcPr>
            <w:tcW w:w="4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Fixed income</w:t>
            </w:r>
          </w:p>
        </w:tc>
        <w:tc>
          <w:tcPr>
            <w:tcW w:w="1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days</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fund:</w:t>
            </w:r>
          </w:p>
        </w:tc>
        <w:tc>
          <w:tcPr>
            <w:tcW w:w="1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equity </w:t>
            </w:r>
            <w:r>
              <w:rPr>
                <w:rFonts w:ascii="Times New Roman" w:cs="Times New Roman" w:eastAsia="Times New Roman" w:hAnsi="Times New Roman"/>
                <w:sz w:val="25"/>
                <w:szCs w:val="25"/>
                <w:color w:val="auto"/>
                <w:vertAlign w:val="superscript"/>
              </w:rPr>
              <w:t>(5)</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3"/>
                <w:szCs w:val="23"/>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 days</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5"/>
                <w:szCs w:val="25"/>
                <w:color w:val="auto"/>
                <w:vertAlign w:val="superscript"/>
              </w:rPr>
              <w:t>(6)</w:t>
            </w:r>
          </w:p>
        </w:tc>
        <w:tc>
          <w:tcPr>
            <w:tcW w:w="15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 days</w:t>
            </w:r>
          </w:p>
        </w:tc>
        <w:tc>
          <w:tcPr>
            <w:tcW w:w="0" w:type="dxa"/>
            <w:vAlign w:val="bottom"/>
          </w:tcPr>
          <w:p>
            <w:pPr>
              <w:spacing w:after="0"/>
              <w:rPr>
                <w:sz w:val="1"/>
                <w:szCs w:val="1"/>
                <w:color w:val="auto"/>
              </w:rPr>
            </w:pPr>
          </w:p>
        </w:tc>
      </w:tr>
      <w:tr>
        <w:trPr>
          <w:trHeight w:val="270"/>
        </w:trPr>
        <w:tc>
          <w:tcPr>
            <w:tcW w:w="4220" w:type="dxa"/>
            <w:vAlign w:val="bottom"/>
            <w:tcBorders>
              <w:bottom w:val="single" w:sz="8" w:color="CCEEFF"/>
            </w:tcBorders>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Blend </w:t>
            </w:r>
            <w:r>
              <w:rPr>
                <w:rFonts w:ascii="Times New Roman" w:cs="Times New Roman" w:eastAsia="Times New Roman" w:hAnsi="Times New Roman"/>
                <w:sz w:val="25"/>
                <w:szCs w:val="25"/>
                <w:color w:val="auto"/>
                <w:vertAlign w:val="superscript"/>
              </w:rPr>
              <w:t>(7)</w:t>
            </w:r>
          </w:p>
        </w:tc>
        <w:tc>
          <w:tcPr>
            <w:tcW w:w="150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1-3 days</w:t>
            </w: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gridSpan w:val="2"/>
            <w:shd w:val="clear" w:color="auto" w:fill="CCEEFF"/>
          </w:tcPr>
          <w:p>
            <w:pPr>
              <w:jc w:val="right"/>
              <w:ind w:right="10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of December 31, 2017</w:t>
            </w: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Redemption Frequency</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Notice Period</w:t>
            </w:r>
          </w:p>
        </w:tc>
        <w:tc>
          <w:tcPr>
            <w:tcW w:w="0" w:type="dxa"/>
            <w:vAlign w:val="bottom"/>
          </w:tcPr>
          <w:p>
            <w:pPr>
              <w:spacing w:after="0"/>
              <w:rPr>
                <w:sz w:val="1"/>
                <w:szCs w:val="1"/>
                <w:color w:val="auto"/>
              </w:rPr>
            </w:pPr>
          </w:p>
        </w:tc>
      </w:tr>
      <w:tr>
        <w:trPr>
          <w:trHeight w:val="195"/>
        </w:trPr>
        <w:tc>
          <w:tcPr>
            <w:tcW w:w="4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(if currently eligible)</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1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U.S. equity </w:t>
            </w:r>
            <w:r>
              <w:rPr>
                <w:rFonts w:ascii="Times New Roman" w:cs="Times New Roman" w:eastAsia="Times New Roman" w:hAnsi="Times New Roman"/>
                <w:sz w:val="25"/>
                <w:szCs w:val="25"/>
                <w:color w:val="auto"/>
                <w:vertAlign w:val="superscript"/>
              </w:rPr>
              <w:t>(1)</w:t>
            </w:r>
          </w:p>
        </w:tc>
        <w:tc>
          <w:tcPr>
            <w:tcW w:w="2780" w:type="dxa"/>
            <w:vAlign w:val="bottom"/>
            <w:gridSpan w:val="2"/>
            <w:shd w:val="clear" w:color="auto" w:fill="CCEEFF"/>
          </w:tcPr>
          <w:p>
            <w:pPr>
              <w:jc w:val="right"/>
              <w:ind w:right="10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70"/>
        </w:trPr>
        <w:tc>
          <w:tcPr>
            <w:tcW w:w="422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equity </w:t>
            </w:r>
            <w:r>
              <w:rPr>
                <w:rFonts w:ascii="Times New Roman" w:cs="Times New Roman" w:eastAsia="Times New Roman" w:hAnsi="Times New Roman"/>
                <w:sz w:val="25"/>
                <w:szCs w:val="25"/>
                <w:color w:val="auto"/>
                <w:vertAlign w:val="superscript"/>
              </w:rPr>
              <w:t>(2)</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3"/>
                <w:szCs w:val="23"/>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5"/>
                <w:szCs w:val="25"/>
                <w:color w:val="auto"/>
                <w:vertAlign w:val="superscript"/>
              </w:rPr>
              <w:t>(3)</w:t>
            </w:r>
          </w:p>
        </w:tc>
        <w:tc>
          <w:tcPr>
            <w:tcW w:w="15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5-15 days</w:t>
            </w:r>
          </w:p>
        </w:tc>
        <w:tc>
          <w:tcPr>
            <w:tcW w:w="0" w:type="dxa"/>
            <w:vAlign w:val="bottom"/>
          </w:tcPr>
          <w:p>
            <w:pPr>
              <w:spacing w:after="0"/>
              <w:rPr>
                <w:sz w:val="1"/>
                <w:szCs w:val="1"/>
                <w:color w:val="auto"/>
              </w:rPr>
            </w:pPr>
          </w:p>
        </w:tc>
      </w:tr>
      <w:tr>
        <w:trPr>
          <w:trHeight w:val="270"/>
        </w:trPr>
        <w:tc>
          <w:tcPr>
            <w:tcW w:w="42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5"/>
                <w:szCs w:val="25"/>
                <w:color w:val="auto"/>
                <w:vertAlign w:val="superscript"/>
              </w:rPr>
              <w:t>(4)</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 equity</w:t>
            </w:r>
          </w:p>
        </w:tc>
        <w:tc>
          <w:tcPr>
            <w:tcW w:w="1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 days</w:t>
            </w:r>
          </w:p>
        </w:tc>
        <w:tc>
          <w:tcPr>
            <w:tcW w:w="0" w:type="dxa"/>
            <w:vAlign w:val="bottom"/>
          </w:tcPr>
          <w:p>
            <w:pPr>
              <w:spacing w:after="0"/>
              <w:rPr>
                <w:sz w:val="1"/>
                <w:szCs w:val="1"/>
                <w:color w:val="auto"/>
              </w:rPr>
            </w:pPr>
          </w:p>
        </w:tc>
      </w:tr>
      <w:tr>
        <w:trPr>
          <w:trHeight w:val="243"/>
        </w:trPr>
        <w:tc>
          <w:tcPr>
            <w:tcW w:w="4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Fixed income</w:t>
            </w:r>
          </w:p>
        </w:tc>
        <w:tc>
          <w:tcPr>
            <w:tcW w:w="1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days</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fund:</w:t>
            </w:r>
          </w:p>
        </w:tc>
        <w:tc>
          <w:tcPr>
            <w:tcW w:w="1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equity </w:t>
            </w:r>
            <w:r>
              <w:rPr>
                <w:rFonts w:ascii="Times New Roman" w:cs="Times New Roman" w:eastAsia="Times New Roman" w:hAnsi="Times New Roman"/>
                <w:sz w:val="25"/>
                <w:szCs w:val="25"/>
                <w:color w:val="auto"/>
                <w:vertAlign w:val="superscript"/>
              </w:rPr>
              <w:t>(5)</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 days</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5"/>
                <w:szCs w:val="25"/>
                <w:color w:val="auto"/>
                <w:vertAlign w:val="superscript"/>
              </w:rPr>
              <w:t>(6)</w:t>
            </w:r>
          </w:p>
        </w:tc>
        <w:tc>
          <w:tcPr>
            <w:tcW w:w="15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 days</w:t>
            </w:r>
          </w:p>
        </w:tc>
        <w:tc>
          <w:tcPr>
            <w:tcW w:w="0" w:type="dxa"/>
            <w:vAlign w:val="bottom"/>
          </w:tcPr>
          <w:p>
            <w:pPr>
              <w:spacing w:after="0"/>
              <w:rPr>
                <w:sz w:val="1"/>
                <w:szCs w:val="1"/>
                <w:color w:val="auto"/>
              </w:rPr>
            </w:pPr>
          </w:p>
        </w:tc>
      </w:tr>
      <w:tr>
        <w:trPr>
          <w:trHeight w:val="270"/>
        </w:trPr>
        <w:tc>
          <w:tcPr>
            <w:tcW w:w="4220" w:type="dxa"/>
            <w:vAlign w:val="bottom"/>
            <w:tcBorders>
              <w:bottom w:val="single" w:sz="8" w:color="CCEEFF"/>
            </w:tcBorders>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Blend </w:t>
            </w:r>
            <w:r>
              <w:rPr>
                <w:rFonts w:ascii="Times New Roman" w:cs="Times New Roman" w:eastAsia="Times New Roman" w:hAnsi="Times New Roman"/>
                <w:sz w:val="25"/>
                <w:szCs w:val="25"/>
                <w:color w:val="auto"/>
                <w:vertAlign w:val="superscript"/>
              </w:rPr>
              <w:t>(7)</w:t>
            </w:r>
          </w:p>
        </w:tc>
        <w:tc>
          <w:tcPr>
            <w:tcW w:w="150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1-3 days</w:t>
            </w: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20" w:type="dxa"/>
            <w:vAlign w:val="bottom"/>
          </w:tcPr>
          <w:p>
            <w:pPr>
              <w:spacing w:after="0"/>
              <w:rPr>
                <w:sz w:val="24"/>
                <w:szCs w:val="24"/>
                <w:color w:val="auto"/>
              </w:rPr>
            </w:pPr>
          </w:p>
        </w:tc>
        <w:tc>
          <w:tcPr>
            <w:tcW w:w="2780" w:type="dxa"/>
            <w:vAlign w:val="bottom"/>
            <w:gridSpan w:val="2"/>
          </w:tcPr>
          <w:p>
            <w:pPr>
              <w:jc w:val="right"/>
              <w:ind w:right="1122"/>
              <w:spacing w:after="0"/>
              <w:rPr>
                <w:sz w:val="20"/>
                <w:szCs w:val="20"/>
                <w:color w:val="auto"/>
              </w:rPr>
            </w:pPr>
            <w:r>
              <w:rPr>
                <w:rFonts w:ascii="Times New Roman" w:cs="Times New Roman" w:eastAsia="Times New Roman" w:hAnsi="Times New Roman"/>
                <w:sz w:val="18"/>
                <w:szCs w:val="18"/>
                <w:color w:val="auto"/>
              </w:rPr>
              <w:t>66</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9" w:name="page70"/>
    <w:bookmarkEnd w:id="69"/>
    <w:p>
      <w:pPr>
        <w:ind w:left="500" w:hanging="358"/>
        <w:spacing w:after="0"/>
        <w:tabs>
          <w:tab w:leader="none" w:pos="50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This category includes investments primarily in U.S. equity securities that include large, mid and small capitalization companies.</w:t>
      </w:r>
    </w:p>
    <w:p>
      <w:pPr>
        <w:spacing w:after="0" w:line="55" w:lineRule="exact"/>
        <w:rPr>
          <w:rFonts w:ascii="Times New Roman" w:cs="Times New Roman" w:eastAsia="Times New Roman" w:hAnsi="Times New Roman"/>
          <w:sz w:val="25"/>
          <w:szCs w:val="25"/>
          <w:color w:val="auto"/>
          <w:vertAlign w:val="superscript"/>
        </w:rPr>
      </w:pPr>
    </w:p>
    <w:p>
      <w:pPr>
        <w:ind w:left="500" w:right="20" w:hanging="358"/>
        <w:spacing w:after="0" w:line="208" w:lineRule="auto"/>
        <w:tabs>
          <w:tab w:leader="none" w:pos="500" w:val="left"/>
        </w:tabs>
        <w:numPr>
          <w:ilvl w:val="0"/>
          <w:numId w:val="16"/>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auto"/>
        </w:rPr>
        <w:t>This category includes investments primarily in international equity securities that include large, mid and small capitalization companies in large developed markets as well as emerging markets equities.</w:t>
      </w:r>
    </w:p>
    <w:p>
      <w:pPr>
        <w:spacing w:after="0" w:line="37" w:lineRule="exact"/>
        <w:rPr>
          <w:rFonts w:ascii="Times New Roman" w:cs="Times New Roman" w:eastAsia="Times New Roman" w:hAnsi="Times New Roman"/>
          <w:sz w:val="25"/>
          <w:szCs w:val="25"/>
          <w:color w:val="auto"/>
          <w:vertAlign w:val="subscript"/>
        </w:rPr>
      </w:pPr>
    </w:p>
    <w:p>
      <w:pPr>
        <w:ind w:left="500" w:right="40" w:hanging="358"/>
        <w:spacing w:after="0" w:line="218" w:lineRule="auto"/>
        <w:tabs>
          <w:tab w:leader="none" w:pos="500" w:val="left"/>
        </w:tabs>
        <w:numPr>
          <w:ilvl w:val="0"/>
          <w:numId w:val="16"/>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auto"/>
        </w:rPr>
        <w:t>This category includes investments in U.S. investment grade and high yield fixed income securities, international fixed income securities and emerging markets fixed income securities.</w:t>
      </w:r>
    </w:p>
    <w:p>
      <w:pPr>
        <w:spacing w:after="0" w:line="37" w:lineRule="exact"/>
        <w:rPr>
          <w:rFonts w:ascii="Times New Roman" w:cs="Times New Roman" w:eastAsia="Times New Roman" w:hAnsi="Times New Roman"/>
          <w:sz w:val="25"/>
          <w:szCs w:val="25"/>
          <w:color w:val="auto"/>
          <w:vertAlign w:val="subscript"/>
        </w:rPr>
      </w:pPr>
    </w:p>
    <w:p>
      <w:pPr>
        <w:ind w:left="500"/>
        <w:spacing w:after="0"/>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auto"/>
        </w:rPr>
        <w:t>The investment objectives of the plan are to provide long-term capital growth and income by investing primarily in a well-diversified, balanced</w:t>
      </w:r>
    </w:p>
    <w:p>
      <w:pPr>
        <w:spacing w:after="0" w:line="27" w:lineRule="exact"/>
        <w:rPr>
          <w:rFonts w:ascii="Times New Roman" w:cs="Times New Roman" w:eastAsia="Times New Roman" w:hAnsi="Times New Roman"/>
          <w:sz w:val="25"/>
          <w:szCs w:val="25"/>
          <w:color w:val="auto"/>
          <w:vertAlign w:val="subscript"/>
        </w:rPr>
      </w:pPr>
    </w:p>
    <w:p>
      <w:pPr>
        <w:ind w:left="500" w:right="40" w:hanging="358"/>
        <w:spacing w:after="0" w:line="209" w:lineRule="auto"/>
        <w:tabs>
          <w:tab w:leader="none" w:pos="50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portfolio of Canadian common stocks, bonds and money market securities. The plan also holds a portion of its assets in international equities, a portion of which may be invested in U.S. securities.</w:t>
      </w:r>
    </w:p>
    <w:p>
      <w:pPr>
        <w:spacing w:after="0" w:line="1" w:lineRule="exact"/>
        <w:rPr>
          <w:rFonts w:ascii="Times New Roman" w:cs="Times New Roman" w:eastAsia="Times New Roman" w:hAnsi="Times New Roman"/>
          <w:sz w:val="25"/>
          <w:szCs w:val="25"/>
          <w:color w:val="auto"/>
          <w:vertAlign w:val="superscript"/>
        </w:rPr>
      </w:pPr>
    </w:p>
    <w:p>
      <w:pPr>
        <w:ind w:left="500" w:hanging="358"/>
        <w:spacing w:after="0" w:line="225" w:lineRule="auto"/>
        <w:tabs>
          <w:tab w:leader="none" w:pos="500" w:val="left"/>
        </w:tabs>
        <w:numPr>
          <w:ilvl w:val="0"/>
          <w:numId w:val="16"/>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auto"/>
        </w:rPr>
        <w:t>This category includes investments in international equity securities, a portion of which may be invested in U.S.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24662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and aims to provide returns consistent with the markets in which it invests and provide broad exposure to countries around the world.</w:t>
      </w:r>
    </w:p>
    <w:p>
      <w:pPr>
        <w:spacing w:after="0" w:line="43" w:lineRule="exact"/>
        <w:rPr>
          <w:sz w:val="20"/>
          <w:szCs w:val="20"/>
          <w:color w:val="auto"/>
        </w:rPr>
      </w:pPr>
    </w:p>
    <w:p>
      <w:pPr>
        <w:ind w:left="500" w:right="40" w:hanging="358"/>
        <w:spacing w:after="0" w:line="218" w:lineRule="auto"/>
        <w:tabs>
          <w:tab w:leader="none" w:pos="500" w:val="left"/>
        </w:tabs>
        <w:numPr>
          <w:ilvl w:val="0"/>
          <w:numId w:val="17"/>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auto"/>
        </w:rPr>
        <w:t>This category includes investments in U.K. government index-linked securities (index-linked gilts) that have maturity periods of 5 years or longer with a derivatives overlay and investment grade corporate bonds denominated in sterling.</w:t>
      </w:r>
    </w:p>
    <w:p>
      <w:pPr>
        <w:spacing w:after="0" w:line="37" w:lineRule="exact"/>
        <w:rPr>
          <w:rFonts w:ascii="Times New Roman" w:cs="Times New Roman" w:eastAsia="Times New Roman" w:hAnsi="Times New Roman"/>
          <w:sz w:val="25"/>
          <w:szCs w:val="25"/>
          <w:color w:val="auto"/>
          <w:vertAlign w:val="subscript"/>
        </w:rPr>
      </w:pPr>
    </w:p>
    <w:p>
      <w:pPr>
        <w:ind w:left="500" w:right="40" w:hanging="358"/>
        <w:spacing w:after="0" w:line="218" w:lineRule="auto"/>
        <w:tabs>
          <w:tab w:leader="none" w:pos="500" w:val="left"/>
        </w:tabs>
        <w:numPr>
          <w:ilvl w:val="0"/>
          <w:numId w:val="17"/>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auto"/>
        </w:rPr>
        <w:t>This category includes investments in pooled funds where the fund manager has discretion for the asset allocation and can invest in a wide range of international and US asset classes including equity, credit markets, sovereign debt and alternative assets (including derivative-based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24662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majority of our commingled pool/collective trusts, mutual funds, balanced pension trusts and pension funds are managed by professional investment advisors. The NAVs per share are furnished in monthly and/or quarterly statements received from the investment advisors and reflect valuations based upon their pricing policies. We assessed the fair value classification of these investments as Level 2 for commingled pool/collective trusts, balanced pension trusts and pension funds based on an examination of their pricing policies and the related controls and procedures. The fair values we report are based on the pool, trust or fund’s NAV per share. The NAVs per share are calculated periodically (daily or no less than one time per month) as the aggregate value of each pool or trust’s underlying assets divided by the number of units owned. See Note 21 for information about our fair value hierarchies and valuation techniques.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Comprehensive Income:</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items not reclassified in their entirety from AOCL to Net Income in the accompanying Consolidated Statements of Operations (in millions):</w:t>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4"/>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7"/>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Affected Line Item(s) in the Consolidated</w:t>
            </w:r>
          </w:p>
        </w:tc>
      </w:tr>
      <w:tr>
        <w:trPr>
          <w:trHeight w:val="212"/>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AOCL Component</w:t>
            </w:r>
          </w:p>
        </w:tc>
        <w:tc>
          <w:tcPr>
            <w:tcW w:w="26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Gains/(Losses) on cash flow hedges: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r>
      <w:tr>
        <w:trPr>
          <w:trHeight w:val="24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r>
      <w:tr>
        <w:trPr>
          <w:trHeight w:val="297"/>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5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 Items: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r>
      <w:tr>
        <w:trPr>
          <w:trHeight w:val="225"/>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Selling, general and</w:t>
            </w:r>
          </w:p>
        </w:tc>
      </w:tr>
      <w:tr>
        <w:trPr>
          <w:trHeight w:val="234"/>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Benefits costs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37"/>
        </w:trPr>
        <w:tc>
          <w:tcPr>
            <w:tcW w:w="4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97"/>
        </w:trPr>
        <w:tc>
          <w:tcPr>
            <w:tcW w:w="4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r>
      <w:tr>
        <w:trPr>
          <w:trHeight w:val="24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25"/>
        </w:trPr>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net on sale of businesses and</w:t>
            </w:r>
          </w:p>
        </w:tc>
      </w:tr>
      <w:tr>
        <w:trPr>
          <w:trHeight w:val="261"/>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adjustments upon sale of business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property</w:t>
            </w:r>
          </w:p>
        </w:tc>
      </w:tr>
      <w:tr>
        <w:trPr>
          <w:trHeight w:val="237"/>
        </w:trPr>
        <w:tc>
          <w:tcPr>
            <w:tcW w:w="4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97"/>
        </w:trPr>
        <w:tc>
          <w:tcPr>
            <w:tcW w:w="4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r>
      <w:tr>
        <w:trPr>
          <w:trHeight w:val="264"/>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2"/>
                <w:szCs w:val="22"/>
                <w:color w:val="auto"/>
              </w:rPr>
            </w:pPr>
          </w:p>
        </w:tc>
        <w:tc>
          <w:tcPr>
            <w:tcW w:w="3520" w:type="dxa"/>
            <w:vAlign w:val="bottom"/>
          </w:tcPr>
          <w:p>
            <w:pPr>
              <w:spacing w:after="0"/>
              <w:rPr>
                <w:sz w:val="22"/>
                <w:szCs w:val="22"/>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689" w:right="239" w:bottom="1440" w:gutter="0" w:footer="0" w:header="0"/>
        </w:sectPr>
      </w:pPr>
    </w:p>
    <w:bookmarkStart w:id="70" w:name="page71"/>
    <w:bookmarkEnd w:id="70"/>
    <w:p>
      <w:pPr>
        <w:ind w:left="260"/>
        <w:spacing w:after="0"/>
        <w:rPr>
          <w:sz w:val="20"/>
          <w:szCs w:val="20"/>
          <w:color w:val="auto"/>
        </w:rPr>
      </w:pPr>
      <w:r>
        <w:rPr>
          <w:rFonts w:ascii="Times New Roman" w:cs="Times New Roman" w:eastAsia="Times New Roman" w:hAnsi="Times New Roman"/>
          <w:sz w:val="18"/>
          <w:szCs w:val="18"/>
          <w:color w:val="auto"/>
        </w:rPr>
        <w:t>The following tables provide information on changes in AOCL, by component (net of tax), for the years ended December 31, 2018 and 2017 (in millions):</w:t>
      </w: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Gains (Losses) on</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9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7"/>
              </w:rPr>
              <w:t>Total AOCL</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for-Sale Securities</w:t>
            </w:r>
          </w:p>
        </w:tc>
        <w:tc>
          <w:tcPr>
            <w:tcW w:w="16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6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43"/>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7"/>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02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Gains (Losses) on</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9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7"/>
              </w:rPr>
              <w:t>Total AOCL</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for-Sale Securities</w:t>
            </w:r>
          </w:p>
        </w:tc>
        <w:tc>
          <w:tcPr>
            <w:tcW w:w="16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6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43"/>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7"/>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Stock-based compensation expense related to continuing operations was included in Selling, general and administrative expenses in the accompanying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as follows (in millions):</w:t>
      </w:r>
    </w:p>
    <w:p>
      <w:pPr>
        <w:spacing w:after="0" w:line="169"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38735</wp:posOffset>
            </wp:positionV>
            <wp:extent cx="25298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0" w:lineRule="exact"/>
        <w:rPr>
          <w:sz w:val="20"/>
          <w:szCs w:val="20"/>
          <w:color w:val="auto"/>
        </w:rPr>
      </w:pPr>
    </w:p>
    <w:p>
      <w:pPr>
        <w:ind w:left="7900"/>
        <w:spacing w:after="0"/>
        <w:tabs>
          <w:tab w:leader="none" w:pos="9260" w:val="left"/>
          <w:tab w:leader="none" w:pos="10620" w:val="left"/>
        </w:tabs>
        <w:rPr>
          <w:sz w:val="20"/>
          <w:szCs w:val="20"/>
          <w:color w:val="auto"/>
        </w:rPr>
      </w:pPr>
      <w:r>
        <w:rPr>
          <w:rFonts w:ascii="Times New Roman" w:cs="Times New Roman" w:eastAsia="Times New Roman" w:hAnsi="Times New Roman"/>
          <w:sz w:val="16"/>
          <w:szCs w:val="16"/>
          <w:b w:val="1"/>
          <w:bCs w:val="1"/>
          <w:color w:val="auto"/>
        </w:rPr>
        <w:t>2018</w:t>
      </w:r>
      <w:r>
        <w:rPr>
          <w:sz w:val="20"/>
          <w:szCs w:val="20"/>
          <w:color w:val="auto"/>
        </w:rPr>
        <w:tab/>
      </w:r>
      <w:r>
        <w:rPr>
          <w:rFonts w:ascii="Times New Roman" w:cs="Times New Roman" w:eastAsia="Times New Roman" w:hAnsi="Times New Roman"/>
          <w:sz w:val="16"/>
          <w:szCs w:val="16"/>
          <w:b w:val="1"/>
          <w:bCs w:val="1"/>
          <w:color w:val="auto"/>
        </w:rPr>
        <w:t>2017</w:t>
      </w:r>
      <w:r>
        <w:rPr>
          <w:sz w:val="20"/>
          <w:szCs w:val="20"/>
          <w:color w:val="auto"/>
        </w:rPr>
        <w:tab/>
      </w:r>
      <w:r>
        <w:rPr>
          <w:rFonts w:ascii="Times New Roman" w:cs="Times New Roman" w:eastAsia="Times New Roman" w:hAnsi="Times New Roman"/>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38735</wp:posOffset>
            </wp:positionV>
            <wp:extent cx="723773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64" w:lineRule="exact"/>
        <w:rPr>
          <w:sz w:val="20"/>
          <w:szCs w:val="20"/>
          <w:color w:val="auto"/>
        </w:rPr>
      </w:pPr>
    </w:p>
    <w:p>
      <w:pPr>
        <w:ind w:left="40"/>
        <w:spacing w:after="0"/>
        <w:tabs>
          <w:tab w:leader="none" w:pos="7440" w:val="left"/>
          <w:tab w:leader="none" w:pos="8260" w:val="left"/>
          <w:tab w:leader="none" w:pos="8820" w:val="left"/>
          <w:tab w:leader="none" w:pos="9620" w:val="left"/>
          <w:tab w:leader="none" w:pos="10180" w:val="left"/>
          <w:tab w:leader="none" w:pos="10980" w:val="left"/>
        </w:tabs>
        <w:rPr>
          <w:sz w:val="20"/>
          <w:szCs w:val="20"/>
          <w:color w:val="auto"/>
        </w:rPr>
      </w:pPr>
      <w:r>
        <w:rPr>
          <w:rFonts w:ascii="Times New Roman" w:cs="Times New Roman" w:eastAsia="Times New Roman" w:hAnsi="Times New Roman"/>
          <w:sz w:val="18"/>
          <w:szCs w:val="18"/>
          <w:color w:val="auto"/>
        </w:rPr>
        <w:t>Compensation expense</w:t>
      </w:r>
      <w:r>
        <w:rPr>
          <w:rFonts w:ascii="Times New Roman" w:cs="Times New Roman" w:eastAsia="Times New Roman" w:hAnsi="Times New Roman"/>
          <w:sz w:val="25"/>
          <w:szCs w:val="25"/>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26.3</w:t>
        <w:tab/>
        <w:t>$</w:t>
      </w:r>
      <w:r>
        <w:rPr>
          <w:sz w:val="20"/>
          <w:szCs w:val="20"/>
          <w:color w:val="auto"/>
        </w:rPr>
        <w:tab/>
      </w:r>
      <w:r>
        <w:rPr>
          <w:rFonts w:ascii="Times New Roman" w:cs="Times New Roman" w:eastAsia="Times New Roman" w:hAnsi="Times New Roman"/>
          <w:sz w:val="18"/>
          <w:szCs w:val="18"/>
          <w:color w:val="auto"/>
        </w:rPr>
        <w:t>24.9</w:t>
        <w:tab/>
        <w:t>$</w:t>
      </w:r>
      <w:r>
        <w:rPr>
          <w:sz w:val="20"/>
          <w:szCs w:val="20"/>
          <w:color w:val="auto"/>
        </w:rPr>
        <w:tab/>
      </w:r>
      <w:r>
        <w:rPr>
          <w:rFonts w:ascii="Times New Roman" w:cs="Times New Roman" w:eastAsia="Times New Roman" w:hAnsi="Times New Roman"/>
          <w:sz w:val="17"/>
          <w:szCs w:val="17"/>
          <w:color w:val="auto"/>
        </w:rPr>
        <w:t>31.7</w:t>
      </w:r>
    </w:p>
    <w:p>
      <w:pPr>
        <w:spacing w:after="0" w:line="130" w:lineRule="exact"/>
        <w:rPr>
          <w:sz w:val="20"/>
          <w:szCs w:val="20"/>
          <w:color w:val="auto"/>
        </w:rPr>
      </w:pPr>
    </w:p>
    <w:p>
      <w:pPr>
        <w:ind w:left="600" w:hanging="187"/>
        <w:spacing w:after="0"/>
        <w:tabs>
          <w:tab w:leader="none" w:pos="60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Stock-based compensation expense was recorded in our Corporate and other business segment.</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Incentive Plan</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Under the Lennox International Inc. 2010 Incentive Plan, as amended and restated (the “2010 Incentive Plan”), we are authorized to issue awards for 24.3 million shares of common stock. The 2010 Incentive Plan provides for various long-term incentive awards, including performance share units, restricted stock units and stock appreciation rights. A description of these long-term incentive awards and related activity within each award category is provided below.</w:t>
      </w:r>
    </w:p>
    <w:p>
      <w:pPr>
        <w:spacing w:after="0" w:line="17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As of December 31, 2018, awards for 9.9 million shares of common stock had been granted, net of cancellations and repurchases, and there were 3.5 million shares available for future issuance.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29" w:lineRule="exact"/>
        <w:rPr>
          <w:sz w:val="20"/>
          <w:szCs w:val="20"/>
          <w:color w:val="auto"/>
        </w:rPr>
      </w:pPr>
    </w:p>
    <w:p>
      <w:pPr>
        <w:jc w:val="both"/>
        <w:ind w:firstLine="243"/>
        <w:spacing w:after="0" w:line="238" w:lineRule="auto"/>
        <w:rPr>
          <w:sz w:val="20"/>
          <w:szCs w:val="20"/>
          <w:color w:val="auto"/>
        </w:rPr>
      </w:pPr>
      <w:r>
        <w:rPr>
          <w:rFonts w:ascii="Times New Roman" w:cs="Times New Roman" w:eastAsia="Times New Roman" w:hAnsi="Times New Roman"/>
          <w:sz w:val="18"/>
          <w:szCs w:val="18"/>
          <w:color w:val="auto"/>
        </w:rPr>
        <w:t>Performance share units are granted to certain employees at the discretion of the Board of Directors with a three-year performance period beginning January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of each year. Upon meeting the performance and vesting criteria, performance share units are converted to an equal number of shares of our common stock. Performance share units vest if, at the end of the three-year performance period, at least the threshold performance level has been attained. To the extent that the payout level attained is less than 100%, the difference between 100% and the units earned and distributed will be forfeited. Eligible participants may also earn additional units of our common stock, which would increase the potential payout up to 200% of the units granted, depending on LII’s performance over the three-year performance period.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580" w:right="239" w:bottom="1440" w:gutter="0" w:footer="0" w:header="0"/>
        </w:sectPr>
      </w:pPr>
    </w:p>
    <w:bookmarkStart w:id="71" w:name="page72"/>
    <w:bookmarkEnd w:id="71"/>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Performance share units are classified as equity awards. Compensation expense is recognized on an earnings curve over the period and is based on the expected number of units to be earned and the fair value of the stock at the date of grant. The fair value of units is calculated as the average of the high and low market price of the stock on the date of grant discounted by the expected dividend rate over the service period. The number of units expected to be earned will be adjusted in future periods as necessary to reflect changes in the estimated number of award to be issued and, upon vesting, the actual number of units awarded. Our practice is to issue new shares of common stock or utilize treasury stock to satisfy performance share unit distributions.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our performance share units: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60" w:type="dxa"/>
            <w:vAlign w:val="bottom"/>
          </w:tcPr>
          <w:p>
            <w:pPr>
              <w:spacing w:after="0"/>
              <w:rPr>
                <w:sz w:val="18"/>
                <w:szCs w:val="18"/>
                <w:color w:val="auto"/>
              </w:rPr>
            </w:pPr>
          </w:p>
        </w:tc>
      </w:tr>
      <w:tr>
        <w:trPr>
          <w:trHeight w:val="33"/>
        </w:trPr>
        <w:tc>
          <w:tcPr>
            <w:tcW w:w="7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7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for performance share units (in millions)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18.1</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grants, per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204.64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197.54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150.21</w:t>
            </w: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Payout ratio for shares paid</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7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 summary of the status of our undistributed performance share units as of December 31, 2018, and changes during the year then ended, is presented below (in millions, except per share data):</w:t>
      </w:r>
    </w:p>
    <w:p>
      <w:pPr>
        <w:spacing w:after="0" w:line="110"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6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r>
      <w:tr>
        <w:trPr>
          <w:trHeight w:val="203"/>
        </w:trPr>
        <w:tc>
          <w:tcPr>
            <w:tcW w:w="6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12"/>
        </w:trPr>
        <w:tc>
          <w:tcPr>
            <w:tcW w:w="668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0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per Share</w:t>
            </w:r>
          </w:p>
        </w:tc>
      </w:tr>
      <w:tr>
        <w:trPr>
          <w:trHeight w:val="33"/>
        </w:trPr>
        <w:tc>
          <w:tcPr>
            <w:tcW w:w="66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Undistributed performance share units as of December 31, 2017</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w:t>
            </w:r>
          </w:p>
        </w:tc>
      </w:tr>
      <w:tr>
        <w:trPr>
          <w:trHeight w:val="243"/>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204.64</w:t>
            </w:r>
          </w:p>
        </w:tc>
      </w:tr>
      <w:tr>
        <w:trPr>
          <w:trHeight w:val="27"/>
        </w:trPr>
        <w:tc>
          <w:tcPr>
            <w:tcW w:w="6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Distributed</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w:t>
            </w:r>
          </w:p>
        </w:tc>
      </w:tr>
      <w:tr>
        <w:trPr>
          <w:trHeight w:val="341"/>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Undistributed performance share units as of December 31, 2018 </w:t>
            </w:r>
            <w:r>
              <w:rPr>
                <w:rFonts w:ascii="Times New Roman" w:cs="Times New Roman" w:eastAsia="Times New Roman" w:hAnsi="Times New Roman"/>
                <w:sz w:val="25"/>
                <w:szCs w:val="25"/>
                <w:color w:val="auto"/>
                <w:vertAlign w:val="superscript"/>
              </w:rPr>
              <w:t>(1)</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160.69</w:t>
            </w:r>
          </w:p>
        </w:tc>
      </w:tr>
    </w:tbl>
    <w:p>
      <w:pPr>
        <w:spacing w:after="0" w:line="126" w:lineRule="exact"/>
        <w:rPr>
          <w:sz w:val="20"/>
          <w:szCs w:val="20"/>
          <w:color w:val="auto"/>
        </w:rPr>
      </w:pPr>
    </w:p>
    <w:p>
      <w:pPr>
        <w:ind w:left="980" w:hanging="162"/>
        <w:spacing w:after="0" w:line="218" w:lineRule="auto"/>
        <w:tabs>
          <w:tab w:leader="none" w:pos="1027"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Undistributed performance share units include approximately 0.2 million units with a weighted-average grant date fair value of $182.06 per share that had not yet vested and 0.1 million units that have vested but were not yet distributed.</w:t>
      </w:r>
    </w:p>
    <w:p>
      <w:pPr>
        <w:spacing w:after="0" w:line="200" w:lineRule="exact"/>
        <w:rPr>
          <w:sz w:val="20"/>
          <w:szCs w:val="20"/>
          <w:color w:val="auto"/>
        </w:rPr>
      </w:pPr>
    </w:p>
    <w:p>
      <w:pPr>
        <w:spacing w:after="0" w:line="215"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As of December 31, 2018, we had $21.3 million of total unrecognized compensation cost related to non-vested performance share units that is expected to be recognized over a weighted-average period of 2.2 years. Our estimated forfeiture rate for these performance share units was 12.4% as of December 31, 2018.</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total fair value of performance share units distributed and the resulting tax deductions to realized tax benefits were as follows (in millions):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3540" w:type="dxa"/>
            <w:vAlign w:val="bottom"/>
            <w:gridSpan w:val="7"/>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440" w:type="dxa"/>
            <w:vAlign w:val="bottom"/>
          </w:tcPr>
          <w:p>
            <w:pPr>
              <w:spacing w:after="0"/>
              <w:rPr>
                <w:sz w:val="18"/>
                <w:szCs w:val="18"/>
                <w:color w:val="auto"/>
              </w:rPr>
            </w:pPr>
          </w:p>
        </w:tc>
      </w:tr>
      <w:tr>
        <w:trPr>
          <w:trHeight w:val="33"/>
        </w:trPr>
        <w:tc>
          <w:tcPr>
            <w:tcW w:w="7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7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440" w:type="dxa"/>
            <w:vAlign w:val="bottom"/>
          </w:tcPr>
          <w:p>
            <w:pPr>
              <w:spacing w:after="0"/>
              <w:rPr>
                <w:sz w:val="20"/>
                <w:szCs w:val="20"/>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performance share units distributed</w:t>
            </w: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39.4</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tax benefits from tax deductions</w:t>
            </w:r>
          </w:p>
        </w:tc>
        <w:tc>
          <w:tcPr>
            <w:tcW w:w="82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1"/>
                <w:szCs w:val="21"/>
                <w:color w:val="auto"/>
              </w:rPr>
            </w:pPr>
          </w:p>
        </w:tc>
        <w:tc>
          <w:tcPr>
            <w:tcW w:w="80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15.0</w:t>
            </w:r>
          </w:p>
        </w:tc>
      </w:tr>
    </w:tbl>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Restricted stock units are issued to attract and retain key employees. Generally, at the end of a three-year retention period, the units will vest and be distributed in shares of our common stock to the participant. Our practice is to issue new shares of common stock or utilize treasury stock to satisfy restricted stock unit vestings. Restricted stock units are classified as equity awards. The fair value of units granted is the average of the high and low market price of the stock on the date of grant discounted by the expected dividend rate over the service period. Units are amortized to compensation expense ratably over the service period.</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information on our restricted stock units (in millions, except per share data):</w:t>
      </w:r>
    </w:p>
    <w:p>
      <w:pPr>
        <w:spacing w:after="0" w:line="187"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33"/>
        </w:trPr>
        <w:tc>
          <w:tcPr>
            <w:tcW w:w="6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expense for restricted stock units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fair value of grants,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150.14</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580" w:right="239" w:bottom="1440" w:gutter="0" w:footer="0" w:header="0"/>
          <w:type w:val="continuous"/>
        </w:sectPr>
      </w:pPr>
    </w:p>
    <w:bookmarkStart w:id="72" w:name="page73"/>
    <w:bookmarkEnd w:id="72"/>
    <w:p>
      <w:pPr>
        <w:ind w:firstLine="243"/>
        <w:spacing w:after="0" w:line="282" w:lineRule="auto"/>
        <w:rPr>
          <w:sz w:val="20"/>
          <w:szCs w:val="20"/>
          <w:color w:val="auto"/>
        </w:rPr>
      </w:pPr>
      <w:r>
        <w:rPr>
          <w:rFonts w:ascii="Times New Roman" w:cs="Times New Roman" w:eastAsia="Times New Roman" w:hAnsi="Times New Roman"/>
          <w:sz w:val="18"/>
          <w:szCs w:val="18"/>
          <w:color w:val="auto"/>
        </w:rPr>
        <w:t>A summary of our non-vested restricted stock units as of December 31, 2018 and changes during the year then ended is presented below (in millions, except per share data):</w:t>
      </w:r>
    </w:p>
    <w:p>
      <w:pPr>
        <w:spacing w:after="0" w:line="110"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6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6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Grant</w:t>
            </w:r>
          </w:p>
        </w:tc>
      </w:tr>
      <w:tr>
        <w:trPr>
          <w:trHeight w:val="203"/>
        </w:trPr>
        <w:tc>
          <w:tcPr>
            <w:tcW w:w="6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r>
      <w:tr>
        <w:trPr>
          <w:trHeight w:val="212"/>
        </w:trPr>
        <w:tc>
          <w:tcPr>
            <w:tcW w:w="678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0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33"/>
        </w:trPr>
        <w:tc>
          <w:tcPr>
            <w:tcW w:w="6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as of December 31, 2017</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w:t>
            </w:r>
          </w:p>
        </w:tc>
      </w:tr>
      <w:tr>
        <w:trPr>
          <w:trHeight w:val="243"/>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204.64</w:t>
            </w:r>
          </w:p>
        </w:tc>
      </w:tr>
      <w:tr>
        <w:trPr>
          <w:trHeight w:val="27"/>
        </w:trPr>
        <w:tc>
          <w:tcPr>
            <w:tcW w:w="6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w:t>
            </w:r>
          </w:p>
        </w:tc>
      </w:tr>
      <w:tr>
        <w:trPr>
          <w:trHeight w:val="243"/>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678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 xml:space="preserve">Non-vested restricted stock units as of December 31, 2018 </w:t>
            </w:r>
            <w:r>
              <w:rPr>
                <w:rFonts w:ascii="Times New Roman" w:cs="Times New Roman" w:eastAsia="Times New Roman" w:hAnsi="Times New Roman"/>
                <w:sz w:val="25"/>
                <w:szCs w:val="25"/>
                <w:color w:val="auto"/>
                <w:vertAlign w:val="superscript"/>
              </w:rPr>
              <w:t>(1)</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w:t>
            </w:r>
          </w:p>
        </w:tc>
      </w:tr>
    </w:tbl>
    <w:p>
      <w:pPr>
        <w:spacing w:after="0" w:line="198" w:lineRule="exact"/>
        <w:rPr>
          <w:sz w:val="20"/>
          <w:szCs w:val="20"/>
          <w:color w:val="auto"/>
        </w:rPr>
      </w:pPr>
    </w:p>
    <w:p>
      <w:pPr>
        <w:jc w:val="both"/>
        <w:ind w:left="980" w:hanging="162"/>
        <w:spacing w:after="0"/>
        <w:tabs>
          <w:tab w:leader="none" w:pos="101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 of December 31, 2018, we had $19.5 million of total unrecognized compensation cost related to non-vested restricted stock units that is expected to be recognized over a weighted-average period of 2.3 years. Our estimated forfeiture rate for restricted stock units was 16.0% as of December 31, 2018.</w:t>
      </w:r>
    </w:p>
    <w:p>
      <w:pPr>
        <w:spacing w:after="0" w:line="3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total fair value of restricted stock units vested and the resulting tax deductions to realized tax benefits were as follows (in millions):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3540" w:type="dxa"/>
            <w:vAlign w:val="bottom"/>
            <w:gridSpan w:val="7"/>
          </w:tcPr>
          <w:p>
            <w:pPr>
              <w:jc w:val="center"/>
              <w:ind w:left="356"/>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440" w:type="dxa"/>
            <w:vAlign w:val="bottom"/>
          </w:tcPr>
          <w:p>
            <w:pPr>
              <w:spacing w:after="0"/>
              <w:rPr>
                <w:sz w:val="18"/>
                <w:szCs w:val="18"/>
                <w:color w:val="auto"/>
              </w:rPr>
            </w:pPr>
          </w:p>
        </w:tc>
      </w:tr>
      <w:tr>
        <w:trPr>
          <w:trHeight w:val="33"/>
        </w:trPr>
        <w:tc>
          <w:tcPr>
            <w:tcW w:w="7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7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440" w:type="dxa"/>
            <w:vAlign w:val="bottom"/>
          </w:tcPr>
          <w:p>
            <w:pPr>
              <w:spacing w:after="0"/>
              <w:rPr>
                <w:sz w:val="20"/>
                <w:szCs w:val="20"/>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restricted stock units vested</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17.0</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tax benefits from tax deductions</w:t>
            </w:r>
          </w:p>
        </w:tc>
        <w:tc>
          <w:tcPr>
            <w:tcW w:w="8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r>
    </w:tbl>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Stock appreciation rights are issued to certain key employees. Each recipient is given the “right” to receive compensation, paid in shares of our common stock, equal to the future appreciation of our common stock price. Stock appreciation rights generally vest in one-third increments beginning on the first anniversary date after the grant date and expire after seven years. Our practice is to issue new shares of common stock or utilize treasury stock to satisfy the exercise of stock appreciation rights.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information on our stock appreciation rights (in millions, except per share data):</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33"/>
        </w:trPr>
        <w:tc>
          <w:tcPr>
            <w:tcW w:w="5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5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for stock appreciation rights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grants, per share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expense for stock appreciation rights is based on the fair value on the date of grant, estimated using the Black-Scholes-Merton valuation model, and is recognized over the service period. We used historical stock price data to estimate the expected volatility. We determined that the recipients of stock appreciation rights can be combined into one employee group that has similar historical exercise behavior and we used our historical pattern of award exercises to estimate the expected life of the awards for the employee group. The risk-free interest rate was based on the zero-coupon U.S. Treasury yield curve with a maturity equal to the expected life of the awards at the time of grant.</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fair value of the stock appreciation rights granted in 2018, 2017 and 2016 were estimated on the date of grant using the following assumptions: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48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30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32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368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3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4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3.99</w:t>
            </w:r>
          </w:p>
        </w:tc>
      </w:tr>
      <w:tr>
        <w:trPr>
          <w:trHeight w:val="702"/>
        </w:trPr>
        <w:tc>
          <w:tcPr>
            <w:tcW w:w="3680" w:type="dxa"/>
            <w:vAlign w:val="bottom"/>
          </w:tcPr>
          <w:p>
            <w:pPr>
              <w:spacing w:after="0"/>
              <w:rPr>
                <w:sz w:val="24"/>
                <w:szCs w:val="24"/>
                <w:color w:val="auto"/>
              </w:rPr>
            </w:pPr>
          </w:p>
        </w:tc>
        <w:tc>
          <w:tcPr>
            <w:tcW w:w="3580" w:type="dxa"/>
            <w:vAlign w:val="bottom"/>
          </w:tcPr>
          <w:p>
            <w:pPr>
              <w:jc w:val="right"/>
              <w:ind w:right="1391"/>
              <w:spacing w:after="0"/>
              <w:rPr>
                <w:sz w:val="20"/>
                <w:szCs w:val="20"/>
                <w:color w:val="auto"/>
              </w:rPr>
            </w:pPr>
            <w:r>
              <w:rPr>
                <w:rFonts w:ascii="Times New Roman" w:cs="Times New Roman" w:eastAsia="Times New Roman" w:hAnsi="Times New Roman"/>
                <w:sz w:val="18"/>
                <w:szCs w:val="18"/>
                <w:color w:val="auto"/>
              </w:rPr>
              <w:t>70</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73" w:name="page74"/>
    <w:bookmarkEnd w:id="73"/>
    <w:p>
      <w:pPr>
        <w:ind w:right="100" w:firstLine="243"/>
        <w:spacing w:after="0" w:line="282" w:lineRule="auto"/>
        <w:rPr>
          <w:sz w:val="20"/>
          <w:szCs w:val="20"/>
          <w:color w:val="auto"/>
        </w:rPr>
      </w:pPr>
      <w:r>
        <w:rPr>
          <w:rFonts w:ascii="Times New Roman" w:cs="Times New Roman" w:eastAsia="Times New Roman" w:hAnsi="Times New Roman"/>
          <w:sz w:val="18"/>
          <w:szCs w:val="18"/>
          <w:color w:val="auto"/>
        </w:rPr>
        <w:t>A summary of our stock appreciation rights as of December 31, 2018, and changes during the year then ended, is presented below (in millions, except per share data):</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r>
      <w:tr>
        <w:trPr>
          <w:trHeight w:val="203"/>
        </w:trPr>
        <w:tc>
          <w:tcPr>
            <w:tcW w:w="8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 per</w:t>
            </w:r>
          </w:p>
        </w:tc>
      </w:tr>
      <w:tr>
        <w:trPr>
          <w:trHeight w:val="245"/>
        </w:trPr>
        <w:tc>
          <w:tcPr>
            <w:tcW w:w="8440" w:type="dxa"/>
            <w:vAlign w:val="bottom"/>
          </w:tcPr>
          <w:p>
            <w:pPr>
              <w:spacing w:after="0"/>
              <w:rPr>
                <w:sz w:val="21"/>
                <w:szCs w:val="21"/>
                <w:color w:val="auto"/>
              </w:rPr>
            </w:pP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 xml:space="preserve">Shares </w:t>
            </w:r>
            <w:r>
              <w:rPr>
                <w:rFonts w:ascii="Times New Roman" w:cs="Times New Roman" w:eastAsia="Times New Roman" w:hAnsi="Times New Roman"/>
                <w:sz w:val="21"/>
                <w:szCs w:val="21"/>
                <w:b w:val="1"/>
                <w:bCs w:val="1"/>
                <w:color w:val="auto"/>
                <w:vertAlign w:val="superscript"/>
              </w:rPr>
              <w:t>(1)</w:t>
            </w:r>
          </w:p>
        </w:tc>
        <w:tc>
          <w:tcPr>
            <w:tcW w:w="320" w:type="dxa"/>
            <w:vAlign w:val="bottom"/>
          </w:tcPr>
          <w:p>
            <w:pPr>
              <w:spacing w:after="0"/>
              <w:rPr>
                <w:sz w:val="21"/>
                <w:szCs w:val="21"/>
                <w:color w:val="auto"/>
              </w:rPr>
            </w:pPr>
          </w:p>
        </w:tc>
        <w:tc>
          <w:tcPr>
            <w:tcW w:w="1160" w:type="dxa"/>
            <w:vAlign w:val="bottom"/>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w w:val="99"/>
              </w:rPr>
              <w:t>Share</w:t>
            </w:r>
          </w:p>
        </w:tc>
      </w:tr>
      <w:tr>
        <w:trPr>
          <w:trHeight w:val="244"/>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appreciation rights as of December 31, 2017</w:t>
            </w:r>
          </w:p>
        </w:tc>
        <w:tc>
          <w:tcPr>
            <w:tcW w:w="13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121.63</w:t>
            </w:r>
          </w:p>
        </w:tc>
      </w:tr>
      <w:tr>
        <w:trPr>
          <w:trHeight w:val="243"/>
        </w:trPr>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214.63</w:t>
            </w:r>
          </w:p>
        </w:tc>
      </w:tr>
      <w:tr>
        <w:trPr>
          <w:trHeight w:val="27"/>
        </w:trPr>
        <w:tc>
          <w:tcPr>
            <w:tcW w:w="8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74.51</w:t>
            </w:r>
          </w:p>
        </w:tc>
      </w:tr>
      <w:tr>
        <w:trPr>
          <w:trHeight w:val="243"/>
        </w:trPr>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appreciation rights as of December 31, 2018</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148.98</w:t>
            </w:r>
          </w:p>
        </w:tc>
      </w:tr>
      <w:tr>
        <w:trPr>
          <w:trHeight w:val="257"/>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stock appreciation rights as of December 31, 2018</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120.52</w:t>
            </w:r>
          </w:p>
        </w:tc>
      </w:tr>
      <w:tr>
        <w:trPr>
          <w:trHeight w:val="20"/>
        </w:trPr>
        <w:tc>
          <w:tcPr>
            <w:tcW w:w="8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80" w:right="20" w:hanging="162"/>
        <w:spacing w:after="0"/>
        <w:tabs>
          <w:tab w:leader="none" w:pos="996"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Share amounts are rounded but the balance of undistributed performance share units as of December 31, 2018 accurately reflects actual units undistributed.</w:t>
      </w:r>
    </w:p>
    <w:p>
      <w:pPr>
        <w:spacing w:after="0" w:line="39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stock appreciation rights outstanding as of December 31, 2018 (in millions, except per share data and years):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 Appreciation Rights Outstanding</w:t>
            </w:r>
          </w:p>
        </w:tc>
        <w:tc>
          <w:tcPr>
            <w:tcW w:w="760" w:type="dxa"/>
            <w:vAlign w:val="bottom"/>
          </w:tcPr>
          <w:p>
            <w:pPr>
              <w:spacing w:after="0"/>
              <w:rPr>
                <w:sz w:val="18"/>
                <w:szCs w:val="18"/>
                <w:color w:val="auto"/>
              </w:rPr>
            </w:pPr>
          </w:p>
        </w:tc>
        <w:tc>
          <w:tcPr>
            <w:tcW w:w="3640" w:type="dxa"/>
            <w:vAlign w:val="bottom"/>
            <w:gridSpan w:val="5"/>
          </w:tcPr>
          <w:p>
            <w:pPr>
              <w:jc w:val="center"/>
              <w:ind w:right="654"/>
              <w:spacing w:after="0"/>
              <w:rPr>
                <w:sz w:val="20"/>
                <w:szCs w:val="20"/>
                <w:color w:val="auto"/>
              </w:rPr>
            </w:pPr>
            <w:r>
              <w:rPr>
                <w:rFonts w:ascii="Times New Roman" w:cs="Times New Roman" w:eastAsia="Times New Roman" w:hAnsi="Times New Roman"/>
                <w:sz w:val="16"/>
                <w:szCs w:val="16"/>
                <w:b w:val="1"/>
                <w:bCs w:val="1"/>
                <w:color w:val="auto"/>
              </w:rPr>
              <w:t>Stock Appreciation Rights Exercisable</w:t>
            </w: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18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160" w:type="dxa"/>
            <w:vAlign w:val="bottom"/>
            <w:gridSpan w:val="2"/>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120" w:type="dxa"/>
            <w:vAlign w:val="bottom"/>
          </w:tcPr>
          <w:p>
            <w:pPr>
              <w:spacing w:after="0"/>
              <w:rPr>
                <w:sz w:val="12"/>
                <w:szCs w:val="12"/>
                <w:color w:val="auto"/>
              </w:rPr>
            </w:pPr>
          </w:p>
        </w:tc>
        <w:tc>
          <w:tcPr>
            <w:tcW w:w="11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80" w:type="dxa"/>
            <w:vAlign w:val="bottom"/>
          </w:tcPr>
          <w:p>
            <w:pPr>
              <w:spacing w:after="0"/>
              <w:rPr>
                <w:sz w:val="12"/>
                <w:szCs w:val="12"/>
                <w:color w:val="auto"/>
              </w:rPr>
            </w:pPr>
          </w:p>
        </w:tc>
        <w:tc>
          <w:tcPr>
            <w:tcW w:w="2120" w:type="dxa"/>
            <w:vAlign w:val="bottom"/>
            <w:gridSpan w:val="2"/>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180" w:type="dxa"/>
            <w:vAlign w:val="bottom"/>
          </w:tcPr>
          <w:p>
            <w:pPr>
              <w:spacing w:after="0"/>
              <w:rPr>
                <w:sz w:val="12"/>
                <w:szCs w:val="12"/>
                <w:color w:val="auto"/>
              </w:rPr>
            </w:pPr>
          </w:p>
        </w:tc>
        <w:tc>
          <w:tcPr>
            <w:tcW w:w="960" w:type="dxa"/>
            <w:vAlign w:val="bottom"/>
          </w:tcPr>
          <w:p>
            <w:pPr>
              <w:jc w:val="right"/>
              <w:ind w:right="174"/>
              <w:spacing w:after="0" w:line="145"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5"/>
        </w:trPr>
        <w:tc>
          <w:tcPr>
            <w:tcW w:w="2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 (in years)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7"/>
              </w:rPr>
              <w:t>Intrinsic Value</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 (in years)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49"/>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$51.11 to $92.64</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7"/>
              </w:rPr>
              <w:t>0.3</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43"/>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$124.97 to $156.94</w:t>
            </w: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0.3</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7"/>
              </w:rPr>
              <w:t>0.3</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$205.53 to $214.63</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0.3</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7"/>
              </w:rPr>
              <w:t>0.1</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As of December 31, 2018, we had $9.7 million of unrecognized compensation cost related to non-vested stock appreciation rights that is expected to be recognized over a weighted-average period of 2.3 years. Our estimated forfeiture rate for stock appreciation rights was 12.9% as of December 31,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stock appreciation rights exercised and the resulting tax deductions to realize tax benefits were as follows (in millions):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3540" w:type="dxa"/>
            <w:vAlign w:val="bottom"/>
            <w:gridSpan w:val="7"/>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440" w:type="dxa"/>
            <w:vAlign w:val="bottom"/>
          </w:tcPr>
          <w:p>
            <w:pPr>
              <w:spacing w:after="0"/>
              <w:rPr>
                <w:sz w:val="18"/>
                <w:szCs w:val="18"/>
                <w:color w:val="auto"/>
              </w:rPr>
            </w:pPr>
          </w:p>
        </w:tc>
      </w:tr>
      <w:tr>
        <w:trPr>
          <w:trHeight w:val="33"/>
        </w:trPr>
        <w:tc>
          <w:tcPr>
            <w:tcW w:w="7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7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440" w:type="dxa"/>
            <w:vAlign w:val="bottom"/>
          </w:tcPr>
          <w:p>
            <w:pPr>
              <w:spacing w:after="0"/>
              <w:rPr>
                <w:sz w:val="20"/>
                <w:szCs w:val="20"/>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stock appreciation rights exercised</w:t>
            </w: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36.9</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tax benefits from tax deductions</w:t>
            </w:r>
          </w:p>
        </w:tc>
        <w:tc>
          <w:tcPr>
            <w:tcW w:w="82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80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14.1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Under the 2012 Employee Stock Purchase Plan (“ESPP”), all employees who meet certain service requirements are eligible to purchase our common stock through payroll deductions at the end of three month offering periods. The purchase price for such shares is 95% of the fair market value of the stock on the last day of the offering period. A maximum of 2.5 million shares is authorized for purchase until the ESPP plan termination date of May 10, 2022, unless terminated earlier at the discretion of the Board of Directors. Employees purchased approximately 15,000 shares under the ESPP during the year ended December 31, 2018. Approximately 2.4 million shares remain available for purchase under the ESPP as of December 31,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 Repurchases: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Board of Directors has authorized a total of $2.5 billion to repurchase of shares of our common stock (collectively referred to as the “Share Repurchase Plans”), including a $500 million share repurchase authorization in March 2018. The Share Repurchase Plans authorize open market repurchase transactions and do not have a stated expiration date. As of December 31, 2018, $446.0 million may be used to repurchase shares under the Share Repurchase Plans.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580" w:right="239" w:bottom="1440" w:gutter="0" w:footer="0" w:header="0"/>
        </w:sectPr>
      </w:pPr>
    </w:p>
    <w:bookmarkStart w:id="74" w:name="page75"/>
    <w:bookmarkEnd w:id="74"/>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February 8, 2018, the Company entered into a Fixed Dollar Accelerated Share Repurchase Transaction (the “ASR Agreement”) with MUFG Securities EMEA plc (“MUFG”), to effect an accelerated stock buyback of our common stock. Under the ASR Agreement, on February 8, 2018, we paid MUFG an initial purchase price of $150.0 million, and MUFG delivered to us common stock, representing approximately 85% of the shares expected to be purchased under the ASR Agreement. The ASR was completed in April of 2018 and MUFG delivered additional shares for a total of 0.7 million shares of common stock repurchased as part of this ASR Agreement.</w:t>
      </w:r>
    </w:p>
    <w:p>
      <w:pPr>
        <w:spacing w:after="0" w:line="18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repurchased 1.0 million shares for $200.2 million in open market transactions during the second quarter of 2018 and 0.5 million shares for $100.0 million in open market transactions during the fourth quarter of 2018.</w:t>
      </w:r>
    </w:p>
    <w:p>
      <w:pPr>
        <w:spacing w:after="0" w:line="16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also repurchased 0.1 million shares for $26.9 million and 0.1 million shares for $26.1 million for the years ended December 31, 2018 and 2017, respectively, from employees who surrendered their shares to satisfy minimum tax withholding obligation upon the vesting of stock-based compensation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Divestitures: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 and Asia Divestiture</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first quarter of 2018, we obtained Board of Directors’ approval and signed an agreement with Beijer Ref AB, a Stockholm Stock Exchange-listed company, for the sale of our Australia and Asia business except for the Milperra property. The Milperra property was sold to another purchaser during the second quarter of 2018. We completed the sale to Beijer Ref AB in the second quarter of 2018 with the final post-completion adjustment being recorded in the third quarter of 2018. The following table summarizes the net loss recognized in connection with this divestiture:</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8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w:t>
            </w: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vMerge w:val="continue"/>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31, 2018</w:t>
            </w:r>
          </w:p>
        </w:tc>
        <w:tc>
          <w:tcPr>
            <w:tcW w:w="0" w:type="dxa"/>
            <w:vAlign w:val="bottom"/>
          </w:tcPr>
          <w:p>
            <w:pPr>
              <w:spacing w:after="0"/>
              <w:rPr>
                <w:sz w:val="1"/>
                <w:szCs w:val="1"/>
                <w:color w:val="auto"/>
              </w:rPr>
            </w:pPr>
          </w:p>
        </w:tc>
      </w:tr>
      <w:tr>
        <w:trPr>
          <w:trHeight w:val="217"/>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from the buyer</w:t>
            </w:r>
          </w:p>
        </w:tc>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33"/>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Net assets sold </w:t>
            </w:r>
            <w:r>
              <w:rPr>
                <w:rFonts w:ascii="Times New Roman" w:cs="Times New Roman" w:eastAsia="Times New Roman" w:hAnsi="Times New Roman"/>
                <w:sz w:val="21"/>
                <w:szCs w:val="21"/>
                <w:color w:val="auto"/>
                <w:vertAlign w:val="superscript"/>
              </w:rPr>
              <w:t>(1)</w:t>
            </w:r>
          </w:p>
        </w:tc>
        <w:tc>
          <w:tcPr>
            <w:tcW w:w="4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224"/>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AOCL reclassification adjustments, primarily foreign currency translation</w:t>
            </w:r>
          </w:p>
        </w:tc>
        <w:tc>
          <w:tcPr>
            <w:tcW w:w="4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33"/>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costs to sell</w:t>
            </w:r>
          </w:p>
        </w:tc>
        <w:tc>
          <w:tcPr>
            <w:tcW w:w="4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44"/>
        </w:trPr>
        <w:tc>
          <w:tcPr>
            <w:tcW w:w="85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Loss on sale of business</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right="20" w:firstLine="494"/>
        <w:spacing w:after="0" w:line="235" w:lineRule="auto"/>
        <w:tabs>
          <w:tab w:leader="none" w:pos="67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$10.3 million of net assets that were written down during the quarter ended March 31, 2018 based on the expected proceeds from the sale, net of selling costs for the sale for our Australia and Asia business.</w:t>
      </w:r>
    </w:p>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Milperra property was sold during the quarter ended June 30, 2018. We received net cash proceeds of $37.2 million net of direct costs to sell of $1.5 million. The net gain recognized in connection with this sale was $23.8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South America Divestiture</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second quarter of 2018, we obtained Board of Directors’ approval and signed an agreement with Elgin SA, a private Brazilian company, for the sale of our South America business. The sale was subject to Brazilian antitrust approval. We obtained antitrust approval and completed the sale to Elgin SA in the third quarter of 2018. The following table summarizes the net loss recognized in connection with this divestiture:</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8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w:t>
            </w: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vMerge w:val="continue"/>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31, 2018</w:t>
            </w:r>
          </w:p>
        </w:tc>
        <w:tc>
          <w:tcPr>
            <w:tcW w:w="0" w:type="dxa"/>
            <w:vAlign w:val="bottom"/>
          </w:tcPr>
          <w:p>
            <w:pPr>
              <w:spacing w:after="0"/>
              <w:rPr>
                <w:sz w:val="1"/>
                <w:szCs w:val="1"/>
                <w:color w:val="auto"/>
              </w:rPr>
            </w:pPr>
          </w:p>
        </w:tc>
      </w:tr>
      <w:tr>
        <w:trPr>
          <w:trHeight w:val="217"/>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from the buyer</w:t>
            </w:r>
          </w:p>
        </w:tc>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33"/>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Net assets sold </w:t>
            </w:r>
            <w:r>
              <w:rPr>
                <w:rFonts w:ascii="Times New Roman" w:cs="Times New Roman" w:eastAsia="Times New Roman" w:hAnsi="Times New Roman"/>
                <w:sz w:val="21"/>
                <w:szCs w:val="21"/>
                <w:color w:val="auto"/>
                <w:vertAlign w:val="superscript"/>
              </w:rPr>
              <w:t>(2)</w:t>
            </w:r>
          </w:p>
        </w:tc>
        <w:tc>
          <w:tcPr>
            <w:tcW w:w="4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24"/>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AOCL reclassification adjustments, primarily foreign currency translation</w:t>
            </w:r>
          </w:p>
        </w:tc>
        <w:tc>
          <w:tcPr>
            <w:tcW w:w="4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33"/>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costs to sell</w:t>
            </w:r>
          </w:p>
        </w:tc>
        <w:tc>
          <w:tcPr>
            <w:tcW w:w="4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44"/>
        </w:trPr>
        <w:tc>
          <w:tcPr>
            <w:tcW w:w="85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Loss on sale of business</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(37.5)</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firstLine="494"/>
        <w:spacing w:after="0" w:line="235" w:lineRule="auto"/>
        <w:tabs>
          <w:tab w:leader="none" w:pos="67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$1.2 million of net assets that were written down during the quarter ended June 30, 2018 based on the expected proceeds from the sale, net of selling costs for the sale for our South America business.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580" w:right="239" w:bottom="1440" w:gutter="0" w:footer="0" w:header="0"/>
        </w:sectPr>
      </w:pPr>
    </w:p>
    <w:bookmarkStart w:id="75" w:name="page76"/>
    <w:bookmarkEnd w:id="75"/>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total Loss (gain), net on sale of businesses and related property in our Consolidated Statements of Operations of $27.0 million is comprised of the $13.3 million loss on the sale of our Australia and Asia business, the $23.8 million gain on the sale of our Milperra property, and the $37.5 million loss on the sale of our South America business.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Restructuring Charges:</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record restructuring charges associated with management-approved restructuring plans to reorganize or to remove duplicative headcount and infrastructure within our businesses. Restructuring charges include severance costs to eliminate a specified number of employees, infrastructure charges to vacate facilities and consolidate operations, contract cancellation costs and other related activities. The timing of associated cash payments is dependent upon the type of restructuring charge and can extend over a multi-year period. Restructuring charges are not included in our calculation of segment profit (loss), as more fully explained in Note 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Activities in 2018</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regarding the restructuring charges for all ongoing activities are presented in the table below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Incurred in 2018</w:t>
            </w:r>
          </w:p>
        </w:tc>
        <w:tc>
          <w:tcPr>
            <w:tcW w:w="14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Incurred to Date</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Total Expected to</w:t>
            </w:r>
          </w:p>
        </w:tc>
        <w:tc>
          <w:tcPr>
            <w:tcW w:w="0" w:type="dxa"/>
            <w:vAlign w:val="bottom"/>
          </w:tcPr>
          <w:p>
            <w:pPr>
              <w:spacing w:after="0"/>
              <w:rPr>
                <w:sz w:val="1"/>
                <w:szCs w:val="1"/>
                <w:color w:val="auto"/>
              </w:rPr>
            </w:pPr>
          </w:p>
        </w:tc>
      </w:tr>
      <w:tr>
        <w:trPr>
          <w:trHeight w:val="200"/>
        </w:trPr>
        <w:tc>
          <w:tcPr>
            <w:tcW w:w="7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be Incurred</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 and related expense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write-offs and accelerated 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termination</w:t>
            </w:r>
          </w:p>
        </w:tc>
        <w:tc>
          <w:tcPr>
            <w:tcW w:w="1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While restructuring charges are excluded from our calculation of segment profit (loss), the table below presents the restructuring charges associated with each segment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Incurred in 2018</w:t>
            </w:r>
          </w:p>
        </w:tc>
        <w:tc>
          <w:tcPr>
            <w:tcW w:w="14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Incurred to Date</w:t>
            </w:r>
          </w:p>
        </w:tc>
        <w:tc>
          <w:tcPr>
            <w:tcW w:w="120" w:type="dxa"/>
            <w:vAlign w:val="bottom"/>
          </w:tcPr>
          <w:p>
            <w:pPr>
              <w:spacing w:after="0"/>
              <w:rPr>
                <w:sz w:val="13"/>
                <w:szCs w:val="13"/>
                <w:color w:val="auto"/>
              </w:rPr>
            </w:pP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Total Expected to</w:t>
            </w:r>
          </w:p>
        </w:tc>
        <w:tc>
          <w:tcPr>
            <w:tcW w:w="0" w:type="dxa"/>
            <w:vAlign w:val="bottom"/>
          </w:tcPr>
          <w:p>
            <w:pPr>
              <w:spacing w:after="0"/>
              <w:rPr>
                <w:sz w:val="1"/>
                <w:szCs w:val="1"/>
                <w:color w:val="auto"/>
              </w:rPr>
            </w:pPr>
          </w:p>
        </w:tc>
      </w:tr>
      <w:tr>
        <w:trPr>
          <w:trHeight w:val="195"/>
        </w:trPr>
        <w:tc>
          <w:tcPr>
            <w:tcW w:w="7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be Incurred</w:t>
            </w:r>
          </w:p>
        </w:tc>
        <w:tc>
          <w:tcPr>
            <w:tcW w:w="0" w:type="dxa"/>
            <w:vAlign w:val="bottom"/>
          </w:tcPr>
          <w:p>
            <w:pPr>
              <w:spacing w:after="0"/>
              <w:rPr>
                <w:sz w:val="1"/>
                <w:szCs w:val="1"/>
                <w:color w:val="auto"/>
              </w:rPr>
            </w:pPr>
          </w:p>
        </w:tc>
      </w:tr>
      <w:tr>
        <w:trPr>
          <w:trHeight w:val="249"/>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1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Refrigeration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&amp; Other</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Restructuring accruals are included in Accrued expenses in the accompanying Consolidated Balance Sheets.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580"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19. Earnings Per Share:</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for Income from continuing operations were as follows (in millions, except per share data):</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7"/>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277.8</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Loss from discontinued operations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Potential effect of diluted securities attributable to stock-based payments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6.39</w:t>
            </w:r>
          </w:p>
        </w:tc>
      </w:tr>
      <w:tr>
        <w:trPr>
          <w:trHeight w:val="67"/>
        </w:trPr>
        <w:tc>
          <w:tcPr>
            <w:tcW w:w="74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78"/>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6.34</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An insignificant number of stock appreciation rights were outstanding but not included in the diluted earnings per share calculation because the assumed exercise of such rights would have been anti-dilutive.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Reportable Business Segments: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Segments</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4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Products or Services</w:t>
            </w:r>
          </w:p>
        </w:tc>
        <w:tc>
          <w:tcPr>
            <w:tcW w:w="100" w:type="dxa"/>
            <w:vAlign w:val="bottom"/>
            <w:tcBorders>
              <w:bottom w:val="single" w:sz="8" w:color="CCEEFF"/>
            </w:tcBorders>
          </w:tcPr>
          <w:p>
            <w:pPr>
              <w:spacing w:after="0"/>
              <w:rPr>
                <w:sz w:val="16"/>
                <w:szCs w:val="16"/>
                <w:color w:val="auto"/>
              </w:rPr>
            </w:pPr>
          </w:p>
        </w:tc>
        <w:tc>
          <w:tcPr>
            <w:tcW w:w="2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Markets Served</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Areas</w:t>
            </w:r>
          </w:p>
        </w:tc>
      </w:tr>
      <w:tr>
        <w:trPr>
          <w:trHeight w:val="221"/>
        </w:trPr>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Residential</w:t>
            </w:r>
          </w:p>
        </w:tc>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Replacement;</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Heating &amp; Cooling</w:t>
            </w:r>
          </w:p>
        </w:tc>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cooling systems, indoor air quality equipment, comfort control</w:t>
            </w: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New Construction</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41"/>
        </w:trPr>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products, replacement parts and supplies</w:t>
            </w:r>
          </w:p>
        </w:tc>
        <w:tc>
          <w:tcPr>
            <w:tcW w:w="2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223"/>
        </w:trPr>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Commercial</w:t>
            </w:r>
          </w:p>
        </w:tc>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Unitary heating and air conditioning equipment, applied</w:t>
            </w: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Light Commercial</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Heating &amp; Cooling</w:t>
            </w:r>
          </w:p>
        </w:tc>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systems, controls, installation and service of commercial</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heating and cooling equipment, variable refrigerant flow</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r>
      <w:tr>
        <w:trPr>
          <w:trHeight w:val="234"/>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commercial products</w:t>
            </w: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5"/>
        </w:trPr>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Refrigeration</w:t>
            </w:r>
          </w:p>
        </w:tc>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Condensing units, unit coolers, fluid coolers, air- cooled</w:t>
            </w: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Light Commercial;</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condensers, air handlers, process chillers, controls,</w:t>
            </w: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Food Preservation;</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compressorized racks, supermarket display cases and systems</w:t>
            </w: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Non-Food/Industrial</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r>
      <w:tr>
        <w:trPr>
          <w:trHeight w:val="216"/>
        </w:trPr>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r>
      <w:tr>
        <w:trPr>
          <w:trHeight w:val="216"/>
        </w:trPr>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America*</w:t>
            </w:r>
          </w:p>
        </w:tc>
      </w:tr>
      <w:tr>
        <w:trPr>
          <w:trHeight w:val="234"/>
        </w:trPr>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Central America</w:t>
            </w:r>
          </w:p>
        </w:tc>
      </w:tr>
      <w:tr>
        <w:trPr>
          <w:trHeight w:val="27"/>
        </w:trPr>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576" w:right="239" w:bottom="1440" w:gutter="0" w:footer="0" w:header="0"/>
          <w:type w:val="continuous"/>
        </w:sectPr>
      </w:pPr>
    </w:p>
    <w:bookmarkStart w:id="77" w:name="page78"/>
    <w:bookmarkEnd w:id="77"/>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businesses in Australia, Asia and South America were sold in the second and third quarters of 2018, respectively. Refer to Note 17 for details regarding the divestiture of the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below details the items excluded.</w:t>
      </w:r>
    </w:p>
    <w:p>
      <w:pPr>
        <w:spacing w:after="0" w:line="17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our business. We recorded these share-based awards as Corporate costs because they are determined at the discretion of the Board of Directors and based on the historical practice of doing so for internal reporting purposes.</w:t>
      </w:r>
    </w:p>
    <w:p>
      <w:pPr>
        <w:spacing w:after="0" w:line="18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Any intercompany sales and associated profit (and any other intercompany items) are eliminated from segment results. There were no significant intercompany eliminations included in the results presented in the table below.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Net sales and segment profit (loss) by segment, along with a reconciliation of segment profit (loss) to Operating income, are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4"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38735</wp:posOffset>
            </wp:positionV>
            <wp:extent cx="21012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25"/>
                <w:szCs w:val="25"/>
                <w:b w:val="1"/>
                <w:bCs w:val="1"/>
                <w:color w:val="auto"/>
                <w:vertAlign w:val="superscript"/>
              </w:rPr>
              <w:t>(1)</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917.9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Refrigeration</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3,641.6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Segment profit (loss) </w:t>
            </w:r>
            <w:r>
              <w:rPr>
                <w:rFonts w:ascii="Times New Roman" w:cs="Times New Roman" w:eastAsia="Times New Roman" w:hAnsi="Times New Roman"/>
                <w:sz w:val="25"/>
                <w:szCs w:val="25"/>
                <w:b w:val="1"/>
                <w:bCs w:val="1"/>
                <w:color w:val="auto"/>
                <w:vertAlign w:val="superscript"/>
              </w:rPr>
              <w:t>(2)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Refrigeration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segment profit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 inventory write down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product quality adjustments</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(gain), net on sale of businesses and related property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from insurance recoveries, net of losses incurred</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Items in (Gains) Losses and other expenses, net that are excluded from segment profit (loss)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509.5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494.5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429.4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20" w:hanging="169"/>
        <w:spacing w:after="0" w:line="218" w:lineRule="auto"/>
        <w:tabs>
          <w:tab w:leader="none" w:pos="458"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On a consolidated basis, no revenue from transactions with a single customer were 10% or greater of our consolidated net sales for any of the periods presented.</w:t>
      </w:r>
    </w:p>
    <w:p>
      <w:pPr>
        <w:spacing w:after="0" w:line="1" w:lineRule="exact"/>
        <w:rPr>
          <w:rFonts w:ascii="Times New Roman" w:cs="Times New Roman" w:eastAsia="Times New Roman" w:hAnsi="Times New Roman"/>
          <w:sz w:val="25"/>
          <w:szCs w:val="25"/>
          <w:color w:val="auto"/>
          <w:vertAlign w:val="superscript"/>
        </w:rPr>
      </w:pPr>
    </w:p>
    <w:p>
      <w:pPr>
        <w:ind w:left="420" w:hanging="169"/>
        <w:spacing w:after="0" w:line="214" w:lineRule="auto"/>
        <w:tabs>
          <w:tab w:leader="none" w:pos="4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We define segment profit (loss) as a segment’s operating income included in the accompanying Consolidated Statements of Operations, excluding:</w:t>
      </w:r>
    </w:p>
    <w:p>
      <w:pPr>
        <w:spacing w:after="0" w:line="2" w:lineRule="exact"/>
        <w:rPr>
          <w:rFonts w:ascii="Times New Roman" w:cs="Times New Roman" w:eastAsia="Times New Roman" w:hAnsi="Times New Roman"/>
          <w:sz w:val="21"/>
          <w:szCs w:val="21"/>
          <w:color w:val="auto"/>
          <w:vertAlign w:val="superscript"/>
        </w:rPr>
      </w:pPr>
    </w:p>
    <w:p>
      <w:pPr>
        <w:ind w:left="740" w:hanging="246"/>
        <w:spacing w:after="0"/>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 Losses (gains) and other expenses, net:</w:t>
      </w:r>
    </w:p>
    <w:p>
      <w:pPr>
        <w:spacing w:after="0" w:line="7" w:lineRule="exact"/>
        <w:rPr>
          <w:rFonts w:ascii="Times New Roman" w:cs="Times New Roman" w:eastAsia="Times New Roman" w:hAnsi="Times New Roman"/>
          <w:sz w:val="18"/>
          <w:szCs w:val="18"/>
          <w:color w:val="auto"/>
        </w:rPr>
      </w:pPr>
    </w:p>
    <w:p>
      <w:pPr>
        <w:ind w:left="1380" w:hanging="238"/>
        <w:spacing w:after="0"/>
        <w:tabs>
          <w:tab w:leader="none" w:pos="138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losses (gains) on unsettled futures contracts,</w:t>
      </w:r>
    </w:p>
    <w:p>
      <w:pPr>
        <w:spacing w:after="0" w:line="9" w:lineRule="exact"/>
        <w:rPr>
          <w:rFonts w:ascii="Times New Roman" w:cs="Times New Roman" w:eastAsia="Times New Roman" w:hAnsi="Times New Roman"/>
          <w:sz w:val="18"/>
          <w:szCs w:val="18"/>
          <w:color w:val="auto"/>
        </w:rPr>
      </w:pPr>
    </w:p>
    <w:p>
      <w:pPr>
        <w:ind w:left="1380" w:hanging="238"/>
        <w:spacing w:after="0"/>
        <w:tabs>
          <w:tab w:leader="none" w:pos="138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legal contingency charges,</w:t>
      </w:r>
    </w:p>
    <w:p>
      <w:pPr>
        <w:spacing w:after="0" w:line="9" w:lineRule="exact"/>
        <w:rPr>
          <w:rFonts w:ascii="Times New Roman" w:cs="Times New Roman" w:eastAsia="Times New Roman" w:hAnsi="Times New Roman"/>
          <w:sz w:val="18"/>
          <w:szCs w:val="18"/>
          <w:color w:val="auto"/>
        </w:rPr>
      </w:pPr>
    </w:p>
    <w:p>
      <w:pPr>
        <w:ind w:left="1380" w:hanging="238"/>
        <w:spacing w:after="0"/>
        <w:tabs>
          <w:tab w:leader="none" w:pos="138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Asbestos-related litigation,</w:t>
      </w:r>
    </w:p>
    <w:p>
      <w:pPr>
        <w:spacing w:after="0" w:line="9" w:lineRule="exact"/>
        <w:rPr>
          <w:rFonts w:ascii="Times New Roman" w:cs="Times New Roman" w:eastAsia="Times New Roman" w:hAnsi="Times New Roman"/>
          <w:sz w:val="18"/>
          <w:szCs w:val="18"/>
          <w:color w:val="auto"/>
        </w:rPr>
      </w:pPr>
    </w:p>
    <w:p>
      <w:pPr>
        <w:ind w:left="1380" w:hanging="238"/>
        <w:spacing w:after="0"/>
        <w:tabs>
          <w:tab w:leader="none" w:pos="138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9" w:lineRule="exact"/>
        <w:rPr>
          <w:rFonts w:ascii="Times New Roman" w:cs="Times New Roman" w:eastAsia="Times New Roman" w:hAnsi="Times New Roman"/>
          <w:sz w:val="18"/>
          <w:szCs w:val="18"/>
          <w:color w:val="auto"/>
        </w:rPr>
      </w:pPr>
    </w:p>
    <w:p>
      <w:pPr>
        <w:ind w:left="1380" w:hanging="238"/>
        <w:spacing w:after="0"/>
        <w:tabs>
          <w:tab w:leader="none" w:pos="138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tax payments,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580" w:right="239" w:bottom="1440" w:gutter="0" w:footer="0" w:header="0"/>
        </w:sectPr>
      </w:pPr>
    </w:p>
    <w:bookmarkStart w:id="78" w:name="page79"/>
    <w:bookmarkEnd w:id="78"/>
    <w:p>
      <w:pPr>
        <w:ind w:left="1380" w:hanging="238"/>
        <w:spacing w:after="0"/>
        <w:tabs>
          <w:tab w:leader="none" w:pos="13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net,</w:t>
      </w:r>
    </w:p>
    <w:p>
      <w:pPr>
        <w:spacing w:after="0" w:line="2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inventory write down,</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(gain), net on sale of businesses and related property,</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from insurance recoveries, net of losses incurred</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product quality adjustment,</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and,</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assets by segment are shown below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837.4</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673.4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385.8</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Refrigeration</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442.8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258.3</w:t>
            </w:r>
          </w:p>
        </w:tc>
      </w:tr>
      <w:tr>
        <w:trPr>
          <w:trHeight w:val="257"/>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1,817.2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1,891.5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1,760.3</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assets in the Corporate and other segment primarily consist of cash, short-term investments and deferred tax assets. Assets recorded in the operating segments represent those assets directly associated with those segments.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capital expenditures by segment are shown below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40" w:type="dxa"/>
            <w:vAlign w:val="bottom"/>
            <w:gridSpan w:val="6"/>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4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440" w:type="dxa"/>
            <w:vAlign w:val="bottom"/>
          </w:tcPr>
          <w:p>
            <w:pPr>
              <w:spacing w:after="0"/>
              <w:rPr>
                <w:sz w:val="20"/>
                <w:szCs w:val="20"/>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80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1"/>
                <w:szCs w:val="21"/>
                <w:color w:val="auto"/>
              </w:rPr>
            </w:pPr>
          </w:p>
        </w:tc>
        <w:tc>
          <w:tcPr>
            <w:tcW w:w="82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38.9</w:t>
            </w:r>
          </w:p>
        </w:tc>
        <w:tc>
          <w:tcPr>
            <w:tcW w:w="100" w:type="dxa"/>
            <w:vAlign w:val="bottom"/>
          </w:tcPr>
          <w:p>
            <w:pPr>
              <w:spacing w:after="0"/>
              <w:rPr>
                <w:sz w:val="21"/>
                <w:szCs w:val="21"/>
                <w:color w:val="auto"/>
              </w:rPr>
            </w:pPr>
          </w:p>
        </w:tc>
        <w:tc>
          <w:tcPr>
            <w:tcW w:w="82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Refrigeration</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r>
      <w:tr>
        <w:trPr>
          <w:trHeight w:val="264"/>
        </w:trPr>
        <w:tc>
          <w:tcPr>
            <w:tcW w:w="7440" w:type="dxa"/>
            <w:vAlign w:val="bottom"/>
          </w:tcPr>
          <w:p>
            <w:pPr>
              <w:ind w:left="280"/>
              <w:spacing w:after="0" w:line="264" w:lineRule="exact"/>
              <w:rPr>
                <w:sz w:val="20"/>
                <w:szCs w:val="20"/>
                <w:color w:val="auto"/>
              </w:rPr>
            </w:pPr>
            <w:r>
              <w:rPr>
                <w:rFonts w:ascii="Times New Roman" w:cs="Times New Roman" w:eastAsia="Times New Roman" w:hAnsi="Times New Roman"/>
                <w:sz w:val="18"/>
                <w:szCs w:val="18"/>
                <w:color w:val="auto"/>
              </w:rPr>
              <w:t xml:space="preserve">Total capital expenditures </w:t>
            </w:r>
            <w:r>
              <w:rPr>
                <w:rFonts w:ascii="Times New Roman" w:cs="Times New Roman" w:eastAsia="Times New Roman" w:hAnsi="Times New Roman"/>
                <w:sz w:val="25"/>
                <w:szCs w:val="25"/>
                <w:color w:val="auto"/>
                <w:vertAlign w:val="superscript"/>
              </w:rPr>
              <w:t>(1)</w:t>
            </w:r>
          </w:p>
        </w:tc>
        <w:tc>
          <w:tcPr>
            <w:tcW w:w="80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98.3</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r>
      <w:tr>
        <w:trPr>
          <w:trHeight w:val="20"/>
        </w:trPr>
        <w:tc>
          <w:tcPr>
            <w:tcW w:w="7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760" w:hanging="185"/>
        <w:spacing w:after="0"/>
        <w:tabs>
          <w:tab w:leader="none" w:pos="76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amounts recorded under capital leases. There were no significant new capital leases in 2018, 2017 or 2016.</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expenses by segment are shown below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80" w:type="dxa"/>
            <w:vAlign w:val="bottom"/>
            <w:gridSpan w:val="7"/>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40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3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Refrigeration</w:t>
            </w:r>
          </w:p>
        </w:tc>
        <w:tc>
          <w:tcPr>
            <w:tcW w:w="3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57"/>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2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0" w:type="dxa"/>
            <w:vAlign w:val="bottom"/>
            <w:vMerge w:val="restart"/>
          </w:tcPr>
          <w:p>
            <w:pPr>
              <w:jc w:val="right"/>
              <w:ind w:right="1553"/>
              <w:spacing w:after="0"/>
              <w:rPr>
                <w:sz w:val="20"/>
                <w:szCs w:val="20"/>
                <w:color w:val="auto"/>
              </w:rPr>
            </w:pPr>
            <w:r>
              <w:rPr>
                <w:rFonts w:ascii="Times New Roman" w:cs="Times New Roman" w:eastAsia="Times New Roman" w:hAnsi="Times New Roman"/>
                <w:sz w:val="18"/>
                <w:szCs w:val="18"/>
                <w:color w:val="auto"/>
              </w:rPr>
              <w:t>76</w:t>
            </w: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9" w:name="page80"/>
    <w:bookmarkEnd w:id="79"/>
    <w:p>
      <w:pPr>
        <w:ind w:left="240"/>
        <w:spacing w:after="0"/>
        <w:rPr>
          <w:sz w:val="20"/>
          <w:szCs w:val="20"/>
          <w:color w:val="auto"/>
        </w:rPr>
      </w:pPr>
      <w:r>
        <w:rPr>
          <w:rFonts w:ascii="Times New Roman" w:cs="Times New Roman" w:eastAsia="Times New Roman" w:hAnsi="Times New Roman"/>
          <w:sz w:val="18"/>
          <w:szCs w:val="18"/>
          <w:color w:val="auto"/>
        </w:rPr>
        <w:t>The equity method investments are shown below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7"/>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Equity Method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Refrigeration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income from equity method investments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7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sales for each major geographic area in which we operate are shown below (in millions):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 to External Customers by Point of Shipment: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3,275.9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3,128.7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2,966.8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net sales to external customers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3,883.9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3,839.6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3,641.6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for each major geographic area in which we operate, based on the domicile of our operations, are shown below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293.3</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Mexico</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53.0</w:t>
            </w:r>
          </w:p>
        </w:tc>
      </w:tr>
      <w:tr>
        <w:trPr>
          <w:trHeight w:val="257"/>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397.8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361.4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Fair Value Measurements: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the following three-level hierarchy for fair value measurements:</w:t>
      </w:r>
    </w:p>
    <w:p>
      <w:pPr>
        <w:spacing w:after="0" w:line="178"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Quoted prices for </w:t>
      </w:r>
      <w:r>
        <w:rPr>
          <w:rFonts w:ascii="Times New Roman" w:cs="Times New Roman" w:eastAsia="Times New Roman" w:hAnsi="Times New Roman"/>
          <w:sz w:val="18"/>
          <w:szCs w:val="18"/>
          <w:i w:val="1"/>
          <w:iCs w:val="1"/>
          <w:color w:val="auto"/>
        </w:rPr>
        <w:t>identical</w:t>
      </w:r>
      <w:r>
        <w:rPr>
          <w:rFonts w:ascii="Times New Roman" w:cs="Times New Roman" w:eastAsia="Times New Roman" w:hAnsi="Times New Roman"/>
          <w:sz w:val="18"/>
          <w:szCs w:val="18"/>
          <w:color w:val="auto"/>
        </w:rPr>
        <w:t xml:space="preserve"> instruments in active markets at the measurement date.</w:t>
      </w:r>
    </w:p>
    <w:p>
      <w:pPr>
        <w:spacing w:after="0" w:line="225" w:lineRule="exact"/>
        <w:rPr>
          <w:sz w:val="20"/>
          <w:szCs w:val="20"/>
          <w:color w:val="auto"/>
        </w:rPr>
      </w:pPr>
    </w:p>
    <w:p>
      <w:pPr>
        <w:jc w:val="both"/>
        <w:ind w:left="1300" w:right="20" w:hanging="890"/>
        <w:spacing w:after="0" w:line="267"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2 -</w:t>
      </w:r>
      <w:r>
        <w:rPr>
          <w:sz w:val="20"/>
          <w:szCs w:val="20"/>
          <w:color w:val="auto"/>
        </w:rPr>
        <w:tab/>
      </w:r>
      <w:r>
        <w:rPr>
          <w:rFonts w:ascii="Times New Roman" w:cs="Times New Roman" w:eastAsia="Times New Roman" w:hAnsi="Times New Roman"/>
          <w:sz w:val="18"/>
          <w:szCs w:val="18"/>
          <w:color w:val="auto"/>
        </w:rPr>
        <w:t xml:space="preserve">Quoted prices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instruments in active markets; quoted prices for identical or similar instruments in markets that are not active; and model-derived valuations in which all significant inputs and significant value drivers are </w:t>
      </w:r>
      <w:r>
        <w:rPr>
          <w:rFonts w:ascii="Times New Roman" w:cs="Times New Roman" w:eastAsia="Times New Roman" w:hAnsi="Times New Roman"/>
          <w:sz w:val="18"/>
          <w:szCs w:val="18"/>
          <w:i w:val="1"/>
          <w:iCs w:val="1"/>
          <w:color w:val="auto"/>
        </w:rPr>
        <w:t>observable</w:t>
      </w:r>
      <w:r>
        <w:rPr>
          <w:rFonts w:ascii="Times New Roman" w:cs="Times New Roman" w:eastAsia="Times New Roman" w:hAnsi="Times New Roman"/>
          <w:sz w:val="18"/>
          <w:szCs w:val="18"/>
          <w:color w:val="auto"/>
        </w:rPr>
        <w:t xml:space="preserve"> in active markets at the measurement date and for the anticipated term of the instrument.</w:t>
      </w:r>
    </w:p>
    <w:p>
      <w:pPr>
        <w:spacing w:after="0" w:line="174" w:lineRule="exact"/>
        <w:rPr>
          <w:sz w:val="20"/>
          <w:szCs w:val="20"/>
          <w:color w:val="auto"/>
        </w:rPr>
      </w:pPr>
    </w:p>
    <w:p>
      <w:pPr>
        <w:jc w:val="both"/>
        <w:ind w:left="1300" w:hanging="890"/>
        <w:spacing w:after="0" w:line="267"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Valuations derived from valuation techniques in which one or more significant inputs or significant value drivers are </w:t>
      </w:r>
      <w:r>
        <w:rPr>
          <w:rFonts w:ascii="Times New Roman" w:cs="Times New Roman" w:eastAsia="Times New Roman" w:hAnsi="Times New Roman"/>
          <w:sz w:val="18"/>
          <w:szCs w:val="18"/>
          <w:i w:val="1"/>
          <w:iCs w:val="1"/>
          <w:color w:val="auto"/>
        </w:rPr>
        <w:t>unobservable</w:t>
      </w:r>
      <w:r>
        <w:rPr>
          <w:rFonts w:ascii="Times New Roman" w:cs="Times New Roman" w:eastAsia="Times New Roman" w:hAnsi="Times New Roman"/>
          <w:sz w:val="18"/>
          <w:szCs w:val="18"/>
          <w:color w:val="auto"/>
        </w:rPr>
        <w:t xml:space="preserve"> inputs that reflect the reporting entity’s own assumptions about the assumptions market participants would use in pricing the asset or liability developed based on the best information available in the circumstances.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580" w:right="239" w:bottom="1440" w:gutter="0" w:footer="0" w:header="0"/>
          <w:type w:val="continuous"/>
        </w:sectPr>
      </w:pPr>
    </w:p>
    <w:bookmarkStart w:id="80" w:name="page81"/>
    <w:bookmarkEnd w:id="80"/>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2018 and 2017, the measurement dates. The methodologies used to determine the fair value of our financial assets and liabilities as of December 31, 2018 were the same as those used as of December 31, 2017.</w:t>
      </w:r>
    </w:p>
    <w:p>
      <w:pPr>
        <w:spacing w:after="0" w:line="1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Fair values are estimates and are not necessarily indicative of amounts for which we could settle such instruments currently nor indicative of our intent or ability to dispose of or liquidate them.</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Derivatives, classified as Level 2, were primarily valued using estimated future cash flows based on observed prices from exchange-traded derivatives. We also considered the counterparty’s creditworthiness, or our own creditworthiness, as appropriate. Adjustments were recorded to reflect the risk of credit default, but they were insignificant to the overall value of the derivatives. Refer to Note 9 for more information related to our derivative instruments.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Marketable Equity Securities</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fair values of an investment in marketable equity securities, related to publicly traded stock of a non-U.S. company, recorded in Other assets, net in the accompanying Consolidated Balance Sheets (in millions).This investment was sold as part of the divestiture of our Australia and Asia business. Refer to Note 17 for details regarding divestiture of the business.</w:t>
      </w:r>
    </w:p>
    <w:p>
      <w:pPr>
        <w:spacing w:after="0" w:line="13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38735</wp:posOffset>
            </wp:positionV>
            <wp:extent cx="19551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p>
      <w:pPr>
        <w:ind w:left="8920"/>
        <w:spacing w:after="0"/>
        <w:tabs>
          <w:tab w:leader="none" w:pos="10500" w:val="left"/>
        </w:tabs>
        <w:rPr>
          <w:sz w:val="20"/>
          <w:szCs w:val="20"/>
          <w:color w:val="auto"/>
        </w:rPr>
      </w:pPr>
      <w:r>
        <w:rPr>
          <w:rFonts w:ascii="Times New Roman" w:cs="Times New Roman" w:eastAsia="Times New Roman" w:hAnsi="Times New Roman"/>
          <w:sz w:val="16"/>
          <w:szCs w:val="16"/>
          <w:b w:val="1"/>
          <w:bCs w:val="1"/>
          <w:color w:val="auto"/>
        </w:rPr>
        <w:t>2018</w:t>
      </w:r>
      <w:r>
        <w:rPr>
          <w:sz w:val="20"/>
          <w:szCs w:val="20"/>
          <w:color w:val="auto"/>
        </w:rPr>
        <w:tab/>
      </w:r>
      <w:r>
        <w:rPr>
          <w:rFonts w:ascii="Times New Roman" w:cs="Times New Roman" w:eastAsia="Times New Roman" w:hAnsi="Times New Roman"/>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Quoted Prices in Active Markets for Identical Assets (Level 1):</w:t>
      </w:r>
    </w:p>
    <w:p>
      <w:pPr>
        <w:spacing w:after="0" w:line="81" w:lineRule="exact"/>
        <w:rPr>
          <w:sz w:val="20"/>
          <w:szCs w:val="20"/>
          <w:color w:val="auto"/>
        </w:rPr>
      </w:pPr>
    </w:p>
    <w:p>
      <w:pPr>
        <w:ind w:left="40"/>
        <w:spacing w:after="0"/>
        <w:tabs>
          <w:tab w:leader="none" w:pos="8340" w:val="left"/>
          <w:tab w:leader="none" w:pos="9540" w:val="left"/>
          <w:tab w:leader="none" w:pos="9960" w:val="left"/>
          <w:tab w:leader="none" w:pos="11060" w:val="left"/>
        </w:tabs>
        <w:rPr>
          <w:sz w:val="20"/>
          <w:szCs w:val="20"/>
          <w:color w:val="auto"/>
        </w:rPr>
      </w:pPr>
      <w:r>
        <w:rPr>
          <w:rFonts w:ascii="Times New Roman" w:cs="Times New Roman" w:eastAsia="Times New Roman" w:hAnsi="Times New Roman"/>
          <w:sz w:val="18"/>
          <w:szCs w:val="18"/>
          <w:color w:val="auto"/>
        </w:rPr>
        <w:t>Investment in marketable equity securities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4.1</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and notes receivable, net, Accounts payable, Other current liabilities, and Short-term debt approximate fair value due to the short maturities of these instruments. The carrying amount of our Domestic Credit Facility in Long-term debt also approximates fair value due to its variable-rate characteristics.</w:t>
      </w:r>
    </w:p>
    <w:p>
      <w:pPr>
        <w:spacing w:after="0" w:line="17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was based on the amount of future cash flows using current market rates for debt instruments of similar maturities and credit risk. The following table presents the fair value for our senior unsecured notes in Long-term debt (in millions):</w:t>
      </w:r>
    </w:p>
    <w:p>
      <w:pPr>
        <w:spacing w:after="0" w:line="124"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38735</wp:posOffset>
            </wp:positionV>
            <wp:extent cx="19037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0" w:lineRule="exact"/>
        <w:rPr>
          <w:sz w:val="20"/>
          <w:szCs w:val="20"/>
          <w:color w:val="auto"/>
        </w:rPr>
      </w:pPr>
    </w:p>
    <w:p>
      <w:pPr>
        <w:ind w:left="8820"/>
        <w:spacing w:after="0"/>
        <w:tabs>
          <w:tab w:leader="none" w:pos="10360" w:val="left"/>
        </w:tabs>
        <w:rPr>
          <w:sz w:val="20"/>
          <w:szCs w:val="20"/>
          <w:color w:val="auto"/>
        </w:rPr>
      </w:pPr>
      <w:r>
        <w:rPr>
          <w:rFonts w:ascii="Times New Roman" w:cs="Times New Roman" w:eastAsia="Times New Roman" w:hAnsi="Times New Roman"/>
          <w:sz w:val="16"/>
          <w:szCs w:val="16"/>
          <w:b w:val="1"/>
          <w:bCs w:val="1"/>
          <w:color w:val="auto"/>
        </w:rPr>
        <w:t>2018</w:t>
      </w:r>
      <w:r>
        <w:rPr>
          <w:sz w:val="20"/>
          <w:szCs w:val="20"/>
          <w:color w:val="auto"/>
        </w:rPr>
        <w:tab/>
      </w:r>
      <w:r>
        <w:rPr>
          <w:rFonts w:ascii="Times New Roman" w:cs="Times New Roman" w:eastAsia="Times New Roman" w:hAnsi="Times New Roman"/>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38735</wp:posOffset>
            </wp:positionV>
            <wp:extent cx="704088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40880" cy="180340"/>
                    </a:xfrm>
                    <a:prstGeom prst="rect">
                      <a:avLst/>
                    </a:prstGeom>
                    <a:noFill/>
                  </pic:spPr>
                </pic:pic>
              </a:graphicData>
            </a:graphic>
          </wp:anchor>
        </w:drawing>
      </w:r>
    </w:p>
    <w:p>
      <w:pPr>
        <w:spacing w:after="0" w:line="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Quoted Prices in Active Markets for Similar Instruments (Level 2):</w:t>
      </w:r>
    </w:p>
    <w:p>
      <w:pPr>
        <w:spacing w:after="0" w:line="81" w:lineRule="exact"/>
        <w:rPr>
          <w:sz w:val="20"/>
          <w:szCs w:val="20"/>
          <w:color w:val="auto"/>
        </w:rPr>
      </w:pPr>
    </w:p>
    <w:p>
      <w:pPr>
        <w:ind w:left="200"/>
        <w:spacing w:after="0"/>
        <w:tabs>
          <w:tab w:leader="none" w:pos="8260" w:val="left"/>
          <w:tab w:leader="none" w:pos="9180" w:val="left"/>
          <w:tab w:leader="none" w:pos="9820" w:val="left"/>
          <w:tab w:leader="none" w:pos="10720" w:val="left"/>
        </w:tabs>
        <w:rPr>
          <w:sz w:val="20"/>
          <w:szCs w:val="20"/>
          <w:color w:val="auto"/>
        </w:rPr>
      </w:pPr>
      <w:r>
        <w:rPr>
          <w:rFonts w:ascii="Times New Roman" w:cs="Times New Roman" w:eastAsia="Times New Roman" w:hAnsi="Times New Roman"/>
          <w:sz w:val="18"/>
          <w:szCs w:val="18"/>
          <w:color w:val="auto"/>
        </w:rPr>
        <w:t>Senior unsecured notes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302.9</w:t>
        <w:tab/>
        <w:t>$</w:t>
      </w:r>
      <w:r>
        <w:rPr>
          <w:sz w:val="20"/>
          <w:szCs w:val="20"/>
          <w:color w:val="auto"/>
        </w:rPr>
        <w:tab/>
      </w:r>
      <w:r>
        <w:rPr>
          <w:rFonts w:ascii="Times New Roman" w:cs="Times New Roman" w:eastAsia="Times New Roman" w:hAnsi="Times New Roman"/>
          <w:sz w:val="18"/>
          <w:szCs w:val="18"/>
          <w:color w:val="auto"/>
        </w:rPr>
        <w:t>308.1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580"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22. Selected Quarterly Financial Information (unaudited)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23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on Net sales, Gross profit, Net income, Earnings per share and Cash dividends declared per share by quarter (in millions, except per share data):</w:t>
      </w:r>
    </w:p>
    <w:p>
      <w:pPr>
        <w:spacing w:after="0" w:line="124" w:lineRule="exact"/>
        <w:rPr>
          <w:sz w:val="20"/>
          <w:szCs w:val="20"/>
          <w:color w:val="auto"/>
        </w:rPr>
      </w:pPr>
    </w:p>
    <w:tbl>
      <w:tblPr>
        <w:tblLayout w:type="fixed"/>
        <w:tblInd w:w="480" w:type="dxa"/>
        <w:tblCellMar>
          <w:top w:w="0" w:type="dxa"/>
          <w:left w:w="0" w:type="dxa"/>
          <w:bottom w:w="0" w:type="dxa"/>
          <w:right w:w="0" w:type="dxa"/>
        </w:tblCellMar>
      </w:tblPr>
      <w:tr>
        <w:trPr>
          <w:trHeight w:val="245"/>
        </w:trPr>
        <w:tc>
          <w:tcPr>
            <w:tcW w:w="2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3"/>
          </w:tcPr>
          <w:p>
            <w:pPr>
              <w:jc w:val="center"/>
              <w:ind w:left="393"/>
              <w:spacing w:after="0"/>
              <w:rPr>
                <w:sz w:val="20"/>
                <w:szCs w:val="20"/>
                <w:color w:val="auto"/>
              </w:rPr>
            </w:pPr>
            <w:r>
              <w:rPr>
                <w:rFonts w:ascii="Times New Roman" w:cs="Times New Roman" w:eastAsia="Times New Roman" w:hAnsi="Times New Roman"/>
                <w:sz w:val="16"/>
                <w:szCs w:val="16"/>
                <w:b w:val="1"/>
                <w:bCs w:val="1"/>
                <w:color w:val="auto"/>
                <w:w w:val="96"/>
              </w:rPr>
              <w:t xml:space="preserve">Net Sales </w:t>
            </w:r>
            <w:r>
              <w:rPr>
                <w:rFonts w:ascii="Times New Roman" w:cs="Times New Roman" w:eastAsia="Times New Roman" w:hAnsi="Times New Roman"/>
                <w:sz w:val="21"/>
                <w:szCs w:val="21"/>
                <w:b w:val="1"/>
                <w:bCs w:val="1"/>
                <w:color w:val="auto"/>
                <w:w w:val="96"/>
                <w:vertAlign w:val="superscript"/>
              </w:rPr>
              <w:t>(1)</w:t>
            </w: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7"/>
              </w:rPr>
              <w:t xml:space="preserve">Gross Profit </w:t>
            </w:r>
            <w:r>
              <w:rPr>
                <w:rFonts w:ascii="Times New Roman" w:cs="Times New Roman" w:eastAsia="Times New Roman" w:hAnsi="Times New Roman"/>
                <w:sz w:val="21"/>
                <w:szCs w:val="21"/>
                <w:b w:val="1"/>
                <w:bCs w:val="1"/>
                <w:color w:val="auto"/>
                <w:w w:val="97"/>
                <w:vertAlign w:val="superscript"/>
              </w:rPr>
              <w:t>(1)</w:t>
            </w:r>
          </w:p>
        </w:tc>
        <w:tc>
          <w:tcPr>
            <w:tcW w:w="180" w:type="dxa"/>
            <w:vAlign w:val="bottom"/>
          </w:tcPr>
          <w:p>
            <w:pPr>
              <w:spacing w:after="0"/>
              <w:rPr>
                <w:sz w:val="21"/>
                <w:szCs w:val="21"/>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Net Income </w:t>
            </w:r>
            <w:r>
              <w:rPr>
                <w:rFonts w:ascii="Times New Roman" w:cs="Times New Roman" w:eastAsia="Times New Roman" w:hAnsi="Times New Roman"/>
                <w:sz w:val="21"/>
                <w:szCs w:val="21"/>
                <w:b w:val="1"/>
                <w:bCs w:val="1"/>
                <w:color w:val="auto"/>
                <w:vertAlign w:val="superscript"/>
              </w:rPr>
              <w:t>(1)</w:t>
            </w:r>
          </w:p>
        </w:tc>
        <w:tc>
          <w:tcPr>
            <w:tcW w:w="740" w:type="dxa"/>
            <w:vAlign w:val="bottom"/>
          </w:tcPr>
          <w:p>
            <w:pPr>
              <w:spacing w:after="0"/>
              <w:rPr>
                <w:sz w:val="21"/>
                <w:szCs w:val="21"/>
                <w:color w:val="auto"/>
              </w:rPr>
            </w:pPr>
          </w:p>
        </w:tc>
      </w:tr>
      <w:tr>
        <w:trPr>
          <w:trHeight w:val="231"/>
        </w:trPr>
        <w:tc>
          <w:tcPr>
            <w:tcW w:w="25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2017</w:t>
            </w: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834.8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223.2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7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1,175.4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361.6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7"/>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1,030.2</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301.9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2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843.6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224.5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592"/>
        </w:trPr>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left="393"/>
              <w:spacing w:after="0"/>
              <w:rPr>
                <w:sz w:val="20"/>
                <w:szCs w:val="20"/>
                <w:color w:val="auto"/>
              </w:rPr>
            </w:pPr>
            <w:r>
              <w:rPr>
                <w:rFonts w:ascii="Times New Roman" w:cs="Times New Roman" w:eastAsia="Times New Roman" w:hAnsi="Times New Roman"/>
                <w:sz w:val="16"/>
                <w:szCs w:val="16"/>
                <w:b w:val="1"/>
                <w:bCs w:val="1"/>
                <w:color w:val="auto"/>
              </w:rPr>
              <w:t>Basic Earnings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Diluted Earnings</w:t>
            </w:r>
          </w:p>
        </w:tc>
        <w:tc>
          <w:tcPr>
            <w:tcW w:w="180" w:type="dxa"/>
            <w:vAlign w:val="bottom"/>
          </w:tcPr>
          <w:p>
            <w:pPr>
              <w:spacing w:after="0"/>
              <w:rPr>
                <w:sz w:val="24"/>
                <w:szCs w:val="24"/>
                <w:color w:val="auto"/>
              </w:rPr>
            </w:pPr>
          </w:p>
        </w:tc>
        <w:tc>
          <w:tcPr>
            <w:tcW w:w="2320" w:type="dxa"/>
            <w:vAlign w:val="bottom"/>
            <w:gridSpan w:val="5"/>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Cash Dividends per Common</w:t>
            </w:r>
          </w:p>
        </w:tc>
      </w:tr>
      <w:tr>
        <w:trPr>
          <w:trHeight w:val="245"/>
        </w:trPr>
        <w:tc>
          <w:tcPr>
            <w:tcW w:w="25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center"/>
              <w:ind w:left="413"/>
              <w:spacing w:after="0"/>
              <w:rPr>
                <w:sz w:val="20"/>
                <w:szCs w:val="20"/>
                <w:color w:val="auto"/>
              </w:rPr>
            </w:pPr>
            <w:r>
              <w:rPr>
                <w:rFonts w:ascii="Times New Roman" w:cs="Times New Roman" w:eastAsia="Times New Roman" w:hAnsi="Times New Roman"/>
                <w:sz w:val="16"/>
                <w:szCs w:val="16"/>
                <w:b w:val="1"/>
                <w:bCs w:val="1"/>
                <w:color w:val="auto"/>
                <w:w w:val="98"/>
              </w:rPr>
              <w:t xml:space="preserve">per Share </w:t>
            </w:r>
            <w:r>
              <w:rPr>
                <w:rFonts w:ascii="Times New Roman" w:cs="Times New Roman" w:eastAsia="Times New Roman" w:hAnsi="Times New Roman"/>
                <w:sz w:val="21"/>
                <w:szCs w:val="21"/>
                <w:b w:val="1"/>
                <w:bCs w:val="1"/>
                <w:color w:val="auto"/>
                <w:w w:val="98"/>
                <w:vertAlign w:val="superscript"/>
              </w:rPr>
              <w:t>(2)</w:t>
            </w:r>
          </w:p>
        </w:tc>
        <w:tc>
          <w:tcPr>
            <w:tcW w:w="7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6"/>
                <w:szCs w:val="16"/>
                <w:b w:val="1"/>
                <w:bCs w:val="1"/>
                <w:color w:val="auto"/>
                <w:w w:val="98"/>
              </w:rPr>
              <w:t xml:space="preserve">per Share </w:t>
            </w:r>
            <w:r>
              <w:rPr>
                <w:rFonts w:ascii="Times New Roman" w:cs="Times New Roman" w:eastAsia="Times New Roman" w:hAnsi="Times New Roman"/>
                <w:sz w:val="21"/>
                <w:szCs w:val="21"/>
                <w:b w:val="1"/>
                <w:bCs w:val="1"/>
                <w:color w:val="auto"/>
                <w:w w:val="98"/>
                <w:vertAlign w:val="superscript"/>
              </w:rPr>
              <w:t>(2)</w:t>
            </w:r>
          </w:p>
        </w:tc>
        <w:tc>
          <w:tcPr>
            <w:tcW w:w="7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740" w:type="dxa"/>
            <w:vAlign w:val="bottom"/>
            <w:tcBorders>
              <w:bottom w:val="single" w:sz="8" w:color="auto"/>
            </w:tcBorders>
          </w:tcPr>
          <w:p>
            <w:pPr>
              <w:spacing w:after="0"/>
              <w:rPr>
                <w:sz w:val="21"/>
                <w:szCs w:val="21"/>
                <w:color w:val="auto"/>
              </w:rPr>
            </w:pPr>
          </w:p>
        </w:tc>
      </w:tr>
      <w:tr>
        <w:trPr>
          <w:trHeight w:val="231"/>
        </w:trPr>
        <w:tc>
          <w:tcPr>
            <w:tcW w:w="2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2017</w:t>
            </w: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0.91</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7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7"/>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2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r>
    </w:tbl>
    <w:p>
      <w:pPr>
        <w:spacing w:after="0" w:line="100" w:lineRule="exact"/>
        <w:rPr>
          <w:sz w:val="20"/>
          <w:szCs w:val="20"/>
          <w:color w:val="auto"/>
        </w:rPr>
      </w:pPr>
    </w:p>
    <w:p>
      <w:pPr>
        <w:ind w:left="680" w:hanging="186"/>
        <w:spacing w:after="0"/>
        <w:tabs>
          <w:tab w:leader="none" w:pos="68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sum of the quarterly results for each of the four quarters may not equal the full year results due to rounding.</w:t>
      </w:r>
    </w:p>
    <w:p>
      <w:pPr>
        <w:spacing w:after="0" w:line="82" w:lineRule="exact"/>
        <w:rPr>
          <w:rFonts w:ascii="Times New Roman" w:cs="Times New Roman" w:eastAsia="Times New Roman" w:hAnsi="Times New Roman"/>
          <w:sz w:val="23"/>
          <w:szCs w:val="23"/>
          <w:color w:val="auto"/>
          <w:vertAlign w:val="superscript"/>
        </w:rPr>
      </w:pPr>
    </w:p>
    <w:p>
      <w:pPr>
        <w:jc w:val="both"/>
        <w:ind w:left="740" w:hanging="246"/>
        <w:spacing w:after="0" w:line="221" w:lineRule="auto"/>
        <w:tabs>
          <w:tab w:leader="none" w:pos="702"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EPS for each quarter is computed using the weighted-average number of shares outstanding during that quarter, while EPS for the fiscal year is computed using the weighted-average number of shares outstanding during the year. Thus, the sum of the EPS for each of the four quarters may not equal the EPS for the fiscal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2018 Quarterly Results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unusual or infrequent pre-tax items were included in the 2018 quarterly results:</w:t>
      </w:r>
    </w:p>
    <w:p>
      <w:pPr>
        <w:spacing w:after="0" w:line="223" w:lineRule="exact"/>
        <w:rPr>
          <w:sz w:val="20"/>
          <w:szCs w:val="20"/>
          <w:color w:val="auto"/>
        </w:rPr>
      </w:pPr>
    </w:p>
    <w:p>
      <w:pPr>
        <w:jc w:val="both"/>
        <w:ind w:right="20"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1st Quarter. </w:t>
      </w:r>
      <w:r>
        <w:rPr>
          <w:rFonts w:ascii="Times New Roman" w:cs="Times New Roman" w:eastAsia="Times New Roman" w:hAnsi="Times New Roman"/>
          <w:sz w:val="18"/>
          <w:szCs w:val="18"/>
          <w:color w:val="auto"/>
        </w:rPr>
        <w:t>During the first quarter of 2018, we obtained board approval and signed an agreement with Beijer Ref AB, a Stockholm Stock Exchange-listed company, for the sale of our Australia and Asia business.</w:t>
      </w:r>
    </w:p>
    <w:p>
      <w:pPr>
        <w:spacing w:after="0" w:line="158"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i w:val="1"/>
          <w:iCs w:val="1"/>
          <w:color w:val="auto"/>
        </w:rPr>
        <w:t>2nd Quarter</w:t>
      </w:r>
      <w:r>
        <w:rPr>
          <w:rFonts w:ascii="Times New Roman" w:cs="Times New Roman" w:eastAsia="Times New Roman" w:hAnsi="Times New Roman"/>
          <w:sz w:val="18"/>
          <w:szCs w:val="18"/>
          <w:color w:val="auto"/>
        </w:rPr>
        <w:t>. We completed the sale to Beijer Ref AB of our Australia and Asia business and sold our Milperra property. We obtained board approval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signed an agreement with Elgin SA, a private Brazilian company, for the sale of our South America business. Refer to Note 17 for details regarding the divestiture.</w:t>
      </w:r>
    </w:p>
    <w:p>
      <w:pPr>
        <w:spacing w:after="0" w:line="174"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3rd Quarter</w:t>
      </w:r>
      <w:r>
        <w:rPr>
          <w:rFonts w:ascii="Times New Roman" w:cs="Times New Roman" w:eastAsia="Times New Roman" w:hAnsi="Times New Roman"/>
          <w:sz w:val="18"/>
          <w:szCs w:val="18"/>
          <w:color w:val="auto"/>
        </w:rPr>
        <w:t>. We completed the sale to Elgin SA of our South America business. Our manufacturing facility in Marshalltown, Iowa was severely damaged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tornado. Refer to Note 17 for details regarding the divestiture and Note 11 for details related to the tornado damage.</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4th Quarter</w:t>
      </w:r>
      <w:r>
        <w:rPr>
          <w:rFonts w:ascii="Times New Roman" w:cs="Times New Roman" w:eastAsia="Times New Roman" w:hAnsi="Times New Roman"/>
          <w:sz w:val="18"/>
          <w:szCs w:val="18"/>
          <w:color w:val="auto"/>
        </w:rPr>
        <w:t>. We recorded gains from insurance recoveries related to our Marshalltown facility, refer to Note 11 for further details.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2017 Quarterly Results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unusual or infrequent pre-tax items were included in the 2017 quarterly results: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1st Quarter. </w:t>
      </w:r>
      <w:r>
        <w:rPr>
          <w:rFonts w:ascii="Times New Roman" w:cs="Times New Roman" w:eastAsia="Times New Roman" w:hAnsi="Times New Roman"/>
          <w:sz w:val="18"/>
          <w:szCs w:val="18"/>
          <w:color w:val="auto"/>
        </w:rPr>
        <w:t>No significant unusual or infrequent items.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2nd Quarter</w:t>
      </w:r>
      <w:r>
        <w:rPr>
          <w:rFonts w:ascii="Times New Roman" w:cs="Times New Roman" w:eastAsia="Times New Roman" w:hAnsi="Times New Roman"/>
          <w:sz w:val="18"/>
          <w:szCs w:val="18"/>
          <w:color w:val="auto"/>
        </w:rPr>
        <w:t>. No significant unusual or infrequent items.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3rd Quarter</w:t>
      </w:r>
      <w:r>
        <w:rPr>
          <w:rFonts w:ascii="Times New Roman" w:cs="Times New Roman" w:eastAsia="Times New Roman" w:hAnsi="Times New Roman"/>
          <w:sz w:val="18"/>
          <w:szCs w:val="18"/>
          <w:color w:val="auto"/>
        </w:rPr>
        <w:t>. No significant unusual or infrequent items.</w:t>
      </w:r>
    </w:p>
    <w:p>
      <w:pPr>
        <w:spacing w:after="0" w:line="225"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4th Quarter</w:t>
      </w:r>
      <w:r>
        <w:rPr>
          <w:rFonts w:ascii="Times New Roman" w:cs="Times New Roman" w:eastAsia="Times New Roman" w:hAnsi="Times New Roman"/>
          <w:sz w:val="18"/>
          <w:szCs w:val="18"/>
          <w:color w:val="auto"/>
        </w:rPr>
        <w:t>. As a result of recent tax legislation, we recorded a one-time charge of $31.8 million in the fourth quarter to revalue our deferred tax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576"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23. Losses (Gains) and Other Expenses, net:</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in our Consolidated Statements of Operations were as follows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4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Realized (gains) losses on settled futures contracts</w:t>
            </w: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exchange losses (gains)</w:t>
            </w:r>
          </w:p>
        </w:tc>
        <w:tc>
          <w:tcPr>
            <w:tcW w:w="82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7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on disposal of fixed assets</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unrealized losses (gains) on unsettled futures contracts</w:t>
            </w:r>
          </w:p>
        </w:tc>
        <w:tc>
          <w:tcPr>
            <w:tcW w:w="82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7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legal contingency charges</w:t>
            </w:r>
          </w:p>
        </w:tc>
        <w:tc>
          <w:tcPr>
            <w:tcW w:w="82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Contractor tax payments</w:t>
            </w:r>
          </w:p>
        </w:tc>
        <w:tc>
          <w:tcPr>
            <w:tcW w:w="820" w:type="dxa"/>
            <w:vAlign w:val="bottom"/>
          </w:tcPr>
          <w:p>
            <w:pPr>
              <w:spacing w:after="0"/>
              <w:rPr>
                <w:sz w:val="21"/>
                <w:szCs w:val="21"/>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7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items, net</w:t>
            </w:r>
          </w:p>
        </w:tc>
        <w:tc>
          <w:tcPr>
            <w:tcW w:w="8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r>
      <w:tr>
        <w:trPr>
          <w:trHeight w:val="25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8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7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Supplemental Information:</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Below is information about expenses included in our Consolidated Statements of Operations (in millions):</w:t>
      </w:r>
    </w:p>
    <w:p>
      <w:pPr>
        <w:spacing w:after="0" w:line="187" w:lineRule="exact"/>
        <w:rPr>
          <w:sz w:val="20"/>
          <w:szCs w:val="20"/>
          <w:color w:val="auto"/>
        </w:rPr>
      </w:pPr>
    </w:p>
    <w:tbl>
      <w:tblPr>
        <w:tblLayout w:type="fixed"/>
        <w:tblInd w:w="36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4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2016</w:t>
            </w:r>
          </w:p>
        </w:tc>
      </w:tr>
      <w:tr>
        <w:trPr>
          <w:trHeight w:val="33"/>
        </w:trPr>
        <w:tc>
          <w:tcPr>
            <w:tcW w:w="67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Borders>
              <w:bottom w:val="single" w:sz="8" w:color="CCEEFF"/>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73.6</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70"/>
        </w:trPr>
        <w:tc>
          <w:tcPr>
            <w:tcW w:w="67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Advertising, promotions and marketing </w:t>
            </w:r>
            <w:r>
              <w:rPr>
                <w:rFonts w:ascii="Times New Roman" w:cs="Times New Roman" w:eastAsia="Times New Roman" w:hAnsi="Times New Roman"/>
                <w:sz w:val="25"/>
                <w:szCs w:val="25"/>
                <w:color w:val="auto"/>
                <w:vertAlign w:val="superscript"/>
              </w:rPr>
              <w:t>(1)</w:t>
            </w:r>
          </w:p>
        </w:tc>
        <w:tc>
          <w:tcPr>
            <w:tcW w:w="760" w:type="dxa"/>
            <w:vAlign w:val="bottom"/>
          </w:tcPr>
          <w:p>
            <w:pPr>
              <w:spacing w:after="0"/>
              <w:rPr>
                <w:sz w:val="23"/>
                <w:szCs w:val="23"/>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70"/>
        </w:trPr>
        <w:tc>
          <w:tcPr>
            <w:tcW w:w="67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Cooperative advertising expenditures </w:t>
            </w:r>
            <w:r>
              <w:rPr>
                <w:rFonts w:ascii="Times New Roman" w:cs="Times New Roman" w:eastAsia="Times New Roman" w:hAnsi="Times New Roman"/>
                <w:sz w:val="25"/>
                <w:szCs w:val="25"/>
                <w:color w:val="auto"/>
                <w:vertAlign w:val="superscript"/>
              </w:rPr>
              <w:t>(2)</w:t>
            </w:r>
          </w:p>
        </w:tc>
        <w:tc>
          <w:tcPr>
            <w:tcW w:w="760" w:type="dxa"/>
            <w:vAlign w:val="bottom"/>
            <w:shd w:val="clear" w:color="auto" w:fill="CCEEFF"/>
          </w:tcPr>
          <w:p>
            <w:pPr>
              <w:spacing w:after="0"/>
              <w:rPr>
                <w:sz w:val="23"/>
                <w:szCs w:val="23"/>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76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bl>
    <w:p>
      <w:pPr>
        <w:spacing w:after="0" w:line="21" w:lineRule="exact"/>
        <w:rPr>
          <w:sz w:val="20"/>
          <w:szCs w:val="20"/>
          <w:color w:val="auto"/>
        </w:rPr>
      </w:pPr>
    </w:p>
    <w:p>
      <w:pPr>
        <w:ind w:left="600" w:hanging="187"/>
        <w:spacing w:after="0"/>
        <w:tabs>
          <w:tab w:leader="none" w:pos="60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Cooperative advertising expenditures were not included in these amounts.</w:t>
      </w:r>
    </w:p>
    <w:p>
      <w:pPr>
        <w:spacing w:after="0" w:line="55" w:lineRule="exact"/>
        <w:rPr>
          <w:rFonts w:ascii="Times New Roman" w:cs="Times New Roman" w:eastAsia="Times New Roman" w:hAnsi="Times New Roman"/>
          <w:sz w:val="24"/>
          <w:szCs w:val="24"/>
          <w:color w:val="auto"/>
          <w:vertAlign w:val="superscript"/>
        </w:rPr>
      </w:pPr>
    </w:p>
    <w:p>
      <w:pPr>
        <w:ind w:left="600" w:hanging="187"/>
        <w:spacing w:after="0" w:line="186" w:lineRule="auto"/>
        <w:tabs>
          <w:tab w:leader="none" w:pos="60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Cooperative advertising expenditures were included in Selling, general and administrative expenses in the Consolidated Statements of Operations.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Interest expense, net in our Consolidated Statements of Operations were as follows (in millions):</w:t>
      </w:r>
    </w:p>
    <w:p>
      <w:pPr>
        <w:spacing w:after="0" w:line="187" w:lineRule="exact"/>
        <w:rPr>
          <w:sz w:val="20"/>
          <w:szCs w:val="20"/>
          <w:color w:val="auto"/>
        </w:rPr>
      </w:pPr>
    </w:p>
    <w:tbl>
      <w:tblPr>
        <w:tblLayout w:type="fixed"/>
        <w:tblInd w:w="36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4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80" w:type="dxa"/>
            <w:vAlign w:val="bottom"/>
          </w:tcPr>
          <w:p>
            <w:pPr>
              <w:spacing w:after="0"/>
              <w:rPr>
                <w:sz w:val="20"/>
                <w:szCs w:val="20"/>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0" w:type="dxa"/>
            <w:vAlign w:val="bottom"/>
          </w:tcPr>
          <w:p>
            <w:pPr>
              <w:spacing w:after="0"/>
              <w:rPr>
                <w:sz w:val="1"/>
                <w:szCs w:val="1"/>
                <w:color w:val="auto"/>
              </w:rPr>
            </w:pPr>
          </w:p>
        </w:tc>
      </w:tr>
      <w:tr>
        <w:trPr>
          <w:trHeight w:val="33"/>
        </w:trPr>
        <w:tc>
          <w:tcPr>
            <w:tcW w:w="41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334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3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232"/>
              <w:spacing w:after="0"/>
              <w:rPr>
                <w:sz w:val="20"/>
                <w:szCs w:val="20"/>
                <w:color w:val="auto"/>
              </w:rPr>
            </w:pPr>
            <w:r>
              <w:rPr>
                <w:rFonts w:ascii="Times New Roman" w:cs="Times New Roman" w:eastAsia="Times New Roman" w:hAnsi="Times New Roman"/>
                <w:sz w:val="18"/>
                <w:szCs w:val="18"/>
                <w:color w:val="auto"/>
              </w:rPr>
              <w:t>80</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25. Condensed Consolidating Financial Statements: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senior unsecured notes are unconditionally guaranteed by certain of the Company’s subsidiaries (the “Guarantor</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Subsidiaries”) and are not secured by our other subsidiaries (the “Non-Guarantor Subsidiaries”). The Guarantor Subsidiaries are 100% owned, all guarantees are full and unconditional, and all guarantees are joint and several. As a result of the guarantee arrangements, we are required to present condensed consolidating financial statements.</w:t>
      </w:r>
    </w:p>
    <w:p>
      <w:pPr>
        <w:spacing w:after="0" w:line="18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condensed consolidating financial statements reflect the investments in subsidiaries of the Company using the equity method of accounting. The principal elimination entries eliminate investments in subsidiaries and intercompany balances and transactions.</w:t>
      </w:r>
    </w:p>
    <w:p>
      <w:pPr>
        <w:spacing w:after="0" w:line="16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Condensed consolidating financial statements of the Company, its Guarantor Subsidiaries and Non-Guarantor Subsidiaries as of December 31, 2018 and December 31, 2017 and for the years ended December 31, 2018, 2017 and 2016 are shown on the following pages.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576" w:right="2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30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(payables) receivables,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604.4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2,102.8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1,817.2</w:t>
            </w:r>
          </w:p>
        </w:tc>
        <w:tc>
          <w:tcPr>
            <w:tcW w:w="0" w:type="dxa"/>
            <w:vAlign w:val="bottom"/>
          </w:tcPr>
          <w:p>
            <w:pPr>
              <w:spacing w:after="0"/>
              <w:rPr>
                <w:sz w:val="1"/>
                <w:szCs w:val="1"/>
                <w:color w:val="auto"/>
              </w:rPr>
            </w:pPr>
          </w:p>
        </w:tc>
      </w:tr>
      <w:tr>
        <w:trPr>
          <w:trHeight w:val="67"/>
        </w:trPr>
        <w:tc>
          <w:tcPr>
            <w:tcW w:w="5000" w:type="dxa"/>
            <w:vAlign w:val="bottom"/>
            <w:gridSpan w:val="2"/>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70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w w:val="96"/>
              </w:rPr>
              <w:t>LIABILITIES AND STOCKHOLDERS’ (DEFICIT) EQUITY</w:t>
            </w: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433.3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stockholders’ (deficit) equity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1,817.2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30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484.2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(payables) receivables,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722.2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1,865.5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1,079.2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1,891.5</w:t>
            </w:r>
          </w:p>
        </w:tc>
        <w:tc>
          <w:tcPr>
            <w:tcW w:w="0" w:type="dxa"/>
            <w:vAlign w:val="bottom"/>
          </w:tcPr>
          <w:p>
            <w:pPr>
              <w:spacing w:after="0"/>
              <w:rPr>
                <w:sz w:val="1"/>
                <w:szCs w:val="1"/>
                <w:color w:val="auto"/>
              </w:rPr>
            </w:pPr>
          </w:p>
        </w:tc>
      </w:tr>
      <w:tr>
        <w:trPr>
          <w:trHeight w:val="67"/>
        </w:trPr>
        <w:tc>
          <w:tcPr>
            <w:tcW w:w="5000" w:type="dxa"/>
            <w:vAlign w:val="bottom"/>
            <w:gridSpan w:val="2"/>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70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w w:val="96"/>
              </w:rPr>
              <w:t>LIABILITIES AND STOCKHOLDERS’ EQUITY (DEFICIT)</w:t>
            </w: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496.8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706.4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1,841.4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1,159.1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1,865.5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576"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4700" w:type="dxa"/>
            <w:vAlign w:val="bottom"/>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3,473.2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3,883.9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2,772.7</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972.6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Pension settlement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(gain), net on sale of businesses and related property</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Insurance proceeds for lost profits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from insurance recoveries, net of losses incurred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467.9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327.6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4700" w:type="dxa"/>
            <w:vAlign w:val="bottom"/>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3,295.8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2,359.6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2,714.4</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(gain), net on sale of businesses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Operational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307.4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4700" w:type="dxa"/>
            <w:vAlign w:val="bottom"/>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3,117.6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2,565.1</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913.8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1,076.5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(Gains) losses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Pension settlement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Operational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7"/>
        </w:trPr>
        <w:tc>
          <w:tcPr>
            <w:tcW w:w="4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390.3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290.6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576"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60" w:type="dxa"/>
            <w:vAlign w:val="bottom"/>
          </w:tcPr>
          <w:p>
            <w:pPr>
              <w:spacing w:after="0"/>
              <w:rPr>
                <w:sz w:val="13"/>
                <w:szCs w:val="13"/>
                <w:color w:val="auto"/>
              </w:rPr>
            </w:pPr>
          </w:p>
        </w:tc>
        <w:tc>
          <w:tcPr>
            <w:tcW w:w="10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sale of businesses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25"/>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recoveries received for property damage incurred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natural disaster</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securitization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payments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from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2,435.9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credit facility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8"/>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4"/>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tax obligations</w:t>
            </w: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debt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financing activity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60" w:type="dxa"/>
            <w:vAlign w:val="bottom"/>
          </w:tcPr>
          <w:p>
            <w:pPr>
              <w:spacing w:after="0"/>
              <w:rPr>
                <w:sz w:val="13"/>
                <w:szCs w:val="13"/>
                <w:color w:val="auto"/>
              </w:rPr>
            </w:pPr>
          </w:p>
        </w:tc>
        <w:tc>
          <w:tcPr>
            <w:tcW w:w="10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securitization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from credit facility</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payments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credit facility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w:t>
            </w:r>
          </w:p>
        </w:tc>
        <w:tc>
          <w:tcPr>
            <w:tcW w:w="2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 obligations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financing activity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60" w:type="dxa"/>
            <w:vAlign w:val="bottom"/>
          </w:tcPr>
          <w:p>
            <w:pPr>
              <w:spacing w:after="0"/>
              <w:rPr>
                <w:sz w:val="13"/>
                <w:szCs w:val="13"/>
                <w:color w:val="auto"/>
              </w:rPr>
            </w:pPr>
          </w:p>
        </w:tc>
        <w:tc>
          <w:tcPr>
            <w:tcW w:w="10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securitization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borrowings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from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2,336.5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payments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8"/>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4"/>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tax obligations</w:t>
            </w: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Intercompany debt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financing activity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576"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26. Subsequent Event:</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For 2019, we plan to shift financial reporting of our European Commercial HVAC business from our Commercial Heating &amp; Cooling segment to our Refrigeration segment as we will manage both our commercial HVAC and refrigeration operations in Europe together.</w:t>
      </w:r>
    </w:p>
    <w:p>
      <w:pPr>
        <w:spacing w:after="0" w:line="162"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In 2019, we plan to divest our Kysor Warren business within our Refrigeration segment and are currently targeting to close the sale in the first quarter of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our Chief Executive Officer and Chief Financial Officer have concluded that, as of December 31, 2018,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“Management’s Report on Internal Control Over Financial Reporting” included in Item 8 “Financial Statements and Supplementary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“Report of Independent Registered Public Accounting Firm” included in Item 8 “Financial Statements and Supplementary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During the quarter ended December 31, 2018, we implemented new controls as part of our efforts to adopt ASU 2016-02. We are implementing new controls related to monitoring the adoption process, implementing a new IT system to capture, calculate, and account for leases, and gather the necessary data to properly account for leases under ASC 842. There were no other changes in our internal control over financial reporting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2018. Also, refer to Part I, Item 1 “Business - Executive Officers of the Company” of this Annual Report on Form 10-K, which identifies our executive officers and is incorporated herein by reference.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576" w:right="23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2018.</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refer to Note 15 in the Notes to the Consolidated Financial Statements for additional information about our equity compensation plans.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2018.</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2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2018.</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financial statements are included in Part II, Item 8 of the Annual Report on Form 10-K:</w:t>
      </w:r>
    </w:p>
    <w:p>
      <w:pPr>
        <w:spacing w:after="0" w:line="27" w:lineRule="exact"/>
        <w:rPr>
          <w:sz w:val="20"/>
          <w:szCs w:val="20"/>
          <w:color w:val="auto"/>
        </w:rPr>
      </w:pPr>
    </w:p>
    <w:p>
      <w:pPr>
        <w:ind w:left="820" w:hanging="245"/>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2018 and 2017</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2018, 2017 and 2016</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Years Ended December 31, 2018, 2017 and 2016</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(Deficit) Equity for the Years Ended December 31, 2018, 2017 and 2016</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2018, 2017 and 2016</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Consolidated Financial Statements for the Years Ended December 31, 2018, 2017 and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financial statement schedule included in this Annual Report on Form 10-K is Schedule II - Valuation and Qualifying Accounts and Reserves for the Years Ended December 31, 2018, 2017 and 2016 (see Schedule II immediately following the signature page of this Annual Report on Form 10-K).</w:t>
      </w:r>
    </w:p>
    <w:p>
      <w:pPr>
        <w:spacing w:after="0" w:line="16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Financial statement schedules not included in this Annual Report on Form 10-K have been omitted because they are not applicable or the required information is shown in the Consolidated Financial Statements or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A list of the exhibits required to be filed or furnished as part of this Annual Report on Form 10-K is set forth in the Index to Exhibits, which immediately precedes such exhibits, and is incorporated herein by reference.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792"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firstLine="243"/>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ind w:left="26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Todd M. Bluedorn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Todd M. Bluedorn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2019</w:t>
      </w:r>
    </w:p>
    <w:p>
      <w:pPr>
        <w:spacing w:after="0" w:line="200" w:lineRule="exact"/>
        <w:rPr>
          <w:sz w:val="20"/>
          <w:szCs w:val="20"/>
          <w:color w:val="auto"/>
        </w:rPr>
      </w:pPr>
    </w:p>
    <w:p>
      <w:pPr>
        <w:spacing w:after="0" w:line="223"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792"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3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40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66"/>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TODD M. BLUEDORN</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c>
          <w:tcPr>
            <w:tcW w:w="640" w:type="dxa"/>
            <w:vAlign w:val="bottom"/>
          </w:tcPr>
          <w:p>
            <w:pPr>
              <w:spacing w:after="0"/>
              <w:rPr>
                <w:sz w:val="24"/>
                <w:szCs w:val="24"/>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February 19, 2019</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Todd M. Bluedorn</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6"/>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JOSEPH W. REITMEIER</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640" w:type="dxa"/>
            <w:vAlign w:val="bottom"/>
          </w:tcPr>
          <w:p>
            <w:pPr>
              <w:spacing w:after="0"/>
              <w:rPr>
                <w:sz w:val="24"/>
                <w:szCs w:val="24"/>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February 19, 2019</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Joseph W. Reitmeier</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6"/>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CHRIS A. KOSEL</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c>
          <w:tcPr>
            <w:tcW w:w="640" w:type="dxa"/>
            <w:vAlign w:val="bottom"/>
          </w:tcPr>
          <w:p>
            <w:pPr>
              <w:spacing w:after="0"/>
              <w:rPr>
                <w:sz w:val="24"/>
                <w:szCs w:val="24"/>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February 19, 2019</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Chris A. Kosel</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6"/>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TODD J. TESKE</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Lead Director</w:t>
            </w:r>
          </w:p>
        </w:tc>
        <w:tc>
          <w:tcPr>
            <w:tcW w:w="640" w:type="dxa"/>
            <w:vAlign w:val="bottom"/>
          </w:tcPr>
          <w:p>
            <w:pPr>
              <w:spacing w:after="0"/>
              <w:rPr>
                <w:sz w:val="24"/>
                <w:szCs w:val="24"/>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February 19, 2019</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Todd J. Teske</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6"/>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JANET K. COOPER</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Pr>
          <w:p>
            <w:pPr>
              <w:spacing w:after="0"/>
              <w:rPr>
                <w:sz w:val="24"/>
                <w:szCs w:val="24"/>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February 19, 2019</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Janet K. Cooper</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6"/>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JOHN E. MAJOR</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Pr>
          <w:p>
            <w:pPr>
              <w:spacing w:after="0"/>
              <w:rPr>
                <w:sz w:val="24"/>
                <w:szCs w:val="24"/>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February 19, 2019</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John E. Major</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6"/>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JOHN W. NORRIS, III</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Pr>
          <w:p>
            <w:pPr>
              <w:spacing w:after="0"/>
              <w:rPr>
                <w:sz w:val="24"/>
                <w:szCs w:val="24"/>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February 19, 2019</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John W. Norris, III</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6"/>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KAREN H. QUINTOS</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Pr>
          <w:p>
            <w:pPr>
              <w:spacing w:after="0"/>
              <w:rPr>
                <w:sz w:val="24"/>
                <w:szCs w:val="24"/>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February 19, 2019</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Karen. H. Quintos</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6"/>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KIM K.W. RUCKER</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Pr>
          <w:p>
            <w:pPr>
              <w:spacing w:after="0"/>
              <w:rPr>
                <w:sz w:val="24"/>
                <w:szCs w:val="24"/>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February 19, 2019</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Kim K.W. Rucker</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6"/>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MAX H. MITCHELL</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Pr>
          <w:p>
            <w:pPr>
              <w:spacing w:after="0"/>
              <w:rPr>
                <w:sz w:val="24"/>
                <w:szCs w:val="24"/>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February 19, 2019</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Max H. Mitchell</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6"/>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PAUL W. SCHMIDT</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Pr>
          <w:p>
            <w:pPr>
              <w:spacing w:after="0"/>
              <w:rPr>
                <w:sz w:val="24"/>
                <w:szCs w:val="24"/>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February 19, 2019</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Paul W. Schmidt</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6"/>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GREGORY T. SWIENTON</w:t>
            </w:r>
          </w:p>
        </w:tc>
        <w:tc>
          <w:tcPr>
            <w:tcW w:w="5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Pr>
          <w:p>
            <w:pPr>
              <w:spacing w:after="0"/>
              <w:rPr>
                <w:sz w:val="24"/>
                <w:szCs w:val="24"/>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February 19, 2019</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7"/>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Gregory T. Swienton</w:t>
            </w: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80"/>
          </w:cols>
          <w:pgMar w:left="240" w:top="729" w:right="279" w:bottom="1440" w:gutter="0" w:footer="0" w:header="0"/>
        </w:sectPr>
      </w:pPr>
    </w:p>
    <w:bookmarkStart w:id="96" w:name="page97"/>
    <w:bookmarkEnd w:id="96"/>
    <w:p>
      <w:pPr>
        <w:ind w:left="3340"/>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387" w:lineRule="exact"/>
        <w:rPr>
          <w:sz w:val="20"/>
          <w:szCs w:val="20"/>
          <w:color w:val="auto"/>
        </w:rPr>
      </w:pPr>
    </w:p>
    <w:p>
      <w:pPr>
        <w:jc w:val="center"/>
        <w:ind w:left="2160" w:right="760"/>
        <w:spacing w:after="0" w:line="403" w:lineRule="auto"/>
        <w:rPr>
          <w:sz w:val="20"/>
          <w:szCs w:val="20"/>
          <w:color w:val="auto"/>
        </w:rPr>
      </w:pPr>
      <w:r>
        <w:rPr>
          <w:rFonts w:ascii="Times New Roman" w:cs="Times New Roman" w:eastAsia="Times New Roman" w:hAnsi="Times New Roman"/>
          <w:sz w:val="18"/>
          <w:szCs w:val="18"/>
          <w:b w:val="1"/>
          <w:bCs w:val="1"/>
          <w:color w:val="auto"/>
        </w:rPr>
        <w:t>SCHEDULE II - VALUATION AND QUALIFYING ACCOUNTS AND RESERVES For the Years Ended December 31, 2018, 2017 and 2016 (In millions)</w:t>
      </w:r>
    </w:p>
    <w:p>
      <w:pPr>
        <w:spacing w:after="0" w:line="200" w:lineRule="exact"/>
        <w:rPr>
          <w:sz w:val="20"/>
          <w:szCs w:val="20"/>
          <w:color w:val="auto"/>
        </w:rPr>
      </w:pP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 and</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212"/>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of year</w:t>
            </w: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Write-offs</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1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end of year</w:t>
            </w:r>
          </w:p>
        </w:tc>
        <w:tc>
          <w:tcPr>
            <w:tcW w:w="0" w:type="dxa"/>
            <w:vAlign w:val="bottom"/>
          </w:tcPr>
          <w:p>
            <w:pPr>
              <w:spacing w:after="0"/>
              <w:rPr>
                <w:sz w:val="1"/>
                <w:szCs w:val="1"/>
                <w:color w:val="auto"/>
              </w:rPr>
            </w:pPr>
          </w:p>
        </w:tc>
      </w:tr>
      <w:tr>
        <w:trPr>
          <w:trHeight w:val="33"/>
        </w:trPr>
        <w:tc>
          <w:tcPr>
            <w:tcW w:w="258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doubtful accounts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2580" w:type="dxa"/>
            <w:vAlign w:val="bottom"/>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doubtful accounts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2580" w:type="dxa"/>
            <w:vAlign w:val="bottom"/>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doubtful accounts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756"/>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54" w:right="1440"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20" w:type="dxa"/>
            <w:vAlign w:val="bottom"/>
            <w:gridSpan w:val="27"/>
          </w:tcPr>
          <w:p>
            <w:pPr>
              <w:ind w:left="154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567"/>
        </w:trPr>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046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Restated Certificate of Incorporation of Lennox International Inc. (“LII”) (filed as Exhibit 3.1 to LII’s Registration Statement on Form S-1</w:t>
            </w:r>
          </w:p>
        </w:tc>
      </w:tr>
      <w:tr>
        <w:trPr>
          <w:trHeight w:val="241"/>
        </w:trPr>
        <w:tc>
          <w:tcPr>
            <w:tcW w:w="960" w:type="dxa"/>
            <w:vAlign w:val="bottom"/>
            <w:tcBorders>
              <w:bottom w:val="single" w:sz="8" w:color="CCEEFF"/>
            </w:tcBorders>
            <w:shd w:val="clear" w:color="auto" w:fill="CCEEFF"/>
          </w:tcPr>
          <w:p>
            <w:pPr>
              <w:spacing w:after="0"/>
              <w:rPr>
                <w:sz w:val="20"/>
                <w:szCs w:val="20"/>
                <w:color w:val="auto"/>
              </w:rPr>
            </w:pPr>
          </w:p>
        </w:tc>
        <w:tc>
          <w:tcPr>
            <w:tcW w:w="10460" w:type="dxa"/>
            <w:vAlign w:val="bottom"/>
            <w:tcBorders>
              <w:bottom w:val="single" w:sz="8" w:color="CCEEFF"/>
            </w:tcBorders>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Statement No. 333-75725) filed on April 6, 1999 and incorporated herein by reference).</w:t>
            </w: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0220" w:type="dxa"/>
            <w:vAlign w:val="bottom"/>
            <w:tcBorders>
              <w:bottom w:val="single" w:sz="8" w:color="0000FF"/>
            </w:tcBorders>
            <w:gridSpan w:val="21"/>
          </w:tcPr>
          <w:p>
            <w:pPr>
              <w:spacing w:after="0" w:line="202"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Amended and Restated Bylaws of LII (filed as Exhibit 3.1 to LII’s Current Report on Form 8-K filed on December 16, 2013 and incorporated</w:t>
              </w:r>
            </w:hyperlink>
          </w:p>
        </w:tc>
        <w:tc>
          <w:tcPr>
            <w:tcW w:w="240" w:type="dxa"/>
            <w:vAlign w:val="bottom"/>
            <w:gridSpan w:val="11"/>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32"/>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herein by reference).</w:t>
              </w:r>
            </w:hyperlink>
          </w:p>
        </w:tc>
      </w:tr>
      <w:tr>
        <w:trPr>
          <w:trHeight w:val="48"/>
        </w:trPr>
        <w:tc>
          <w:tcPr>
            <w:tcW w:w="96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5"/>
        </w:trPr>
        <w:tc>
          <w:tcPr>
            <w:tcW w:w="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046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Specimen Stock Certificate for the Common Stock, par value $.01 per share, of LII (filed as Exhibit 4.1 to LII’s Amendment to Registration</w:t>
            </w:r>
          </w:p>
        </w:tc>
      </w:tr>
      <w:tr>
        <w:trPr>
          <w:trHeight w:val="241"/>
        </w:trPr>
        <w:tc>
          <w:tcPr>
            <w:tcW w:w="960" w:type="dxa"/>
            <w:vAlign w:val="bottom"/>
            <w:tcBorders>
              <w:bottom w:val="single" w:sz="8" w:color="CCEEFF"/>
            </w:tcBorders>
            <w:shd w:val="clear" w:color="auto" w:fill="CCEEFF"/>
          </w:tcPr>
          <w:p>
            <w:pPr>
              <w:spacing w:after="0"/>
              <w:rPr>
                <w:sz w:val="20"/>
                <w:szCs w:val="20"/>
                <w:color w:val="auto"/>
              </w:rPr>
            </w:pPr>
          </w:p>
        </w:tc>
        <w:tc>
          <w:tcPr>
            <w:tcW w:w="10460" w:type="dxa"/>
            <w:vAlign w:val="bottom"/>
            <w:tcBorders>
              <w:bottom w:val="single" w:sz="8" w:color="CCEEFF"/>
            </w:tcBorders>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on Form S-1/A (Registration No. 333-75725) filed on June 16, 1999 and incorporated herein by reference).</w:t>
            </w: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0460" w:type="dxa"/>
            <w:vAlign w:val="bottom"/>
            <w:gridSpan w:val="32"/>
          </w:tcPr>
          <w:p>
            <w:pPr>
              <w:spacing w:after="0" w:line="20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Indenture, dated as of May 3, 2010, between LII and U.S. Bank National Association, as trustee (filed as Exhibit 4.3 to LII’s Post-Effective</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460" w:type="dxa"/>
            <w:vAlign w:val="bottom"/>
            <w:gridSpan w:val="32"/>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Amendment No. 1 to Registration Statement on S-3 (Registration No. 333-155796) filed on May 3, 2010, and incorporated herein by reference).</w:t>
              </w:r>
            </w:hyperlink>
          </w:p>
        </w:tc>
      </w:tr>
      <w:tr>
        <w:trPr>
          <w:trHeight w:val="48"/>
        </w:trPr>
        <w:tc>
          <w:tcPr>
            <w:tcW w:w="96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10420" w:type="dxa"/>
            <w:vAlign w:val="bottom"/>
            <w:tcBorders>
              <w:bottom w:val="single" w:sz="8" w:color="0000FF"/>
            </w:tcBorders>
            <w:gridSpan w:val="30"/>
            <w:shd w:val="clear" w:color="auto" w:fill="CCEEFF"/>
          </w:tcPr>
          <w:p>
            <w:pPr>
              <w:spacing w:after="0" w:line="202"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Form of Supplemental Indenture among LII, the guarantors party thereto and U.S. Bank National Association, as trustee (filed as Exhibit 4.11 to</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340" w:type="dxa"/>
            <w:vAlign w:val="bottom"/>
            <w:tcBorders>
              <w:bottom w:val="single" w:sz="8" w:color="0000FF"/>
            </w:tcBorders>
            <w:gridSpan w:val="26"/>
            <w:shd w:val="clear" w:color="auto" w:fill="CCEEFF"/>
          </w:tcPr>
          <w:p>
            <w:pPr>
              <w:spacing w:after="0" w:line="19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LII’s Post-Effective Amendment No. 1 to Registration Statement on S-3 (Registration No. 333-155796) filed on May 3, 2010, and incorporated</w:t>
              </w:r>
            </w:hyperlink>
          </w:p>
        </w:tc>
        <w:tc>
          <w:tcPr>
            <w:tcW w:w="120" w:type="dxa"/>
            <w:vAlign w:val="bottom"/>
            <w:tcBorders>
              <w:bottom w:val="single" w:sz="8" w:color="CCEEFF"/>
            </w:tcBorders>
            <w:gridSpan w:val="6"/>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herein by reference)</w:t>
              </w:r>
              <w:r>
                <w:rPr>
                  <w:rFonts w:ascii="Times New Roman" w:cs="Times New Roman" w:eastAsia="Times New Roman" w:hAnsi="Times New Roman"/>
                  <w:sz w:val="18"/>
                  <w:szCs w:val="18"/>
                  <w:color w:val="000000"/>
                </w:rPr>
                <w:t>.</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10400" w:type="dxa"/>
            <w:vAlign w:val="bottom"/>
            <w:tcBorders>
              <w:bottom w:val="single" w:sz="8" w:color="0000FF"/>
            </w:tcBorders>
            <w:gridSpan w:val="29"/>
          </w:tcPr>
          <w:p>
            <w:pPr>
              <w:spacing w:after="0" w:line="20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Sixth Supplemental Indenture, dated as of November 3, 2016, among LII, each other existing Guarantor under the Indenture, dated as of May 3,</w:t>
              </w:r>
            </w:hyperlink>
          </w:p>
        </w:tc>
        <w:tc>
          <w:tcPr>
            <w:tcW w:w="60" w:type="dxa"/>
            <w:vAlign w:val="bottom"/>
            <w:gridSpan w:val="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1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2010, as subsequently supplemented, and US Bank National Association, as trustee (filed as Exhibit 4.2 to LII’s Current Report on Form 8-K</w:t>
              </w:r>
            </w:hyperlink>
          </w:p>
        </w:tc>
        <w:tc>
          <w:tcPr>
            <w:tcW w:w="280" w:type="dxa"/>
            <w:vAlign w:val="bottom"/>
            <w:gridSpan w:val="1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32"/>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filed on November 3, 2016, and incorporated by reference).</w:t>
              </w:r>
            </w:hyperlink>
          </w:p>
        </w:tc>
      </w:tr>
      <w:tr>
        <w:trPr>
          <w:trHeight w:val="48"/>
        </w:trPr>
        <w:tc>
          <w:tcPr>
            <w:tcW w:w="96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10400" w:type="dxa"/>
            <w:vAlign w:val="bottom"/>
            <w:tcBorders>
              <w:bottom w:val="single" w:sz="8" w:color="0000FF"/>
            </w:tcBorders>
            <w:gridSpan w:val="29"/>
            <w:shd w:val="clear" w:color="auto" w:fill="CCEEFF"/>
          </w:tcPr>
          <w:p>
            <w:pPr>
              <w:spacing w:after="0" w:line="202" w:lineRule="exact"/>
              <w:rPr>
                <w:rFonts w:ascii="Times New Roman" w:cs="Times New Roman" w:eastAsia="Times New Roman" w:hAnsi="Times New Roman"/>
                <w:sz w:val="18"/>
                <w:szCs w:val="18"/>
                <w:color w:val="0000FF"/>
              </w:rPr>
            </w:pPr>
            <w:hyperlink w:anchor="page101">
              <w:r>
                <w:rPr>
                  <w:rFonts w:ascii="Times New Roman" w:cs="Times New Roman" w:eastAsia="Times New Roman" w:hAnsi="Times New Roman"/>
                  <w:sz w:val="18"/>
                  <w:szCs w:val="18"/>
                  <w:color w:val="0000FF"/>
                </w:rPr>
                <w:t>Seventh Supplemental Indenture, dated as of January 23, 2019, among LII Mexico Holdings Ltd., Lennox International Inc., each other existing</w:t>
              </w:r>
            </w:hyperlink>
          </w:p>
        </w:tc>
        <w:tc>
          <w:tcPr>
            <w:tcW w:w="6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FF"/>
              </w:rPr>
            </w:pPr>
            <w:hyperlink w:anchor="page101">
              <w:r>
                <w:rPr>
                  <w:rFonts w:ascii="Times New Roman" w:cs="Times New Roman" w:eastAsia="Times New Roman" w:hAnsi="Times New Roman"/>
                  <w:sz w:val="18"/>
                  <w:szCs w:val="18"/>
                  <w:color w:val="0000FF"/>
                </w:rPr>
                <w:t>Guarantor under the Indenture, dated as of May 3, 2010, as subsequently supplemented, and US Bank National Association, as trustee (filed</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FF"/>
            </w:tcBorders>
            <w:gridSpan w:val="16"/>
            <w:shd w:val="clear" w:color="auto" w:fill="CCEEFF"/>
          </w:tcPr>
          <w:p>
            <w:pPr>
              <w:spacing w:after="0" w:line="196" w:lineRule="exact"/>
              <w:rPr>
                <w:rFonts w:ascii="Times New Roman" w:cs="Times New Roman" w:eastAsia="Times New Roman" w:hAnsi="Times New Roman"/>
                <w:sz w:val="18"/>
                <w:szCs w:val="18"/>
                <w:color w:val="0000FF"/>
              </w:rPr>
            </w:pPr>
            <w:hyperlink w:anchor="page101">
              <w:r>
                <w:rPr>
                  <w:rFonts w:ascii="Times New Roman" w:cs="Times New Roman" w:eastAsia="Times New Roman" w:hAnsi="Times New Roman"/>
                  <w:sz w:val="18"/>
                  <w:szCs w:val="18"/>
                  <w:color w:val="0000FF"/>
                </w:rPr>
                <w:t>herewith).</w:t>
              </w:r>
            </w:hyperlink>
          </w:p>
        </w:tc>
        <w:tc>
          <w:tcPr>
            <w:tcW w:w="380" w:type="dxa"/>
            <w:vAlign w:val="bottom"/>
            <w:tcBorders>
              <w:top w:val="single" w:sz="8" w:color="CCEEFF"/>
            </w:tcBorders>
            <w:gridSpan w:val="16"/>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9800" w:type="dxa"/>
            <w:vAlign w:val="bottom"/>
            <w:tcBorders>
              <w:bottom w:val="single" w:sz="8" w:color="0000FF"/>
            </w:tcBorders>
            <w:gridSpan w:val="11"/>
          </w:tcPr>
          <w:p>
            <w:pPr>
              <w:spacing w:after="0" w:line="202"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Form of 3.000% Notes due 2023 (filed as Exhibit A in Exhibit 4.2 to LII’s Current Report on Form 8-K filed on November 3, 2016, and</w:t>
              </w:r>
            </w:hyperlink>
          </w:p>
        </w:tc>
        <w:tc>
          <w:tcPr>
            <w:tcW w:w="660" w:type="dxa"/>
            <w:vAlign w:val="bottom"/>
            <w:gridSpan w:val="21"/>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32"/>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incorporated by reference).</w:t>
              </w:r>
            </w:hyperlink>
          </w:p>
        </w:tc>
      </w:tr>
      <w:tr>
        <w:trPr>
          <w:trHeight w:val="48"/>
        </w:trPr>
        <w:tc>
          <w:tcPr>
            <w:tcW w:w="96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0400" w:type="dxa"/>
            <w:vAlign w:val="bottom"/>
            <w:tcBorders>
              <w:bottom w:val="single" w:sz="8" w:color="0000FF"/>
            </w:tcBorders>
            <w:gridSpan w:val="29"/>
            <w:shd w:val="clear" w:color="auto" w:fill="CCEEFF"/>
          </w:tcPr>
          <w:p>
            <w:pPr>
              <w:spacing w:after="0" w:line="202"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Sixth Amended and Restated Credit Facility Agreement dated as of August 30, 2016, among Lennox International Inc., a Delaware corporation,</w:t>
              </w:r>
            </w:hyperlink>
          </w:p>
        </w:tc>
        <w:tc>
          <w:tcPr>
            <w:tcW w:w="6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400" w:type="dxa"/>
            <w:vAlign w:val="bottom"/>
            <w:tcBorders>
              <w:bottom w:val="single" w:sz="8" w:color="0000FF"/>
            </w:tcBorders>
            <w:gridSpan w:val="29"/>
            <w:shd w:val="clear" w:color="auto" w:fill="CCEEFF"/>
          </w:tcPr>
          <w:p>
            <w:pPr>
              <w:spacing w:after="0" w:line="19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the Lenders party thereto, and JPMorgan Chase Bank, N.A., as Administrative Agent (filed as Exhibit 10.1 to LII's Current Report on Form 8-K</w:t>
              </w:r>
            </w:hyperlink>
          </w:p>
        </w:tc>
        <w:tc>
          <w:tcPr>
            <w:tcW w:w="6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filed on September 2, 2016 and incorporated herein by reference)</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0280" w:type="dxa"/>
            <w:vAlign w:val="bottom"/>
            <w:tcBorders>
              <w:bottom w:val="single" w:sz="8" w:color="0000FF"/>
            </w:tcBorders>
            <w:gridSpan w:val="23"/>
          </w:tcPr>
          <w:p>
            <w:pPr>
              <w:spacing w:after="0" w:line="202"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First Amendment to Sixth Amended and Restated Credit Facility Agreement dated as of October 20, 2016, among Lennox International Inc., a</w:t>
              </w:r>
            </w:hyperlink>
          </w:p>
        </w:tc>
        <w:tc>
          <w:tcPr>
            <w:tcW w:w="180" w:type="dxa"/>
            <w:vAlign w:val="bottom"/>
            <w:gridSpan w:val="9"/>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32"/>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Delaware corporation, the Lenders party thereto, and JPMorgan Chase Bank, N.A., as Administrative Agent (filed as Exhibit 10.1 to LII's</w:t>
              </w:r>
            </w:hyperlink>
          </w:p>
        </w:tc>
      </w:tr>
      <w:tr>
        <w:trPr>
          <w:trHeight w:val="196"/>
        </w:trPr>
        <w:tc>
          <w:tcPr>
            <w:tcW w:w="960" w:type="dxa"/>
            <w:vAlign w:val="bottom"/>
          </w:tcPr>
          <w:p>
            <w:pPr>
              <w:spacing w:after="0"/>
              <w:rPr>
                <w:sz w:val="17"/>
                <w:szCs w:val="17"/>
                <w:color w:val="auto"/>
              </w:rPr>
            </w:pPr>
          </w:p>
        </w:tc>
        <w:tc>
          <w:tcPr>
            <w:tcW w:w="990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Quarterly Report on Form 10-Q filed on October 24, 2017, and incorporated herein by reference).</w:t>
              </w:r>
            </w:hyperlink>
          </w:p>
        </w:tc>
        <w:tc>
          <w:tcPr>
            <w:tcW w:w="560" w:type="dxa"/>
            <w:vAlign w:val="bottom"/>
            <w:gridSpan w:val="20"/>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2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10160" w:type="dxa"/>
            <w:vAlign w:val="bottom"/>
            <w:tcBorders>
              <w:bottom w:val="single" w:sz="8" w:color="0000FF"/>
            </w:tcBorders>
            <w:gridSpan w:val="18"/>
            <w:shd w:val="clear" w:color="auto" w:fill="CCEEFF"/>
          </w:tcPr>
          <w:p>
            <w:pPr>
              <w:spacing w:after="0" w:line="202"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Second Amendment To Sixth Amended and Restated Credit Facility Agreement dated March 16, 2018, among Lennox International Inc., the</w:t>
              </w:r>
            </w:hyperlink>
          </w:p>
        </w:tc>
        <w:tc>
          <w:tcPr>
            <w:tcW w:w="300" w:type="dxa"/>
            <w:vAlign w:val="bottom"/>
            <w:tcBorders>
              <w:bottom w:val="single" w:sz="8" w:color="CCEEFF"/>
            </w:tcBorders>
            <w:gridSpan w:val="14"/>
            <w:shd w:val="clear" w:color="auto" w:fill="CCEEFF"/>
          </w:tcPr>
          <w:p>
            <w:pPr>
              <w:spacing w:after="0"/>
              <w:rPr>
                <w:sz w:val="17"/>
                <w:szCs w:val="17"/>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380" w:type="dxa"/>
            <w:vAlign w:val="bottom"/>
            <w:tcBorders>
              <w:bottom w:val="single" w:sz="8" w:color="0000FF"/>
            </w:tcBorders>
            <w:gridSpan w:val="28"/>
            <w:shd w:val="clear" w:color="auto" w:fill="CCEEFF"/>
          </w:tcPr>
          <w:p>
            <w:pPr>
              <w:spacing w:after="0" w:line="19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lenders a party thereto, and J.P.Morgan Chase Bank, N.A., as Administrative Agent (filed as Exhibit 10.2 to LII’s Quarterly Report on Form 10-</w:t>
              </w:r>
            </w:hyperlink>
          </w:p>
        </w:tc>
        <w:tc>
          <w:tcPr>
            <w:tcW w:w="8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Q filed on April 23, 2018, and incorporated by reference).</w:t>
              </w:r>
            </w:hyperlink>
          </w:p>
        </w:tc>
      </w:tr>
      <w:tr>
        <w:trPr>
          <w:trHeight w:val="264"/>
        </w:trPr>
        <w:tc>
          <w:tcPr>
            <w:tcW w:w="96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0000FF"/>
            </w:tcBorders>
            <w:shd w:val="clear" w:color="auto" w:fill="CCEEFF"/>
          </w:tcPr>
          <w:p>
            <w:pPr>
              <w:spacing w:after="0"/>
              <w:rPr>
                <w:sz w:val="22"/>
                <w:szCs w:val="22"/>
                <w:color w:val="auto"/>
              </w:rPr>
            </w:pPr>
          </w:p>
        </w:tc>
        <w:tc>
          <w:tcPr>
            <w:tcW w:w="72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46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74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2340" w:type="dxa"/>
            <w:vAlign w:val="bottom"/>
            <w:tcBorders>
              <w:top w:val="single" w:sz="8" w:color="CCEEFF"/>
            </w:tcBorders>
            <w:shd w:val="clear" w:color="auto" w:fill="CCEEFF"/>
          </w:tcPr>
          <w:p>
            <w:pPr>
              <w:spacing w:after="0"/>
              <w:rPr>
                <w:sz w:val="22"/>
                <w:szCs w:val="22"/>
                <w:color w:val="auto"/>
              </w:rPr>
            </w:pPr>
          </w:p>
        </w:tc>
        <w:tc>
          <w:tcPr>
            <w:tcW w:w="25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10240" w:type="dxa"/>
            <w:vAlign w:val="bottom"/>
            <w:tcBorders>
              <w:bottom w:val="single" w:sz="8" w:color="0000FF"/>
            </w:tcBorders>
            <w:gridSpan w:val="22"/>
          </w:tcPr>
          <w:p>
            <w:pPr>
              <w:spacing w:after="0" w:line="202"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Third Amendment (Incremental Amendment) to Sixth Amended and Restated Credit Facility Agreement dated as of January 22, 2019, among</w:t>
              </w:r>
            </w:hyperlink>
          </w:p>
        </w:tc>
        <w:tc>
          <w:tcPr>
            <w:tcW w:w="220" w:type="dxa"/>
            <w:vAlign w:val="bottom"/>
            <w:gridSpan w:val="10"/>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32"/>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Lennox International Inc., a Delaware corporation, the lenders from time to time party thereto, and J.P.Morgan Chase Bank, N.A., as</w:t>
              </w:r>
            </w:hyperlink>
          </w:p>
        </w:tc>
      </w:tr>
      <w:tr>
        <w:trPr>
          <w:trHeight w:val="20"/>
        </w:trPr>
        <w:tc>
          <w:tcPr>
            <w:tcW w:w="960" w:type="dxa"/>
            <w:vAlign w:val="bottom"/>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7100" w:type="dxa"/>
            <w:vAlign w:val="bottom"/>
            <w:gridSpan w:val="5"/>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460" w:type="dxa"/>
            <w:vAlign w:val="bottom"/>
            <w:gridSpan w:val="32"/>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Administrative Agent (filed as Exhibit 10.1 to LII’s Current Report on Form 8-K filed on January 25, 2019, and incorporated by reference).</w:t>
              </w:r>
            </w:hyperlink>
          </w:p>
        </w:tc>
      </w:tr>
      <w:tr>
        <w:trPr>
          <w:trHeight w:val="48"/>
        </w:trPr>
        <w:tc>
          <w:tcPr>
            <w:tcW w:w="96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1032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Form of Sixth Amended and Restated Subsidiary Guarantee Agreement for the Sixth Amended and Restated Credit Facility dated as of August</w:t>
              </w:r>
            </w:hyperlink>
          </w:p>
        </w:tc>
        <w:tc>
          <w:tcPr>
            <w:tcW w:w="140" w:type="dxa"/>
            <w:vAlign w:val="bottom"/>
            <w:tcBorders>
              <w:bottom w:val="single" w:sz="8" w:color="CCEEFF"/>
            </w:tcBorders>
            <w:gridSpan w:val="7"/>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30, 2016 signed by Allied Air Enterprises LLC, Advanced Distributor Products LLC, Heatcraft Inc., Heatcraft Refrigeration Products LLC,</w:t>
              </w:r>
            </w:hyperlink>
          </w:p>
        </w:tc>
      </w:tr>
      <w:tr>
        <w:trPr>
          <w:trHeight w:val="20"/>
        </w:trPr>
        <w:tc>
          <w:tcPr>
            <w:tcW w:w="960" w:type="dxa"/>
            <w:vAlign w:val="bottom"/>
            <w:shd w:val="clear" w:color="auto" w:fill="CCEE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7480" w:type="dxa"/>
            <w:vAlign w:val="bottom"/>
            <w:gridSpan w:val="8"/>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200" w:type="dxa"/>
            <w:vAlign w:val="bottom"/>
            <w:tcBorders>
              <w:bottom w:val="single" w:sz="8" w:color="0000FF"/>
            </w:tcBorders>
            <w:gridSpan w:val="20"/>
            <w:shd w:val="clear" w:color="auto" w:fill="CCEEFF"/>
          </w:tcPr>
          <w:p>
            <w:pPr>
              <w:spacing w:after="0" w:line="19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Lennox Global Ltd., Lennox Industries Inc., LGL Australia (US) Inc., Lennox National Account Services LLC and LGL Europe Holding Co.</w:t>
              </w:r>
            </w:hyperlink>
          </w:p>
        </w:tc>
        <w:tc>
          <w:tcPr>
            <w:tcW w:w="260" w:type="dxa"/>
            <w:vAlign w:val="bottom"/>
            <w:tcBorders>
              <w:bottom w:val="single" w:sz="8" w:color="CCEEFF"/>
            </w:tcBorders>
            <w:gridSpan w:val="12"/>
            <w:shd w:val="clear" w:color="auto" w:fill="CCEEFF"/>
          </w:tcPr>
          <w:p>
            <w:pPr>
              <w:spacing w:after="0"/>
              <w:rPr>
                <w:sz w:val="17"/>
                <w:szCs w:val="17"/>
                <w:color w:val="auto"/>
              </w:rPr>
            </w:pPr>
          </w:p>
        </w:tc>
      </w:tr>
      <w:tr>
        <w:trPr>
          <w:trHeight w:val="244"/>
        </w:trPr>
        <w:tc>
          <w:tcPr>
            <w:tcW w:w="96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0000FF"/>
            </w:tcBorders>
            <w:gridSpan w:val="13"/>
            <w:shd w:val="clear" w:color="auto" w:fill="CCEEFF"/>
          </w:tcPr>
          <w:p>
            <w:pPr>
              <w:spacing w:after="0" w:line="19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(filed as Exhibit C in Exhibit 10.1 to LII's Current Report on Form 8-K filed on September 2, 2016 and incorporated herein by reference).</w:t>
              </w:r>
            </w:hyperlink>
          </w:p>
        </w:tc>
        <w:tc>
          <w:tcPr>
            <w:tcW w:w="540" w:type="dxa"/>
            <w:vAlign w:val="bottom"/>
            <w:tcBorders>
              <w:bottom w:val="single" w:sz="8" w:color="CCEEFF"/>
            </w:tcBorders>
            <w:gridSpan w:val="19"/>
            <w:shd w:val="clear" w:color="auto" w:fill="CCEEFF"/>
          </w:tcPr>
          <w:p>
            <w:pPr>
              <w:spacing w:after="0"/>
              <w:rPr>
                <w:sz w:val="21"/>
                <w:szCs w:val="21"/>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10300" w:type="dxa"/>
            <w:vAlign w:val="bottom"/>
            <w:tcBorders>
              <w:bottom w:val="single" w:sz="8" w:color="0000FF"/>
            </w:tcBorders>
            <w:gridSpan w:val="24"/>
          </w:tcPr>
          <w:p>
            <w:pPr>
              <w:spacing w:after="0" w:line="202"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Amendment No. 2 to Amended and Restated Receivables Purchase Agreement, effective as of November 15, 2013, among LPAC Corp., as the</w:t>
              </w:r>
            </w:hyperlink>
          </w:p>
        </w:tc>
        <w:tc>
          <w:tcPr>
            <w:tcW w:w="160" w:type="dxa"/>
            <w:vAlign w:val="bottom"/>
            <w:gridSpan w:val="8"/>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1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Seller, Lennox Industries Inc., as the Master Servicer, Victory Receivables Corporation, as a Purchaser, The Bank of Tokyo-Mitsubishi UFJ,</w:t>
              </w:r>
            </w:hyperlink>
          </w:p>
        </w:tc>
        <w:tc>
          <w:tcPr>
            <w:tcW w:w="360" w:type="dxa"/>
            <w:vAlign w:val="bottom"/>
            <w:gridSpan w:val="15"/>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3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Ltd., New York Branch, as Administrative Agent, a Liquidity Bank, and the BTMU Purchaser Agent, and PNC Bank, National Association as a</w:t>
              </w:r>
            </w:hyperlink>
          </w:p>
        </w:tc>
        <w:tc>
          <w:tcPr>
            <w:tcW w:w="100" w:type="dxa"/>
            <w:vAlign w:val="bottom"/>
            <w:gridSpan w:val="5"/>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9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Liquidity Bank and the PNC Purchaser Agent (filed as Exhibit 10.1 to LII's Current Report on Form 8-K filed on November 19, 2013 and</w:t>
              </w:r>
            </w:hyperlink>
          </w:p>
        </w:tc>
        <w:tc>
          <w:tcPr>
            <w:tcW w:w="540" w:type="dxa"/>
            <w:vAlign w:val="bottom"/>
            <w:gridSpan w:val="19"/>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32"/>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incorporated herein by reference).</w:t>
              </w:r>
            </w:hyperlink>
          </w:p>
        </w:tc>
      </w:tr>
      <w:tr>
        <w:trPr>
          <w:trHeight w:val="507"/>
        </w:trPr>
        <w:tc>
          <w:tcPr>
            <w:tcW w:w="960" w:type="dxa"/>
            <w:vAlign w:val="bottom"/>
          </w:tcPr>
          <w:p>
            <w:pPr>
              <w:spacing w:after="0"/>
              <w:rPr>
                <w:sz w:val="24"/>
                <w:szCs w:val="24"/>
                <w:color w:val="auto"/>
              </w:rPr>
            </w:pPr>
          </w:p>
        </w:tc>
        <w:tc>
          <w:tcPr>
            <w:tcW w:w="2440" w:type="dxa"/>
            <w:vAlign w:val="bottom"/>
            <w:tcBorders>
              <w:top w:val="single" w:sz="8" w:color="0000FF"/>
            </w:tcBorders>
            <w:gridSpan w:val="5"/>
          </w:tcPr>
          <w:p>
            <w:pPr>
              <w:spacing w:after="0"/>
              <w:rPr>
                <w:sz w:val="24"/>
                <w:szCs w:val="24"/>
                <w:color w:val="auto"/>
              </w:rPr>
            </w:pPr>
          </w:p>
        </w:tc>
        <w:tc>
          <w:tcPr>
            <w:tcW w:w="4600" w:type="dxa"/>
            <w:vAlign w:val="bottom"/>
            <w:gridSpan w:val="4"/>
          </w:tcPr>
          <w:p>
            <w:pPr>
              <w:jc w:val="right"/>
              <w:ind w:right="2200"/>
              <w:spacing w:after="0"/>
              <w:rPr>
                <w:sz w:val="20"/>
                <w:szCs w:val="20"/>
                <w:color w:val="auto"/>
              </w:rPr>
            </w:pPr>
            <w:r>
              <w:rPr>
                <w:rFonts w:ascii="Times New Roman" w:cs="Times New Roman" w:eastAsia="Times New Roman" w:hAnsi="Times New Roman"/>
                <w:sz w:val="18"/>
                <w:szCs w:val="18"/>
                <w:color w:val="auto"/>
              </w:rPr>
              <w:t>95</w:t>
            </w: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0220" w:type="dxa"/>
            <w:vAlign w:val="bottom"/>
            <w:tcBorders>
              <w:bottom w:val="single" w:sz="8" w:color="0000FF"/>
            </w:tcBorders>
            <w:gridSpan w:val="18"/>
            <w:shd w:val="clear" w:color="auto" w:fill="CCEEFF"/>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Omnibus Amendment No. 3 to the Amended and Restated Receivables Purchase agreement, effective as of November 21, 2014 among LPAC</w:t>
              </w:r>
            </w:hyperlink>
          </w:p>
        </w:tc>
        <w:tc>
          <w:tcPr>
            <w:tcW w:w="24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Corp., as the Seller, Lennox Industries Inc., as the Master Servicer, Victory Receivables Corporation, as a Purchaser, The Bank of Tokyo-</w:t>
              </w:r>
            </w:hyperlink>
          </w:p>
        </w:tc>
      </w:tr>
      <w:tr>
        <w:trPr>
          <w:trHeight w:val="20"/>
        </w:trPr>
        <w:tc>
          <w:tcPr>
            <w:tcW w:w="960" w:type="dxa"/>
            <w:vAlign w:val="bottom"/>
            <w:shd w:val="clear" w:color="auto" w:fill="CCEE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360" w:type="dxa"/>
            <w:vAlign w:val="bottom"/>
            <w:tcBorders>
              <w:bottom w:val="single" w:sz="8" w:color="0000FF"/>
            </w:tcBorders>
            <w:gridSpan w:val="25"/>
            <w:shd w:val="clear" w:color="auto" w:fill="CCEEFF"/>
          </w:tcPr>
          <w:p>
            <w:pPr>
              <w:spacing w:after="0" w:line="19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Mitsubishi UFJ, Ltd., New York Branch, as Administrative Agent, a Liquidity Bank, and the BTMU Purchaser Agent, and PNC Bank, National</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200" w:type="dxa"/>
            <w:vAlign w:val="bottom"/>
            <w:tcBorders>
              <w:bottom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Association, as a Liquidity Bank and the PNC Purchaser Agent (filed as Exhibit 10.1 to LII's Current Report on Form 8-K filed on November</w:t>
              </w:r>
            </w:hyperlink>
          </w:p>
        </w:tc>
        <w:tc>
          <w:tcPr>
            <w:tcW w:w="260" w:type="dxa"/>
            <w:vAlign w:val="bottom"/>
            <w:tcBorders>
              <w:bottom w:val="single" w:sz="8" w:color="CCEEFF"/>
            </w:tcBorders>
            <w:gridSpan w:val="11"/>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24, 2014 and incorporated herein by reference).</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FF"/>
            </w:tcBorders>
            <w:gridSpan w:val="16"/>
          </w:tcPr>
          <w:p>
            <w:pPr>
              <w:spacing w:after="0" w:line="202"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Amendment to the Amended and Restated Receivables Purchase Agreement, effective as of December 15, 2014, among LPAC Corp., as the</w:t>
              </w:r>
            </w:hyperlink>
          </w:p>
        </w:tc>
        <w:tc>
          <w:tcPr>
            <w:tcW w:w="360" w:type="dxa"/>
            <w:vAlign w:val="bottom"/>
            <w:gridSpan w:val="1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3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Seller, Lennox Industries Inc., as the Master Servicer, with Victory Receivables Corporation, as Purchaser, The Bank of Tokyo-Mitsubishi UFJ,</w:t>
              </w:r>
            </w:hyperlink>
          </w:p>
        </w:tc>
        <w:tc>
          <w:tcPr>
            <w:tcW w:w="12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3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Ltd., New York Branch, as Administrative Agent, a Liquidity Bank and the BTMU purchaser agent, and PNC Bank, National Association, as a</w:t>
              </w:r>
            </w:hyperlink>
          </w:p>
        </w:tc>
        <w:tc>
          <w:tcPr>
            <w:tcW w:w="160" w:type="dxa"/>
            <w:vAlign w:val="bottom"/>
            <w:gridSpan w:val="6"/>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9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Liquidity Bank and the PNC purchaser agent (filed as Exhibit 10.1 to LII's Current Report on Form 8-K filed on December 18, 2014 and</w:t>
              </w:r>
            </w:hyperlink>
          </w:p>
        </w:tc>
        <w:tc>
          <w:tcPr>
            <w:tcW w:w="520" w:type="dxa"/>
            <w:vAlign w:val="bottom"/>
            <w:gridSpan w:val="1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8"/>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incorporated herein by reference).</w:t>
              </w:r>
            </w:hyperlink>
          </w:p>
        </w:tc>
      </w:tr>
      <w:tr>
        <w:trPr>
          <w:trHeight w:val="48"/>
        </w:trPr>
        <w:tc>
          <w:tcPr>
            <w:tcW w:w="96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10.9</w:t>
            </w:r>
          </w:p>
        </w:tc>
        <w:tc>
          <w:tcPr>
            <w:tcW w:w="1036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Amendment No. 4 to Amended and Restated Receivables Purchase Agreement among LPAC Corp., as the Seller, Lennox Industries Inc., as the</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400" w:type="dxa"/>
            <w:vAlign w:val="bottom"/>
            <w:tcBorders>
              <w:bottom w:val="single" w:sz="8" w:color="0000FF"/>
            </w:tcBorders>
            <w:gridSpan w:val="27"/>
            <w:shd w:val="clear" w:color="auto" w:fill="CCEEFF"/>
          </w:tcPr>
          <w:p>
            <w:pPr>
              <w:spacing w:after="0" w:line="19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Master Servicer, Victory Receivables Corporation, as Purchaser, The Bank of Tokyo-Mitsubishi UFJ, Ltd., New York Branch, as Administrative</w:t>
              </w:r>
            </w:hyperlink>
          </w:p>
        </w:tc>
        <w:tc>
          <w:tcPr>
            <w:tcW w:w="60" w:type="dxa"/>
            <w:vAlign w:val="bottom"/>
            <w:tcBorders>
              <w:bottom w:val="single" w:sz="8" w:color="CCEEFF"/>
            </w:tcBorders>
            <w:shd w:val="clear" w:color="auto" w:fill="CCEEFF"/>
          </w:tcPr>
          <w:p>
            <w:pPr>
              <w:spacing w:after="0"/>
              <w:rPr>
                <w:sz w:val="17"/>
                <w:szCs w:val="17"/>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280" w:type="dxa"/>
            <w:vAlign w:val="bottom"/>
            <w:tcBorders>
              <w:bottom w:val="single" w:sz="8" w:color="0000FF"/>
            </w:tcBorders>
            <w:gridSpan w:val="21"/>
            <w:shd w:val="clear" w:color="auto" w:fill="CCEEFF"/>
          </w:tcPr>
          <w:p>
            <w:pPr>
              <w:spacing w:after="0" w:line="19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Agent, a Liquidity Bank and a Purchaser Agent, and PNC Bank, National Association, as a Liquidity Bank and a Purchaser Agent, effective as</w:t>
              </w:r>
            </w:hyperlink>
          </w:p>
        </w:tc>
        <w:tc>
          <w:tcPr>
            <w:tcW w:w="180" w:type="dxa"/>
            <w:vAlign w:val="bottom"/>
            <w:tcBorders>
              <w:bottom w:val="single" w:sz="8" w:color="CCEEFF"/>
            </w:tcBorders>
            <w:gridSpan w:val="7"/>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of November 13, 2015 (filed as Exhibit 10.1 to LII’s Current Report on Form 8-K filed on November 18, 2015 and incorporated herein by</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9940" w:type="dxa"/>
            <w:vAlign w:val="bottom"/>
            <w:tcBorders>
              <w:top w:val="single" w:sz="8" w:color="0000FF"/>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reference).</w:t>
              </w:r>
            </w:hyperlink>
          </w:p>
        </w:tc>
        <w:tc>
          <w:tcPr>
            <w:tcW w:w="520" w:type="dxa"/>
            <w:vAlign w:val="bottom"/>
            <w:tcBorders>
              <w:top w:val="single" w:sz="8" w:color="CCEEFF"/>
            </w:tcBorders>
            <w:gridSpan w:val="13"/>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10.10</w:t>
            </w:r>
          </w:p>
        </w:tc>
        <w:tc>
          <w:tcPr>
            <w:tcW w:w="10340" w:type="dxa"/>
            <w:vAlign w:val="bottom"/>
            <w:tcBorders>
              <w:bottom w:val="single" w:sz="8" w:color="0000FF"/>
            </w:tcBorders>
            <w:gridSpan w:val="24"/>
          </w:tcPr>
          <w:p>
            <w:pPr>
              <w:spacing w:after="0" w:line="202"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Amendment No. 5 to Amended and Restated Receivables Purchase Agreement among LPAC Corp., as the Seller, Lennox Industries Inc., as the</w:t>
              </w:r>
            </w:hyperlink>
          </w:p>
        </w:tc>
        <w:tc>
          <w:tcPr>
            <w:tcW w:w="12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8"/>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Master Servicer, Victory Receivables Corporation, as Purchaser and The Bank of Tokyo-Mitsubishi UFJ, Ltd., New York Branch, as</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3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Administrative Agent, a Liquidity Bank and a Purchaser Agent, (filed as Exhibit 10.1 to LII's Current Report on Form 8-K filed on July 6, 2016</w:t>
              </w:r>
            </w:hyperlink>
          </w:p>
        </w:tc>
        <w:tc>
          <w:tcPr>
            <w:tcW w:w="100" w:type="dxa"/>
            <w:vAlign w:val="bottom"/>
            <w:gridSpan w:val="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8"/>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and incorporated herein by reference)</w:t>
              </w:r>
              <w:r>
                <w:rPr>
                  <w:rFonts w:ascii="Times New Roman" w:cs="Times New Roman" w:eastAsia="Times New Roman" w:hAnsi="Times New Roman"/>
                  <w:sz w:val="18"/>
                  <w:szCs w:val="18"/>
                  <w:color w:val="000000"/>
                </w:rPr>
                <w:t>.</w:t>
              </w:r>
            </w:hyperlink>
          </w:p>
        </w:tc>
      </w:tr>
      <w:tr>
        <w:trPr>
          <w:trHeight w:val="48"/>
        </w:trPr>
        <w:tc>
          <w:tcPr>
            <w:tcW w:w="96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10.11</w:t>
            </w:r>
          </w:p>
        </w:tc>
        <w:tc>
          <w:tcPr>
            <w:tcW w:w="10340" w:type="dxa"/>
            <w:vAlign w:val="bottom"/>
            <w:tcBorders>
              <w:bottom w:val="single" w:sz="8" w:color="0000FF"/>
            </w:tcBorders>
            <w:gridSpan w:val="24"/>
            <w:shd w:val="clear" w:color="auto" w:fill="CCEEFF"/>
          </w:tcPr>
          <w:p>
            <w:pPr>
              <w:spacing w:after="0" w:line="202"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Amendment No. 6 to Amended and Restated Receivables Purchase Agreement among LPAC Corp., as the Seller, Lennox Industries Inc., as the</w:t>
              </w:r>
            </w:hyperlink>
          </w:p>
        </w:tc>
        <w:tc>
          <w:tcPr>
            <w:tcW w:w="12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Master Servicer, Victory Receivables Corporation, as Purchaser and The Bank of Tokyo-Mitsubishi UFJ, Ltd., New York Branch, as</w:t>
              </w:r>
            </w:hyperlink>
          </w:p>
        </w:tc>
      </w:tr>
      <w:tr>
        <w:trPr>
          <w:trHeight w:val="20"/>
        </w:trPr>
        <w:tc>
          <w:tcPr>
            <w:tcW w:w="960" w:type="dxa"/>
            <w:vAlign w:val="bottom"/>
            <w:shd w:val="clear" w:color="auto" w:fill="CCEE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tcBorders>
            <w:gridSpan w:val="19"/>
            <w:shd w:val="clear" w:color="auto" w:fill="CCEEFF"/>
          </w:tcPr>
          <w:p>
            <w:pPr>
              <w:spacing w:after="0" w:line="19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Administrative Agent, a Liquidity Bank and a Purchaser Agent, (filed as Exhibit 10.1 to LII's Current Report on Form 8-K filed on November</w:t>
              </w:r>
            </w:hyperlink>
          </w:p>
        </w:tc>
        <w:tc>
          <w:tcPr>
            <w:tcW w:w="220" w:type="dxa"/>
            <w:vAlign w:val="bottom"/>
            <w:tcBorders>
              <w:bottom w:val="single" w:sz="8" w:color="CCEEFF"/>
            </w:tcBorders>
            <w:gridSpan w:val="9"/>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16, 2017 and incorporated herein by reference).</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10.12</w:t>
            </w:r>
          </w:p>
        </w:tc>
        <w:tc>
          <w:tcPr>
            <w:tcW w:w="10340" w:type="dxa"/>
            <w:vAlign w:val="bottom"/>
            <w:tcBorders>
              <w:bottom w:val="single" w:sz="8" w:color="0000FF"/>
            </w:tcBorders>
            <w:gridSpan w:val="24"/>
          </w:tcPr>
          <w:p>
            <w:pPr>
              <w:spacing w:after="0" w:line="202"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Amendment No. 7 to Amended and Restated Receivables Purchase Agreement among LPAC Corp., as the Seller, Lennox Industries Inc., as the</w:t>
              </w:r>
            </w:hyperlink>
          </w:p>
        </w:tc>
        <w:tc>
          <w:tcPr>
            <w:tcW w:w="12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8"/>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Master Servicer, Victory Receivables Corporation, as Purchaser and The Bank of Tokyo-Mitsubishi UFJ, Ltd., New York Branch, as</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8"/>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Administrative Agent, a Liquidity Bank and a Purchaser Agent (filed as Exhibit 10.1 to LII’s Quarterly Report on Form 10-Q filed on April 23,</w:t>
              </w:r>
            </w:hyperlink>
          </w:p>
        </w:tc>
      </w:tr>
      <w:tr>
        <w:trPr>
          <w:trHeight w:val="196"/>
        </w:trPr>
        <w:tc>
          <w:tcPr>
            <w:tcW w:w="960" w:type="dxa"/>
            <w:vAlign w:val="bottom"/>
          </w:tcPr>
          <w:p>
            <w:pPr>
              <w:spacing w:after="0"/>
              <w:rPr>
                <w:sz w:val="17"/>
                <w:szCs w:val="17"/>
                <w:color w:val="auto"/>
              </w:rPr>
            </w:pPr>
          </w:p>
        </w:tc>
        <w:tc>
          <w:tcPr>
            <w:tcW w:w="1032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2018, and incorporated by reference).</w:t>
              </w:r>
            </w:hyperlink>
          </w:p>
        </w:tc>
        <w:tc>
          <w:tcPr>
            <w:tcW w:w="140" w:type="dxa"/>
            <w:vAlign w:val="bottom"/>
            <w:gridSpan w:val="5"/>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10.13</w:t>
            </w:r>
          </w:p>
        </w:tc>
        <w:tc>
          <w:tcPr>
            <w:tcW w:w="1036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Amendment No. 8 to Amended and Restated Receivables Purchase Agreement among LPAC Corp., as the Seller, Lennox Industries Inc., as the</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360" w:type="dxa"/>
            <w:vAlign w:val="bottom"/>
            <w:tcBorders>
              <w:bottom w:val="single" w:sz="8" w:color="0000FF"/>
            </w:tcBorders>
            <w:gridSpan w:val="25"/>
            <w:shd w:val="clear" w:color="auto" w:fill="CCEEFF"/>
          </w:tcPr>
          <w:p>
            <w:pPr>
              <w:spacing w:after="0" w:line="19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Master Servicer, Victory Receivables Corporation, as Purchaser and MUFG Bank, Ltd., as Administrative Agent, BTMU Liquidity Bank, Wells</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FF"/>
            </w:tcBorders>
            <w:gridSpan w:val="18"/>
            <w:shd w:val="clear" w:color="auto" w:fill="CCEEFF"/>
          </w:tcPr>
          <w:p>
            <w:pPr>
              <w:spacing w:after="0" w:line="19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Fargo Bank, National Association, a Liquidity Bank and PNC Bank, N National Association, a Purchaser Agent (filed as Exhibit 10.1 to LII’s</w:t>
              </w:r>
            </w:hyperlink>
          </w:p>
        </w:tc>
        <w:tc>
          <w:tcPr>
            <w:tcW w:w="24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Quarterly Report on Form 10-Q filed on October 22, 2018, and incorporated by reference).</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9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10.14</w:t>
            </w:r>
          </w:p>
        </w:tc>
        <w:tc>
          <w:tcPr>
            <w:tcW w:w="10460" w:type="dxa"/>
            <w:vAlign w:val="bottom"/>
            <w:gridSpan w:val="28"/>
          </w:tcPr>
          <w:p>
            <w:pPr>
              <w:spacing w:after="0" w:line="202"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Amended and Restated Lease Agreement, dated as of March 22, 2013, by and between BTMU Capital Leasing &amp; Finance, Inc., as lessor, and</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8"/>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Lennox International Inc., as lessee (filed as Exhibit 10.1 to LII's Current Report on Form 8-K filed on March 25, 2013 and incorporated herein</w:t>
              </w:r>
            </w:hyperlink>
          </w:p>
        </w:tc>
      </w:tr>
      <w:tr>
        <w:trPr>
          <w:trHeight w:val="196"/>
        </w:trPr>
        <w:tc>
          <w:tcPr>
            <w:tcW w:w="960" w:type="dxa"/>
            <w:vAlign w:val="bottom"/>
          </w:tcPr>
          <w:p>
            <w:pPr>
              <w:spacing w:after="0"/>
              <w:rPr>
                <w:sz w:val="17"/>
                <w:szCs w:val="17"/>
                <w:color w:val="auto"/>
              </w:rPr>
            </w:pPr>
          </w:p>
        </w:tc>
        <w:tc>
          <w:tcPr>
            <w:tcW w:w="1032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by reference).</w:t>
              </w:r>
            </w:hyperlink>
          </w:p>
        </w:tc>
        <w:tc>
          <w:tcPr>
            <w:tcW w:w="140" w:type="dxa"/>
            <w:vAlign w:val="bottom"/>
            <w:gridSpan w:val="5"/>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10.15</w:t>
            </w:r>
          </w:p>
        </w:tc>
        <w:tc>
          <w:tcPr>
            <w:tcW w:w="10460" w:type="dxa"/>
            <w:vAlign w:val="bottom"/>
            <w:gridSpan w:val="28"/>
            <w:shd w:val="clear" w:color="auto" w:fill="CCEEFF"/>
          </w:tcPr>
          <w:p>
            <w:pPr>
              <w:spacing w:after="0" w:line="202"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Amended and Restated Participation Agreement, dated as of March 22, 2013, by and among Lennox International Inc., as lessee and BTMU</w:t>
              </w:r>
            </w:hyperlink>
          </w:p>
        </w:tc>
      </w:tr>
      <w:tr>
        <w:trPr>
          <w:trHeight w:val="20"/>
        </w:trPr>
        <w:tc>
          <w:tcPr>
            <w:tcW w:w="960" w:type="dxa"/>
            <w:vAlign w:val="bottom"/>
            <w:shd w:val="clear" w:color="auto" w:fill="CCEE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300" w:type="dxa"/>
            <w:vAlign w:val="bottom"/>
            <w:tcBorders>
              <w:bottom w:val="single" w:sz="8" w:color="0000FF"/>
            </w:tcBorders>
            <w:gridSpan w:val="22"/>
            <w:shd w:val="clear" w:color="auto" w:fill="CCEEFF"/>
          </w:tcPr>
          <w:p>
            <w:pPr>
              <w:spacing w:after="0" w:line="19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Capital Leasing &amp; Finance, Inc., as lessor (filed as Exhibit 10.2 to LII's Current Report on Form 8-K filed on March 25, 2013 and incorporated</w:t>
              </w:r>
            </w:hyperlink>
          </w:p>
        </w:tc>
        <w:tc>
          <w:tcPr>
            <w:tcW w:w="160" w:type="dxa"/>
            <w:vAlign w:val="bottom"/>
            <w:tcBorders>
              <w:bottom w:val="single" w:sz="8" w:color="CCEEFF"/>
            </w:tcBorders>
            <w:gridSpan w:val="6"/>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herein by reference).</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10.16</w:t>
            </w:r>
          </w:p>
        </w:tc>
        <w:tc>
          <w:tcPr>
            <w:tcW w:w="10460" w:type="dxa"/>
            <w:vAlign w:val="bottom"/>
            <w:gridSpan w:val="28"/>
          </w:tcPr>
          <w:p>
            <w:pPr>
              <w:spacing w:after="0" w:line="202"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Amended and Restated Memorandum of Lease, Deed of Trust, Assignment of Leases and Rents, Security Agreement and Fixture Filing, dated</w:t>
              </w:r>
            </w:hyperlink>
          </w:p>
        </w:tc>
      </w:tr>
      <w:tr>
        <w:trPr>
          <w:trHeight w:val="196"/>
        </w:trPr>
        <w:tc>
          <w:tcPr>
            <w:tcW w:w="960" w:type="dxa"/>
            <w:vAlign w:val="bottom"/>
          </w:tcPr>
          <w:p>
            <w:pPr>
              <w:spacing w:after="0"/>
              <w:rPr>
                <w:sz w:val="17"/>
                <w:szCs w:val="17"/>
                <w:color w:val="auto"/>
              </w:rPr>
            </w:pPr>
          </w:p>
        </w:tc>
        <w:tc>
          <w:tcPr>
            <w:tcW w:w="10220" w:type="dxa"/>
            <w:vAlign w:val="bottom"/>
            <w:tcBorders>
              <w:top w:val="single" w:sz="8" w:color="0000FF"/>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as of March 22, 2013, by and among Lennox International Inc., BTMU Capital Leasing and Finance, Inc. and David Parnell, as Deed of Trust</w:t>
              </w:r>
            </w:hyperlink>
          </w:p>
        </w:tc>
        <w:tc>
          <w:tcPr>
            <w:tcW w:w="40" w:type="dxa"/>
            <w:vAlign w:val="bottom"/>
            <w:tcBorders>
              <w:top w:val="single" w:sz="8" w:color="0000FF"/>
            </w:tcBorders>
            <w:gridSpan w:val="2"/>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8"/>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Trustee, for the benefit of BTMU Capital Leasing &amp; Finance, Inc. (filed as Exhibit 10.3 to LII's Current Report on Form 8-K filed on March 25,</w:t>
              </w:r>
            </w:hyperlink>
          </w:p>
        </w:tc>
      </w:tr>
      <w:tr>
        <w:trPr>
          <w:trHeight w:val="196"/>
        </w:trPr>
        <w:tc>
          <w:tcPr>
            <w:tcW w:w="960" w:type="dxa"/>
            <w:vAlign w:val="bottom"/>
          </w:tcPr>
          <w:p>
            <w:pPr>
              <w:spacing w:after="0"/>
              <w:rPr>
                <w:sz w:val="17"/>
                <w:szCs w:val="17"/>
                <w:color w:val="auto"/>
              </w:rPr>
            </w:pPr>
          </w:p>
        </w:tc>
        <w:tc>
          <w:tcPr>
            <w:tcW w:w="1036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2013 and incorporated herein by reference).</w:t>
              </w:r>
            </w:hyperlink>
          </w:p>
        </w:tc>
        <w:tc>
          <w:tcPr>
            <w:tcW w:w="100" w:type="dxa"/>
            <w:vAlign w:val="bottom"/>
            <w:gridSpan w:val="3"/>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10.17*</w:t>
            </w:r>
          </w:p>
        </w:tc>
        <w:tc>
          <w:tcPr>
            <w:tcW w:w="10380" w:type="dxa"/>
            <w:vAlign w:val="bottom"/>
            <w:tcBorders>
              <w:bottom w:val="single" w:sz="8" w:color="0000FF"/>
            </w:tcBorders>
            <w:gridSpan w:val="26"/>
            <w:shd w:val="clear" w:color="auto" w:fill="CCEEFF"/>
          </w:tcPr>
          <w:p>
            <w:pPr>
              <w:spacing w:after="0" w:line="202"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Lennox International Inc. 2010 Incentive Plan, as amended and restated (filed as Exhibit 10.1 to LII's Current Report on Form 8-K filed on May</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19, 2010 and incorporated herein by reference</w:t>
              </w:r>
              <w:r>
                <w:rPr>
                  <w:rFonts w:ascii="Times New Roman" w:cs="Times New Roman" w:eastAsia="Times New Roman" w:hAnsi="Times New Roman"/>
                  <w:sz w:val="18"/>
                  <w:szCs w:val="18"/>
                  <w:color w:val="000000"/>
                </w:rPr>
                <w:t>).</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10.18*</w:t>
            </w:r>
          </w:p>
        </w:tc>
        <w:tc>
          <w:tcPr>
            <w:tcW w:w="10460" w:type="dxa"/>
            <w:vAlign w:val="bottom"/>
            <w:gridSpan w:val="28"/>
          </w:tcPr>
          <w:p>
            <w:pPr>
              <w:spacing w:after="0" w:line="202" w:lineRule="exact"/>
              <w:rPr>
                <w:rFonts w:ascii="Times New Roman" w:cs="Times New Roman" w:eastAsia="Times New Roman" w:hAnsi="Times New Roman"/>
                <w:sz w:val="18"/>
                <w:szCs w:val="18"/>
                <w:color w:val="0000FF"/>
              </w:rPr>
            </w:pPr>
            <w:hyperlink w:anchor="page106">
              <w:r>
                <w:rPr>
                  <w:rFonts w:ascii="Times New Roman" w:cs="Times New Roman" w:eastAsia="Times New Roman" w:hAnsi="Times New Roman"/>
                  <w:sz w:val="18"/>
                  <w:szCs w:val="18"/>
                  <w:color w:val="0000FF"/>
                </w:rPr>
                <w:t>Form of Long-Term Incentive Award Agreement for U.S. Employees - Vice President and Above (for use under the 2010 Incentive Plan) (filed</w:t>
              </w:r>
            </w:hyperlink>
          </w:p>
        </w:tc>
      </w:tr>
      <w:tr>
        <w:trPr>
          <w:trHeight w:val="196"/>
        </w:trPr>
        <w:tc>
          <w:tcPr>
            <w:tcW w:w="960" w:type="dxa"/>
            <w:vAlign w:val="bottom"/>
          </w:tcPr>
          <w:p>
            <w:pPr>
              <w:spacing w:after="0"/>
              <w:rPr>
                <w:sz w:val="17"/>
                <w:szCs w:val="17"/>
                <w:color w:val="auto"/>
              </w:rPr>
            </w:pPr>
          </w:p>
        </w:tc>
        <w:tc>
          <w:tcPr>
            <w:tcW w:w="1030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w:anchor="page106">
              <w:r>
                <w:rPr>
                  <w:rFonts w:ascii="Times New Roman" w:cs="Times New Roman" w:eastAsia="Times New Roman" w:hAnsi="Times New Roman"/>
                  <w:sz w:val="18"/>
                  <w:szCs w:val="18"/>
                  <w:color w:val="0000FF"/>
                </w:rPr>
                <w:t>herewith).</w:t>
              </w:r>
            </w:hyperlink>
          </w:p>
        </w:tc>
        <w:tc>
          <w:tcPr>
            <w:tcW w:w="160" w:type="dxa"/>
            <w:vAlign w:val="bottom"/>
            <w:gridSpan w:val="6"/>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9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10.19*</w:t>
            </w:r>
          </w:p>
        </w:tc>
        <w:tc>
          <w:tcPr>
            <w:tcW w:w="10460" w:type="dxa"/>
            <w:vAlign w:val="bottom"/>
            <w:gridSpan w:val="28"/>
            <w:shd w:val="clear" w:color="auto" w:fill="CCEEFF"/>
          </w:tcPr>
          <w:p>
            <w:pPr>
              <w:spacing w:after="0" w:line="202" w:lineRule="exact"/>
              <w:rPr>
                <w:rFonts w:ascii="Times New Roman" w:cs="Times New Roman" w:eastAsia="Times New Roman" w:hAnsi="Times New Roman"/>
                <w:sz w:val="18"/>
                <w:szCs w:val="18"/>
                <w:color w:val="0000FF"/>
              </w:rPr>
            </w:pPr>
            <w:hyperlink w:anchor="page113">
              <w:r>
                <w:rPr>
                  <w:rFonts w:ascii="Times New Roman" w:cs="Times New Roman" w:eastAsia="Times New Roman" w:hAnsi="Times New Roman"/>
                  <w:sz w:val="18"/>
                  <w:szCs w:val="18"/>
                  <w:color w:val="0000FF"/>
                </w:rPr>
                <w:t>Form of Restricted Stock Unit Award Agreement for Non-Employee Directors (for use under the 2010 Incentive Plan) (filed herewith).</w:t>
              </w:r>
            </w:hyperlink>
          </w:p>
        </w:tc>
      </w:tr>
      <w:tr>
        <w:trPr>
          <w:trHeight w:val="203"/>
        </w:trPr>
        <w:tc>
          <w:tcPr>
            <w:tcW w:w="960" w:type="dxa"/>
            <w:vAlign w:val="bottom"/>
            <w:tcBorders>
              <w:top w:val="single" w:sz="8" w:color="CCEEFF"/>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10.20*</w:t>
            </w:r>
          </w:p>
        </w:tc>
        <w:tc>
          <w:tcPr>
            <w:tcW w:w="9720" w:type="dxa"/>
            <w:vAlign w:val="bottom"/>
            <w:tcBorders>
              <w:top w:val="single" w:sz="8" w:color="0000FF"/>
            </w:tcBorders>
            <w:gridSpan w:val="14"/>
          </w:tcPr>
          <w:p>
            <w:pPr>
              <w:spacing w:after="0" w:line="202" w:lineRule="exact"/>
              <w:rPr>
                <w:rFonts w:ascii="Times New Roman" w:cs="Times New Roman" w:eastAsia="Times New Roman" w:hAnsi="Times New Roman"/>
                <w:sz w:val="18"/>
                <w:szCs w:val="18"/>
                <w:color w:val="0000FF"/>
              </w:rPr>
            </w:pPr>
            <w:hyperlink w:anchor="page116">
              <w:r>
                <w:rPr>
                  <w:rFonts w:ascii="Times New Roman" w:cs="Times New Roman" w:eastAsia="Times New Roman" w:hAnsi="Times New Roman"/>
                  <w:sz w:val="18"/>
                  <w:szCs w:val="18"/>
                  <w:color w:val="0000FF"/>
                </w:rPr>
                <w:t>Short-Term Incentive Program for Lennox International Inc. and its Subsidiaries (filed herewith).</w:t>
              </w:r>
            </w:hyperlink>
          </w:p>
        </w:tc>
        <w:tc>
          <w:tcPr>
            <w:tcW w:w="740" w:type="dxa"/>
            <w:vAlign w:val="bottom"/>
            <w:tcBorders>
              <w:top w:val="single" w:sz="8" w:color="CCEEFF"/>
            </w:tcBorders>
            <w:gridSpan w:val="14"/>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9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10.21*</w:t>
            </w:r>
          </w:p>
        </w:tc>
        <w:tc>
          <w:tcPr>
            <w:tcW w:w="10280" w:type="dxa"/>
            <w:vAlign w:val="bottom"/>
            <w:tcBorders>
              <w:bottom w:val="single" w:sz="8" w:color="0000FF"/>
            </w:tcBorders>
            <w:gridSpan w:val="21"/>
            <w:shd w:val="clear" w:color="auto" w:fill="CCEEFF"/>
          </w:tcPr>
          <w:p>
            <w:pPr>
              <w:spacing w:after="0" w:line="202"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Lennox International Inc. Profit Sharing Restoration Plan, as amended and restated as of January 1, 2009 (filed as Exhibit 10.3 to LII's Current</w:t>
              </w:r>
            </w:hyperlink>
          </w:p>
        </w:tc>
        <w:tc>
          <w:tcPr>
            <w:tcW w:w="180" w:type="dxa"/>
            <w:vAlign w:val="bottom"/>
            <w:tcBorders>
              <w:bottom w:val="single" w:sz="8" w:color="CCEEFF"/>
            </w:tcBorders>
            <w:gridSpan w:val="7"/>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Report on Form 8-K filed on December 17, 2008 and incorporated herein by reference).</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9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10.22*</w:t>
            </w:r>
          </w:p>
        </w:tc>
        <w:tc>
          <w:tcPr>
            <w:tcW w:w="10220" w:type="dxa"/>
            <w:vAlign w:val="bottom"/>
            <w:tcBorders>
              <w:bottom w:val="single" w:sz="8" w:color="0000FF"/>
            </w:tcBorders>
            <w:gridSpan w:val="18"/>
          </w:tcPr>
          <w:p>
            <w:pPr>
              <w:spacing w:after="0" w:line="202"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Lennox International Inc. Supplemental Retirement Plan, as amended and restated as of January 1, 2009 (filed as Exhibit 10.2 to LII's Current</w:t>
              </w:r>
            </w:hyperlink>
          </w:p>
        </w:tc>
        <w:tc>
          <w:tcPr>
            <w:tcW w:w="240" w:type="dxa"/>
            <w:vAlign w:val="bottom"/>
            <w:gridSpan w:val="10"/>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8"/>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Report on Form 8-K filed on December 17, 2008 and incorporated herein by reference).</w:t>
              </w:r>
            </w:hyperlink>
          </w:p>
        </w:tc>
      </w:tr>
      <w:tr>
        <w:trPr>
          <w:trHeight w:val="507"/>
        </w:trPr>
        <w:tc>
          <w:tcPr>
            <w:tcW w:w="960" w:type="dxa"/>
            <w:vAlign w:val="bottom"/>
          </w:tcPr>
          <w:p>
            <w:pPr>
              <w:spacing w:after="0"/>
              <w:rPr>
                <w:sz w:val="24"/>
                <w:szCs w:val="24"/>
                <w:color w:val="auto"/>
              </w:rPr>
            </w:pPr>
          </w:p>
        </w:tc>
        <w:tc>
          <w:tcPr>
            <w:tcW w:w="6320" w:type="dxa"/>
            <w:vAlign w:val="bottom"/>
            <w:tcBorders>
              <w:top w:val="single" w:sz="8" w:color="0000FF"/>
            </w:tcBorders>
            <w:gridSpan w:val="10"/>
          </w:tcPr>
          <w:p>
            <w:pPr>
              <w:ind w:left="466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729" w:right="2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10460" w:type="dxa"/>
            <w:vAlign w:val="bottom"/>
            <w:gridSpan w:val="17"/>
            <w:shd w:val="clear" w:color="auto" w:fill="CCEEFF"/>
          </w:tcPr>
          <w:p>
            <w:pPr>
              <w:spacing w:after="0"/>
              <w:rPr>
                <w:rFonts w:ascii="Times New Roman" w:cs="Times New Roman" w:eastAsia="Times New Roman" w:hAnsi="Times New Roman"/>
                <w:sz w:val="18"/>
                <w:szCs w:val="18"/>
                <w:color w:val="0000FF"/>
              </w:rPr>
            </w:pPr>
            <w:hyperlink w:anchor="page119">
              <w:r>
                <w:rPr>
                  <w:rFonts w:ascii="Times New Roman" w:cs="Times New Roman" w:eastAsia="Times New Roman" w:hAnsi="Times New Roman"/>
                  <w:sz w:val="18"/>
                  <w:szCs w:val="18"/>
                  <w:color w:val="0000FF"/>
                </w:rPr>
                <w:t>Amendment Number One to the Lennox International Inc. Supplemental Retirement Plan, as amended and restated as of January 1, 2009, dated</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340" w:type="dxa"/>
            <w:vAlign w:val="bottom"/>
            <w:tcBorders>
              <w:top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w:anchor="page119">
              <w:r>
                <w:rPr>
                  <w:rFonts w:ascii="Times New Roman" w:cs="Times New Roman" w:eastAsia="Times New Roman" w:hAnsi="Times New Roman"/>
                  <w:sz w:val="18"/>
                  <w:szCs w:val="18"/>
                  <w:color w:val="0000FF"/>
                </w:rPr>
                <w:t>December 28, 2018 (filed herewith).</w:t>
              </w:r>
            </w:hyperlink>
          </w:p>
        </w:tc>
        <w:tc>
          <w:tcPr>
            <w:tcW w:w="120" w:type="dxa"/>
            <w:vAlign w:val="bottom"/>
            <w:tcBorders>
              <w:top w:val="single" w:sz="8" w:color="CCEEFF"/>
            </w:tcBorders>
            <w:gridSpan w:val="3"/>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10.24*</w:t>
            </w:r>
          </w:p>
        </w:tc>
        <w:tc>
          <w:tcPr>
            <w:tcW w:w="10460" w:type="dxa"/>
            <w:vAlign w:val="bottom"/>
            <w:gridSpan w:val="17"/>
          </w:tcPr>
          <w:p>
            <w:pPr>
              <w:spacing w:after="0" w:line="202" w:lineRule="exact"/>
              <w:rPr>
                <w:rFonts w:ascii="Times New Roman" w:cs="Times New Roman" w:eastAsia="Times New Roman" w:hAnsi="Times New Roman"/>
                <w:sz w:val="18"/>
                <w:szCs w:val="18"/>
                <w:color w:val="0000FF"/>
              </w:rPr>
            </w:pPr>
            <w:hyperlink w:anchor="page121">
              <w:r>
                <w:rPr>
                  <w:rFonts w:ascii="Times New Roman" w:cs="Times New Roman" w:eastAsia="Times New Roman" w:hAnsi="Times New Roman"/>
                  <w:sz w:val="18"/>
                  <w:szCs w:val="18"/>
                  <w:color w:val="0000FF"/>
                </w:rPr>
                <w:t>Lennox International Inc. Supplemental Restoration Retirement Plan, effective as of January 1, 2019, dated December 28, 2018 (filed herewith).</w:t>
              </w:r>
            </w:hyperlink>
          </w:p>
        </w:tc>
      </w:tr>
      <w:tr>
        <w:trPr>
          <w:trHeight w:val="48"/>
        </w:trPr>
        <w:tc>
          <w:tcPr>
            <w:tcW w:w="960" w:type="dxa"/>
            <w:vAlign w:val="bottom"/>
          </w:tcPr>
          <w:p>
            <w:pPr>
              <w:spacing w:after="0"/>
              <w:rPr>
                <w:sz w:val="4"/>
                <w:szCs w:val="4"/>
                <w:color w:val="auto"/>
              </w:rPr>
            </w:pPr>
          </w:p>
        </w:tc>
        <w:tc>
          <w:tcPr>
            <w:tcW w:w="2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0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r>
      <w:tr>
        <w:trPr>
          <w:trHeight w:val="225"/>
        </w:trPr>
        <w:tc>
          <w:tcPr>
            <w:tcW w:w="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104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Indemnification Agreement entered into between LII and certain executive officers and directors of LII (filed as Exhibit 10.15 to LII’s</w:t>
            </w:r>
          </w:p>
        </w:tc>
      </w:tr>
      <w:tr>
        <w:trPr>
          <w:trHeight w:val="241"/>
        </w:trPr>
        <w:tc>
          <w:tcPr>
            <w:tcW w:w="960" w:type="dxa"/>
            <w:vAlign w:val="bottom"/>
            <w:tcBorders>
              <w:bottom w:val="single" w:sz="8" w:color="CCEEFF"/>
            </w:tcBorders>
            <w:shd w:val="clear" w:color="auto" w:fill="CCEEFF"/>
          </w:tcPr>
          <w:p>
            <w:pPr>
              <w:spacing w:after="0"/>
              <w:rPr>
                <w:sz w:val="20"/>
                <w:szCs w:val="20"/>
                <w:color w:val="auto"/>
              </w:rPr>
            </w:pPr>
          </w:p>
        </w:tc>
        <w:tc>
          <w:tcPr>
            <w:tcW w:w="1046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Statement on Form S-1 (Registration No. 333-75725) filed on April 6, 1999 and incorporated herein by reference).</w:t>
            </w: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10.26*</w:t>
            </w:r>
          </w:p>
        </w:tc>
        <w:tc>
          <w:tcPr>
            <w:tcW w:w="10460" w:type="dxa"/>
            <w:vAlign w:val="bottom"/>
            <w:gridSpan w:val="17"/>
          </w:tcPr>
          <w:p>
            <w:pPr>
              <w:spacing w:after="0" w:line="20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Employment Agreement entered into between LII and certain executive officers of LII (filed as Exhibit 10.30 to LII's Annual Report on</w:t>
              </w:r>
            </w:hyperlink>
          </w:p>
        </w:tc>
      </w:tr>
      <w:tr>
        <w:trPr>
          <w:trHeight w:val="196"/>
        </w:trPr>
        <w:tc>
          <w:tcPr>
            <w:tcW w:w="960" w:type="dxa"/>
            <w:vAlign w:val="bottom"/>
          </w:tcPr>
          <w:p>
            <w:pPr>
              <w:spacing w:after="0"/>
              <w:rPr>
                <w:sz w:val="17"/>
                <w:szCs w:val="17"/>
                <w:color w:val="auto"/>
              </w:rPr>
            </w:pPr>
          </w:p>
        </w:tc>
        <w:tc>
          <w:tcPr>
            <w:tcW w:w="1040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10-K filed on February 27, 2007 and incorporated herein by reference).</w:t>
              </w:r>
            </w:hyperlink>
          </w:p>
        </w:tc>
        <w:tc>
          <w:tcPr>
            <w:tcW w:w="60" w:type="dxa"/>
            <w:vAlign w:val="bottom"/>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2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10.27*</w:t>
            </w:r>
          </w:p>
        </w:tc>
        <w:tc>
          <w:tcPr>
            <w:tcW w:w="10100" w:type="dxa"/>
            <w:vAlign w:val="bottom"/>
            <w:tcBorders>
              <w:bottom w:val="single" w:sz="8" w:color="0000FF"/>
            </w:tcBorders>
            <w:gridSpan w:val="12"/>
            <w:shd w:val="clear" w:color="auto" w:fill="CCEEFF"/>
          </w:tcPr>
          <w:p>
            <w:pPr>
              <w:spacing w:after="0" w:line="202"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Form of Amendment to Employment Agreement entered into between LII and certain executive officers of LII (filed as Exhibit 10.2 to LII's</w:t>
              </w:r>
            </w:hyperlink>
          </w:p>
        </w:tc>
        <w:tc>
          <w:tcPr>
            <w:tcW w:w="36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Current Report on Form 8-K filed on December 12, 2007 and incorporated herein by reference).</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10.28*</w:t>
            </w:r>
          </w:p>
        </w:tc>
        <w:tc>
          <w:tcPr>
            <w:tcW w:w="10460" w:type="dxa"/>
            <w:vAlign w:val="bottom"/>
            <w:gridSpan w:val="17"/>
          </w:tcPr>
          <w:p>
            <w:pPr>
              <w:spacing w:after="0" w:line="202"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Change of Control Agreement entered into between LII and certain executive officers of LII (filed as Exhibit 10.1 to LII's Current</w:t>
              </w:r>
            </w:hyperlink>
          </w:p>
        </w:tc>
      </w:tr>
      <w:tr>
        <w:trPr>
          <w:trHeight w:val="196"/>
        </w:trPr>
        <w:tc>
          <w:tcPr>
            <w:tcW w:w="960" w:type="dxa"/>
            <w:vAlign w:val="bottom"/>
          </w:tcPr>
          <w:p>
            <w:pPr>
              <w:spacing w:after="0"/>
              <w:rPr>
                <w:sz w:val="17"/>
                <w:szCs w:val="17"/>
                <w:color w:val="auto"/>
              </w:rPr>
            </w:pPr>
          </w:p>
        </w:tc>
        <w:tc>
          <w:tcPr>
            <w:tcW w:w="998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Report on Form 8-K filed on July 17, 2012 and incorporated herein by reference).</w:t>
              </w:r>
            </w:hyperlink>
          </w:p>
        </w:tc>
        <w:tc>
          <w:tcPr>
            <w:tcW w:w="480" w:type="dxa"/>
            <w:vAlign w:val="bottom"/>
            <w:gridSpan w:val="6"/>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2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10.29*</w:t>
            </w:r>
          </w:p>
        </w:tc>
        <w:tc>
          <w:tcPr>
            <w:tcW w:w="1046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Change of Control Employment Agreement entered into between LII and certain executive officers of LII (filed as Exhibit 10.1 to LII's</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360" w:type="dxa"/>
            <w:vAlign w:val="bottom"/>
            <w:tcBorders>
              <w:top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Current Report on Form 8-K filed on December 17, 2008 and incorporated herein by reference).</w:t>
              </w:r>
            </w:hyperlink>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10.30*</w:t>
            </w:r>
          </w:p>
        </w:tc>
        <w:tc>
          <w:tcPr>
            <w:tcW w:w="10120" w:type="dxa"/>
            <w:vAlign w:val="bottom"/>
            <w:tcBorders>
              <w:bottom w:val="single" w:sz="8" w:color="0000FF"/>
            </w:tcBorders>
            <w:gridSpan w:val="13"/>
          </w:tcPr>
          <w:p>
            <w:pPr>
              <w:spacing w:after="0" w:line="202"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Lennox International Inc. Directors' Retirement Plan (as Amended and Restated as of January 1, 2010) (filed as Exhibit 10.1 to LII's Current</w:t>
              </w:r>
            </w:hyperlink>
          </w:p>
        </w:tc>
        <w:tc>
          <w:tcPr>
            <w:tcW w:w="34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17"/>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Report on Form 8-K filed on December 16, 2009 and incorporated herein by reference).</w:t>
              </w:r>
            </w:hyperlink>
          </w:p>
        </w:tc>
      </w:tr>
      <w:tr>
        <w:trPr>
          <w:trHeight w:val="48"/>
        </w:trPr>
        <w:tc>
          <w:tcPr>
            <w:tcW w:w="960" w:type="dxa"/>
            <w:vAlign w:val="bottom"/>
          </w:tcPr>
          <w:p>
            <w:pPr>
              <w:spacing w:after="0"/>
              <w:rPr>
                <w:sz w:val="4"/>
                <w:szCs w:val="4"/>
                <w:color w:val="auto"/>
              </w:rPr>
            </w:pPr>
          </w:p>
        </w:tc>
        <w:tc>
          <w:tcPr>
            <w:tcW w:w="2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21.1</w:t>
            </w:r>
          </w:p>
        </w:tc>
        <w:tc>
          <w:tcPr>
            <w:tcW w:w="2560" w:type="dxa"/>
            <w:vAlign w:val="bottom"/>
            <w:tcBorders>
              <w:bottom w:val="single" w:sz="8" w:color="0000FF"/>
            </w:tcBorders>
            <w:shd w:val="clear" w:color="auto" w:fill="CCEEFF"/>
          </w:tcPr>
          <w:p>
            <w:pPr>
              <w:spacing w:after="0" w:line="202" w:lineRule="exact"/>
              <w:rPr>
                <w:rFonts w:ascii="Times New Roman" w:cs="Times New Roman" w:eastAsia="Times New Roman" w:hAnsi="Times New Roman"/>
                <w:sz w:val="18"/>
                <w:szCs w:val="18"/>
                <w:color w:val="0000FF"/>
                <w:w w:val="99"/>
              </w:rPr>
            </w:pPr>
            <w:hyperlink w:anchor="page129">
              <w:r>
                <w:rPr>
                  <w:rFonts w:ascii="Times New Roman" w:cs="Times New Roman" w:eastAsia="Times New Roman" w:hAnsi="Times New Roman"/>
                  <w:sz w:val="18"/>
                  <w:szCs w:val="18"/>
                  <w:color w:val="0000FF"/>
                  <w:w w:val="99"/>
                </w:rPr>
                <w:t>Subsidiaries of LII (filed herewith).</w:t>
              </w:r>
            </w:hyperlink>
          </w:p>
        </w:tc>
        <w:tc>
          <w:tcPr>
            <w:tcW w:w="7900" w:type="dxa"/>
            <w:vAlign w:val="bottom"/>
            <w:tcBorders>
              <w:bottom w:val="single" w:sz="8" w:color="CCEEFF"/>
            </w:tcBorders>
            <w:gridSpan w:val="16"/>
            <w:shd w:val="clear" w:color="auto" w:fill="CCEEFF"/>
          </w:tcPr>
          <w:p>
            <w:pPr>
              <w:spacing w:after="0"/>
              <w:rPr>
                <w:sz w:val="21"/>
                <w:szCs w:val="21"/>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23.1</w:t>
            </w:r>
          </w:p>
        </w:tc>
        <w:tc>
          <w:tcPr>
            <w:tcW w:w="10460" w:type="dxa"/>
            <w:vAlign w:val="bottom"/>
            <w:gridSpan w:val="17"/>
          </w:tcPr>
          <w:p>
            <w:pPr>
              <w:spacing w:after="0" w:line="202" w:lineRule="exact"/>
              <w:rPr>
                <w:rFonts w:ascii="Times New Roman" w:cs="Times New Roman" w:eastAsia="Times New Roman" w:hAnsi="Times New Roman"/>
                <w:sz w:val="18"/>
                <w:szCs w:val="18"/>
                <w:color w:val="0000FF"/>
              </w:rPr>
            </w:pPr>
            <w:hyperlink w:anchor="page133">
              <w:r>
                <w:rPr>
                  <w:rFonts w:ascii="Times New Roman" w:cs="Times New Roman" w:eastAsia="Times New Roman" w:hAnsi="Times New Roman"/>
                  <w:sz w:val="18"/>
                  <w:szCs w:val="18"/>
                  <w:color w:val="0000FF"/>
                </w:rPr>
                <w:t>Consent of KPMG LLP (filed herewith).</w:t>
              </w:r>
            </w:hyperlink>
          </w:p>
        </w:tc>
      </w:tr>
      <w:tr>
        <w:trPr>
          <w:trHeight w:val="48"/>
        </w:trPr>
        <w:tc>
          <w:tcPr>
            <w:tcW w:w="960" w:type="dxa"/>
            <w:vAlign w:val="bottom"/>
          </w:tcPr>
          <w:p>
            <w:pPr>
              <w:spacing w:after="0"/>
              <w:rPr>
                <w:sz w:val="4"/>
                <w:szCs w:val="4"/>
                <w:color w:val="auto"/>
              </w:rPr>
            </w:pPr>
          </w:p>
        </w:tc>
        <w:tc>
          <w:tcPr>
            <w:tcW w:w="2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4520" w:type="dxa"/>
            <w:vAlign w:val="bottom"/>
            <w:tcBorders>
              <w:bottom w:val="single" w:sz="8" w:color="0000FF"/>
            </w:tcBorders>
            <w:gridSpan w:val="5"/>
            <w:shd w:val="clear" w:color="auto" w:fill="CCEEFF"/>
          </w:tcPr>
          <w:p>
            <w:pPr>
              <w:spacing w:after="0" w:line="202" w:lineRule="exact"/>
              <w:rPr>
                <w:rFonts w:ascii="Times New Roman" w:cs="Times New Roman" w:eastAsia="Times New Roman" w:hAnsi="Times New Roman"/>
                <w:sz w:val="18"/>
                <w:szCs w:val="18"/>
                <w:color w:val="0000FF"/>
                <w:w w:val="99"/>
              </w:rPr>
            </w:pPr>
            <w:hyperlink w:anchor="page134">
              <w:r>
                <w:rPr>
                  <w:rFonts w:ascii="Times New Roman" w:cs="Times New Roman" w:eastAsia="Times New Roman" w:hAnsi="Times New Roman"/>
                  <w:sz w:val="18"/>
                  <w:szCs w:val="18"/>
                  <w:color w:val="0000FF"/>
                  <w:w w:val="99"/>
                </w:rPr>
                <w:t>Certification of the principal executive officer (filed herewith).</w:t>
              </w:r>
            </w:hyperlink>
          </w:p>
        </w:tc>
        <w:tc>
          <w:tcPr>
            <w:tcW w:w="5940" w:type="dxa"/>
            <w:vAlign w:val="bottom"/>
            <w:tcBorders>
              <w:bottom w:val="single" w:sz="8" w:color="CCEEFF"/>
            </w:tcBorders>
            <w:gridSpan w:val="12"/>
            <w:shd w:val="clear" w:color="auto" w:fill="CCEEFF"/>
          </w:tcPr>
          <w:p>
            <w:pPr>
              <w:spacing w:after="0"/>
              <w:rPr>
                <w:sz w:val="21"/>
                <w:szCs w:val="21"/>
                <w:color w:val="auto"/>
              </w:rPr>
            </w:pPr>
          </w:p>
        </w:tc>
      </w:tr>
      <w:tr>
        <w:trPr>
          <w:trHeight w:val="203"/>
        </w:trPr>
        <w:tc>
          <w:tcPr>
            <w:tcW w:w="9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0460" w:type="dxa"/>
            <w:vAlign w:val="bottom"/>
            <w:gridSpan w:val="17"/>
          </w:tcPr>
          <w:p>
            <w:pPr>
              <w:spacing w:after="0" w:line="202" w:lineRule="exact"/>
              <w:rPr>
                <w:rFonts w:ascii="Times New Roman" w:cs="Times New Roman" w:eastAsia="Times New Roman" w:hAnsi="Times New Roman"/>
                <w:sz w:val="18"/>
                <w:szCs w:val="18"/>
                <w:color w:val="0000FF"/>
              </w:rPr>
            </w:pPr>
            <w:hyperlink w:anchor="page135">
              <w:r>
                <w:rPr>
                  <w:rFonts w:ascii="Times New Roman" w:cs="Times New Roman" w:eastAsia="Times New Roman" w:hAnsi="Times New Roman"/>
                  <w:sz w:val="18"/>
                  <w:szCs w:val="18"/>
                  <w:color w:val="0000FF"/>
                </w:rPr>
                <w:t>Certification of the principal financial officer (filed herewith).</w:t>
              </w:r>
            </w:hyperlink>
          </w:p>
        </w:tc>
      </w:tr>
      <w:tr>
        <w:trPr>
          <w:trHeight w:val="48"/>
        </w:trPr>
        <w:tc>
          <w:tcPr>
            <w:tcW w:w="960" w:type="dxa"/>
            <w:vAlign w:val="bottom"/>
          </w:tcPr>
          <w:p>
            <w:pPr>
              <w:spacing w:after="0"/>
              <w:rPr>
                <w:sz w:val="4"/>
                <w:szCs w:val="4"/>
                <w:color w:val="auto"/>
              </w:rPr>
            </w:pPr>
          </w:p>
        </w:tc>
        <w:tc>
          <w:tcPr>
            <w:tcW w:w="2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46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FF"/>
              </w:rPr>
            </w:pPr>
            <w:hyperlink w:anchor="page136">
              <w:r>
                <w:rPr>
                  <w:rFonts w:ascii="Times New Roman" w:cs="Times New Roman" w:eastAsia="Times New Roman" w:hAnsi="Times New Roman"/>
                  <w:sz w:val="18"/>
                  <w:szCs w:val="18"/>
                  <w:color w:val="0000FF"/>
                </w:rPr>
                <w:t>Certification of the principal executive officer and the principal financial officer pursuant to 18 U.S.C. Section 1350 (furnished herewith).</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0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 (101).INS XBRL Instance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 (101).SCH XBRL Taxonomy Extension Schema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 (101).CAL XBRL Taxonomy Extension Calculation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 (101).LAB XBRL Taxonomy Extension Label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 (101).PRE XBRL Taxonomy Extension Presentation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 (101).DEF XBRL Taxonomy Extension Definition Linkbase Document</w:t>
      </w:r>
    </w:p>
    <w:p>
      <w:pPr>
        <w:spacing w:after="0" w:line="369" w:lineRule="exact"/>
        <w:rPr>
          <w:sz w:val="20"/>
          <w:szCs w:val="20"/>
          <w:color w:val="auto"/>
        </w:rPr>
      </w:pPr>
    </w:p>
    <w:p>
      <w:pPr>
        <w:ind w:left="780" w:hanging="320"/>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729" w:right="2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0"/>
          <w:szCs w:val="20"/>
          <w:b w:val="1"/>
          <w:bCs w:val="1"/>
          <w:color w:val="auto"/>
        </w:rPr>
        <w:t>Exhibit 4.5</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SEVENTH SUPPLEMENTAL INDENTURE</w:t>
      </w:r>
    </w:p>
    <w:p>
      <w:pPr>
        <w:spacing w:after="0" w:line="239" w:lineRule="exact"/>
        <w:rPr>
          <w:sz w:val="20"/>
          <w:szCs w:val="20"/>
          <w:color w:val="auto"/>
        </w:rPr>
      </w:pPr>
    </w:p>
    <w:p>
      <w:pPr>
        <w:ind w:right="60" w:firstLine="648"/>
        <w:spacing w:after="0" w:line="279" w:lineRule="auto"/>
        <w:rPr>
          <w:sz w:val="20"/>
          <w:szCs w:val="20"/>
          <w:color w:val="auto"/>
        </w:rPr>
      </w:pPr>
      <w:r>
        <w:rPr>
          <w:rFonts w:ascii="Times New Roman" w:cs="Times New Roman" w:eastAsia="Times New Roman" w:hAnsi="Times New Roman"/>
          <w:sz w:val="20"/>
          <w:szCs w:val="20"/>
          <w:color w:val="auto"/>
        </w:rPr>
        <w:t>This SEVENTH SUPPLEMENTAL INDENTURE, dated as of January 23, 2019 (this “</w:t>
      </w:r>
      <w:r>
        <w:rPr>
          <w:rFonts w:ascii="Times New Roman" w:cs="Times New Roman" w:eastAsia="Times New Roman" w:hAnsi="Times New Roman"/>
          <w:sz w:val="20"/>
          <w:szCs w:val="20"/>
          <w:b w:val="1"/>
          <w:bCs w:val="1"/>
          <w:color w:val="auto"/>
        </w:rPr>
        <w:t>Seventh Supplemental Indenture</w:t>
      </w:r>
      <w:r>
        <w:rPr>
          <w:rFonts w:ascii="Times New Roman" w:cs="Times New Roman" w:eastAsia="Times New Roman" w:hAnsi="Times New Roman"/>
          <w:sz w:val="20"/>
          <w:szCs w:val="20"/>
          <w:color w:val="auto"/>
        </w:rPr>
        <w:t>”), is among LII Mexico Holdings Ltd., a private limited company incorporated in England and Wales (the “</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Lennox International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each other existing Guarantor under the Indenture referred to below (the “</w:t>
      </w:r>
      <w:r>
        <w:rPr>
          <w:rFonts w:ascii="Times New Roman" w:cs="Times New Roman" w:eastAsia="Times New Roman" w:hAnsi="Times New Roman"/>
          <w:sz w:val="20"/>
          <w:szCs w:val="20"/>
          <w:b w:val="1"/>
          <w:bCs w:val="1"/>
          <w:color w:val="auto"/>
        </w:rPr>
        <w:t>Existing Guarantors</w:t>
      </w:r>
      <w:r>
        <w:rPr>
          <w:rFonts w:ascii="Times New Roman" w:cs="Times New Roman" w:eastAsia="Times New Roman" w:hAnsi="Times New Roman"/>
          <w:sz w:val="20"/>
          <w:szCs w:val="20"/>
          <w:color w:val="auto"/>
        </w:rPr>
        <w:t>”), and U.S. Bank National Association, as Trustee under the Indenture referred to below.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4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WHEREAS, the Company, the Existing Guarantors and the Trustee have heretofore become parties to an Indenture, dated as of May 3, 2010 (the “</w:t>
      </w:r>
      <w:r>
        <w:rPr>
          <w:rFonts w:ascii="Times New Roman" w:cs="Times New Roman" w:eastAsia="Times New Roman" w:hAnsi="Times New Roman"/>
          <w:sz w:val="20"/>
          <w:szCs w:val="20"/>
          <w:b w:val="1"/>
          <w:bCs w:val="1"/>
          <w:color w:val="auto"/>
        </w:rPr>
        <w:t>Base Indenture</w:t>
      </w:r>
      <w:r>
        <w:rPr>
          <w:rFonts w:ascii="Times New Roman" w:cs="Times New Roman" w:eastAsia="Times New Roman" w:hAnsi="Times New Roman"/>
          <w:sz w:val="20"/>
          <w:szCs w:val="20"/>
          <w:color w:val="auto"/>
        </w:rPr>
        <w:t>”), as supplemented by the Sixth Supplemental Indenture (the “</w:t>
      </w:r>
      <w:r>
        <w:rPr>
          <w:rFonts w:ascii="Times New Roman" w:cs="Times New Roman" w:eastAsia="Times New Roman" w:hAnsi="Times New Roman"/>
          <w:sz w:val="20"/>
          <w:szCs w:val="20"/>
          <w:b w:val="1"/>
          <w:bCs w:val="1"/>
          <w:color w:val="auto"/>
        </w:rPr>
        <w:t>Sixth Supplemental Indenture</w:t>
      </w:r>
      <w:r>
        <w:rPr>
          <w:rFonts w:ascii="Times New Roman" w:cs="Times New Roman" w:eastAsia="Times New Roman" w:hAnsi="Times New Roman"/>
          <w:sz w:val="20"/>
          <w:szCs w:val="20"/>
          <w:color w:val="auto"/>
        </w:rPr>
        <w:t>” and, together with the Base Indenture,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dated as of November 3, 2016, providing for the issuance of 3.000% Notes due 2023 of the Company (the “</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20"/>
          <w:szCs w:val="20"/>
          <w:color w:val="auto"/>
        </w:rPr>
        <w:t>WHEREAS, Section 8.06 of the Sixth Supplemental Indenture provides that the Company is required to cause the Guarantor to execute and deliver to the Trustee a supplemental indenture evidencing its guarantee of the punctual payment when due of all monetary obligations of the Company under the Indenture and the Notes on the terms and conditions set forth herein and in Article 8 of the Sixth Supplemental Indenture;</w:t>
      </w:r>
    </w:p>
    <w:p>
      <w:pPr>
        <w:spacing w:after="0" w:line="18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20"/>
          <w:szCs w:val="20"/>
          <w:color w:val="auto"/>
        </w:rPr>
        <w:t>WHEREAS, the Guarantor desires to enter into such supplemental indenture for good and valuable consideration, including substantial economic benefit in that the financial performance and condition of the Guarantor is dependent on the financial performance and condition of the Company, the obligations hereunder of which the Guarantor has guaranteed; and</w:t>
      </w:r>
    </w:p>
    <w:p>
      <w:pPr>
        <w:spacing w:after="0" w:line="175" w:lineRule="exact"/>
        <w:rPr>
          <w:sz w:val="20"/>
          <w:szCs w:val="20"/>
          <w:color w:val="auto"/>
        </w:rPr>
      </w:pPr>
    </w:p>
    <w:p>
      <w:pPr>
        <w:ind w:right="580" w:firstLine="648"/>
        <w:spacing w:after="0" w:line="297" w:lineRule="auto"/>
        <w:rPr>
          <w:sz w:val="20"/>
          <w:szCs w:val="20"/>
          <w:color w:val="auto"/>
        </w:rPr>
      </w:pPr>
      <w:r>
        <w:rPr>
          <w:rFonts w:ascii="Times New Roman" w:cs="Times New Roman" w:eastAsia="Times New Roman" w:hAnsi="Times New Roman"/>
          <w:sz w:val="20"/>
          <w:szCs w:val="20"/>
          <w:color w:val="auto"/>
        </w:rPr>
        <w:t>WHEREAS, pursuant to Section 8.01 of the Base Indenture, the parties hereto are authorized to execute and deliver this Seventh Supplemental Indenture to amend the Indenture, without the consent of any Holder.</w:t>
      </w:r>
    </w:p>
    <w:p>
      <w:pPr>
        <w:spacing w:after="0" w:line="16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of which is hereby acknowledged, the Guarantor, the Company, the Existing Guarantors and the Trustee mutually covenant and agree for the benefit of the Holders of the Notes as follows:</w:t>
      </w:r>
    </w:p>
    <w:p>
      <w:pPr>
        <w:spacing w:after="0" w:line="175" w:lineRule="exact"/>
        <w:rPr>
          <w:sz w:val="20"/>
          <w:szCs w:val="20"/>
          <w:color w:val="auto"/>
        </w:rPr>
      </w:pPr>
    </w:p>
    <w:p>
      <w:pPr>
        <w:ind w:left="660" w:right="60" w:hanging="4"/>
        <w:spacing w:after="0" w:line="282" w:lineRule="auto"/>
        <w:tabs>
          <w:tab w:leader="none" w:pos="100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Terms. As used in this Seventh Supplemental Indenture, terms defined in the Indenture or in the preamble or recital hereto are used herein as therein defined. The words “herein,” “hereof” and “hereby” and other words of similar import used in this Seventh Supplemental Indenture refer to this Seventh Supplemental Indenture as a whole and not to any particular section hereof.</w:t>
      </w:r>
    </w:p>
    <w:p>
      <w:pPr>
        <w:spacing w:after="0" w:line="175" w:lineRule="exact"/>
        <w:rPr>
          <w:rFonts w:ascii="Times New Roman" w:cs="Times New Roman" w:eastAsia="Times New Roman" w:hAnsi="Times New Roman"/>
          <w:sz w:val="20"/>
          <w:szCs w:val="20"/>
          <w:color w:val="auto"/>
        </w:rPr>
      </w:pPr>
    </w:p>
    <w:p>
      <w:pPr>
        <w:ind w:left="660" w:right="80" w:hanging="4"/>
        <w:spacing w:after="0" w:line="275" w:lineRule="auto"/>
        <w:tabs>
          <w:tab w:leader="none" w:pos="99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 to Guarantee. The Guarantor, as primary obligor and not merely as surety, hereby jointly and severally with the Existing Guarantors, irrevocably and fully and unconditionally guarantees to each Holder and to the Trustee and its successor and assigns (the “</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on a senior unsecured basis and equal in right of payment to all existing and future senior indebtedness of the Guarantor, the punctual payment when due of all monetary obligations of the Company under the Indenture and the Notes, whether for principal of or interest on the Notes, on the terms and subject to the conditions set forth in Article 8 of the Sixth</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NAI-1506042912v3</w:t>
      </w:r>
    </w:p>
    <w:p>
      <w:pPr>
        <w:sectPr>
          <w:pgSz w:w="11900" w:h="16838" w:orient="portrait"/>
          <w:cols w:equalWidth="0" w:num="1">
            <w:col w:w="11420"/>
          </w:cols>
          <w:pgMar w:left="240" w:top="356" w:right="239" w:bottom="1440" w:gutter="0" w:footer="0" w:header="0"/>
        </w:sectPr>
      </w:pPr>
    </w:p>
    <w:bookmarkStart w:id="101" w:name="page102"/>
    <w:bookmarkEnd w:id="101"/>
    <w:p>
      <w:pPr>
        <w:ind w:left="660" w:right="640"/>
        <w:spacing w:after="0" w:line="297" w:lineRule="auto"/>
        <w:rPr>
          <w:sz w:val="20"/>
          <w:szCs w:val="20"/>
          <w:color w:val="auto"/>
        </w:rPr>
      </w:pPr>
      <w:r>
        <w:rPr>
          <w:rFonts w:ascii="Times New Roman" w:cs="Times New Roman" w:eastAsia="Times New Roman" w:hAnsi="Times New Roman"/>
          <w:sz w:val="20"/>
          <w:szCs w:val="20"/>
          <w:color w:val="auto"/>
        </w:rPr>
        <w:t>Supplemental Indenture and agrees to be bound by (and shall be entitled to the benefits of) all other applicable provisions of the Indenture as a Guarantor.</w:t>
      </w:r>
    </w:p>
    <w:p>
      <w:pPr>
        <w:spacing w:after="0" w:line="160" w:lineRule="exact"/>
        <w:rPr>
          <w:sz w:val="20"/>
          <w:szCs w:val="20"/>
          <w:color w:val="auto"/>
        </w:rPr>
      </w:pPr>
    </w:p>
    <w:p>
      <w:pPr>
        <w:ind w:left="660" w:right="100" w:hanging="4"/>
        <w:spacing w:after="0" w:line="282" w:lineRule="auto"/>
        <w:tabs>
          <w:tab w:leader="none" w:pos="100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Release and Discharge. The Guarantee shall terminate and be of no further force or effect, and the Guarantor shall be released and discharged from all obligations in respect of the Guarantee, as and when provided in Section 8.03 of the Sixth Supplemental Indenture.</w:t>
      </w:r>
    </w:p>
    <w:p>
      <w:pPr>
        <w:spacing w:after="0" w:line="175" w:lineRule="exact"/>
        <w:rPr>
          <w:rFonts w:ascii="Times New Roman" w:cs="Times New Roman" w:eastAsia="Times New Roman" w:hAnsi="Times New Roman"/>
          <w:sz w:val="20"/>
          <w:szCs w:val="20"/>
          <w:color w:val="auto"/>
        </w:rPr>
      </w:pPr>
    </w:p>
    <w:p>
      <w:pPr>
        <w:ind w:left="660" w:right="180" w:hanging="4"/>
        <w:spacing w:after="0" w:line="282" w:lineRule="auto"/>
        <w:tabs>
          <w:tab w:leader="none" w:pos="100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Parties. Nothing in this Seventh Supplemental Indenture is intended or shall be construed to give any Person, other than the Holders and the Trustee, any legal or equitable right, remedy or claim under or in respect of the Guarantee or any provision contained herein or in Article 8 of the Sixth Supplemental Indenture.</w:t>
      </w:r>
    </w:p>
    <w:p>
      <w:pPr>
        <w:spacing w:after="0" w:line="175" w:lineRule="exact"/>
        <w:rPr>
          <w:rFonts w:ascii="Times New Roman" w:cs="Times New Roman" w:eastAsia="Times New Roman" w:hAnsi="Times New Roman"/>
          <w:sz w:val="20"/>
          <w:szCs w:val="20"/>
          <w:color w:val="auto"/>
        </w:rPr>
      </w:pPr>
    </w:p>
    <w:p>
      <w:pPr>
        <w:ind w:left="660" w:hanging="4"/>
        <w:spacing w:after="0" w:line="282" w:lineRule="auto"/>
        <w:tabs>
          <w:tab w:leader="none" w:pos="100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Governing Law. This Seventh Supplemental Indenture and the Notes shall be deemed to be a contract under the laws of the State of New York, and for all purposes shall be construed in accordance with the laws of such State, except as may otherwise be required by mandatory provisions of law.</w:t>
      </w:r>
    </w:p>
    <w:p>
      <w:pPr>
        <w:spacing w:after="0" w:line="175" w:lineRule="exact"/>
        <w:rPr>
          <w:rFonts w:ascii="Times New Roman" w:cs="Times New Roman" w:eastAsia="Times New Roman" w:hAnsi="Times New Roman"/>
          <w:sz w:val="20"/>
          <w:szCs w:val="20"/>
          <w:color w:val="auto"/>
        </w:rPr>
      </w:pPr>
    </w:p>
    <w:p>
      <w:pPr>
        <w:ind w:left="660" w:right="140" w:hanging="4"/>
        <w:spacing w:after="0" w:line="282" w:lineRule="auto"/>
        <w:tabs>
          <w:tab w:leader="none" w:pos="100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Ratification of Indenture; Supplemental Indentures Part of Indenture. The Indenture, as supplemented by this Seventh Supplemental Indenture, is in all respects ratified and confirmed, and this Seventh Supplemental Indenture shall be deemed part of the Indenture in the manner and to the extent herein and therein provided.</w:t>
      </w:r>
    </w:p>
    <w:p>
      <w:pPr>
        <w:spacing w:after="0" w:line="175" w:lineRule="exact"/>
        <w:rPr>
          <w:rFonts w:ascii="Times New Roman" w:cs="Times New Roman" w:eastAsia="Times New Roman" w:hAnsi="Times New Roman"/>
          <w:sz w:val="20"/>
          <w:szCs w:val="20"/>
          <w:color w:val="auto"/>
        </w:rPr>
      </w:pPr>
    </w:p>
    <w:p>
      <w:pPr>
        <w:ind w:left="660" w:right="20" w:hanging="4"/>
        <w:spacing w:after="0" w:line="273" w:lineRule="auto"/>
        <w:tabs>
          <w:tab w:leader="none" w:pos="100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Trustee Makes No Representation; Trustee’s Rights and Duties. The recitals contained herein shall be taken as the statements of the Company, and the Trustee assumes no responsibility for the correctness of the same. The Trustee makes no representation as to the validity or sufficiency of this Seventh Supplemental Indenture and shall not be liable in connection therewith. The rights and duties of the Trustee shall be determined by the express provisions of the Indenture and, except as expressly set forth in this Seventh Supplemental Indenture, nothing in this Seventh Supplemental Indenture shall in any way modify or otherwise affect the Trustee’s rights and duties thereunder.</w:t>
      </w:r>
    </w:p>
    <w:p>
      <w:pPr>
        <w:spacing w:after="0" w:line="186" w:lineRule="exact"/>
        <w:rPr>
          <w:rFonts w:ascii="Times New Roman" w:cs="Times New Roman" w:eastAsia="Times New Roman" w:hAnsi="Times New Roman"/>
          <w:sz w:val="20"/>
          <w:szCs w:val="20"/>
          <w:color w:val="auto"/>
        </w:rPr>
      </w:pPr>
    </w:p>
    <w:p>
      <w:pPr>
        <w:ind w:left="660" w:right="400" w:hanging="4"/>
        <w:spacing w:after="0" w:line="297" w:lineRule="auto"/>
        <w:tabs>
          <w:tab w:leader="none" w:pos="100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This Seventh Supplemental Indenture may be executed in any number of counterparts, each of which shall be an original; but such counterparts shall together constitute but one and the same instrument.</w:t>
      </w:r>
    </w:p>
    <w:p>
      <w:pPr>
        <w:spacing w:after="0" w:line="160"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Headings. The section headings herein are for convenience only and shall not affect the construction hereof.</w:t>
      </w:r>
    </w:p>
    <w:p>
      <w:pPr>
        <w:spacing w:after="0" w:line="24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NAI-1506042912v3</w:t>
      </w:r>
    </w:p>
    <w:p>
      <w:pPr>
        <w:sectPr>
          <w:pgSz w:w="11900" w:h="16838" w:orient="portrait"/>
          <w:cols w:equalWidth="0" w:num="1">
            <w:col w:w="11420"/>
          </w:cols>
          <w:pgMar w:left="240" w:top="373" w:right="239" w:bottom="1440" w:gutter="0" w:footer="0" w:header="0"/>
        </w:sectPr>
      </w:pPr>
    </w:p>
    <w:bookmarkStart w:id="102" w:name="page103"/>
    <w:bookmarkEnd w:id="102"/>
    <w:p>
      <w:pPr>
        <w:ind w:firstLine="648"/>
        <w:spacing w:after="0" w:line="297" w:lineRule="auto"/>
        <w:rPr>
          <w:sz w:val="20"/>
          <w:szCs w:val="20"/>
          <w:color w:val="auto"/>
        </w:rPr>
      </w:pPr>
      <w:r>
        <w:rPr>
          <w:rFonts w:ascii="Times New Roman" w:cs="Times New Roman" w:eastAsia="Times New Roman" w:hAnsi="Times New Roman"/>
          <w:sz w:val="20"/>
          <w:szCs w:val="20"/>
          <w:color w:val="auto"/>
        </w:rPr>
        <w:t>IN WITNESS WHEREOF, the parties hereto have caused this Seventh Supplemental Indenture to be duly executed as of the date first above written.</w:t>
      </w:r>
    </w:p>
    <w:p>
      <w:pPr>
        <w:spacing w:after="0" w:line="3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LENNOX INDUSTRIES INC.</w:t>
      </w:r>
    </w:p>
    <w:p>
      <w:pPr>
        <w:spacing w:after="0" w:line="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ALLIED AIR ENTERPRISES INC.</w:t>
      </w:r>
    </w:p>
    <w:p>
      <w:pPr>
        <w:ind w:left="4060"/>
        <w:spacing w:after="0"/>
        <w:rPr>
          <w:sz w:val="20"/>
          <w:szCs w:val="20"/>
          <w:color w:val="auto"/>
        </w:rPr>
      </w:pPr>
      <w:r>
        <w:rPr>
          <w:rFonts w:ascii="Times New Roman" w:cs="Times New Roman" w:eastAsia="Times New Roman" w:hAnsi="Times New Roman"/>
          <w:sz w:val="20"/>
          <w:szCs w:val="20"/>
          <w:color w:val="auto"/>
        </w:rPr>
        <w:t>LENNOX GLOBAL LLC</w:t>
      </w:r>
    </w:p>
    <w:p>
      <w:pPr>
        <w:ind w:left="4060"/>
        <w:spacing w:after="0"/>
        <w:rPr>
          <w:sz w:val="20"/>
          <w:szCs w:val="20"/>
          <w:color w:val="auto"/>
        </w:rPr>
      </w:pPr>
      <w:r>
        <w:rPr>
          <w:rFonts w:ascii="Times New Roman" w:cs="Times New Roman" w:eastAsia="Times New Roman" w:hAnsi="Times New Roman"/>
          <w:sz w:val="20"/>
          <w:szCs w:val="20"/>
          <w:color w:val="auto"/>
        </w:rPr>
        <w:t>HEATCRAFT INC.</w:t>
      </w:r>
    </w:p>
    <w:p>
      <w:pPr>
        <w:ind w:left="4060"/>
        <w:spacing w:after="0"/>
        <w:rPr>
          <w:sz w:val="20"/>
          <w:szCs w:val="20"/>
          <w:color w:val="auto"/>
        </w:rPr>
      </w:pPr>
      <w:r>
        <w:rPr>
          <w:rFonts w:ascii="Times New Roman" w:cs="Times New Roman" w:eastAsia="Times New Roman" w:hAnsi="Times New Roman"/>
          <w:sz w:val="20"/>
          <w:szCs w:val="20"/>
          <w:color w:val="auto"/>
        </w:rPr>
        <w:t>HEATCRAFT REFRIGERATION PRODUCTS LLC</w:t>
      </w:r>
    </w:p>
    <w:p>
      <w:pPr>
        <w:ind w:left="4060"/>
        <w:spacing w:after="0"/>
        <w:rPr>
          <w:sz w:val="20"/>
          <w:szCs w:val="20"/>
          <w:color w:val="auto"/>
        </w:rPr>
      </w:pPr>
      <w:r>
        <w:rPr>
          <w:rFonts w:ascii="Times New Roman" w:cs="Times New Roman" w:eastAsia="Times New Roman" w:hAnsi="Times New Roman"/>
          <w:sz w:val="20"/>
          <w:szCs w:val="20"/>
          <w:color w:val="auto"/>
        </w:rPr>
        <w:t>ADVANCED DISTRIBUTOR PRODUCTS LLC</w:t>
      </w:r>
    </w:p>
    <w:p>
      <w:pPr>
        <w:ind w:left="4060"/>
        <w:spacing w:after="0"/>
        <w:rPr>
          <w:sz w:val="20"/>
          <w:szCs w:val="20"/>
          <w:color w:val="auto"/>
        </w:rPr>
      </w:pPr>
      <w:r>
        <w:rPr>
          <w:rFonts w:ascii="Times New Roman" w:cs="Times New Roman" w:eastAsia="Times New Roman" w:hAnsi="Times New Roman"/>
          <w:sz w:val="20"/>
          <w:szCs w:val="20"/>
          <w:color w:val="auto"/>
        </w:rPr>
        <w:t>LENNOX NATIONAL ACCOUNT SERVICES LLC</w:t>
      </w:r>
    </w:p>
    <w:p>
      <w:pPr>
        <w:ind w:left="4060"/>
        <w:spacing w:after="0"/>
        <w:rPr>
          <w:sz w:val="20"/>
          <w:szCs w:val="20"/>
          <w:color w:val="auto"/>
        </w:rPr>
      </w:pPr>
      <w:r>
        <w:rPr>
          <w:rFonts w:ascii="Times New Roman" w:cs="Times New Roman" w:eastAsia="Times New Roman" w:hAnsi="Times New Roman"/>
          <w:sz w:val="20"/>
          <w:szCs w:val="20"/>
          <w:color w:val="auto"/>
        </w:rPr>
        <w:t>LGL AUSTRALIA (US) INC.</w:t>
      </w:r>
    </w:p>
    <w:p>
      <w:pPr>
        <w:spacing w:after="0" w:line="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LGL EUROPE HOLDING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20"/>
        <w:spacing w:after="0"/>
        <w:tabs>
          <w:tab w:leader="none" w:pos="4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i w:val="1"/>
          <w:iCs w:val="1"/>
          <w:color w:val="auto"/>
        </w:rPr>
        <w:t>/s/ Richard A. Pelini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33655</wp:posOffset>
            </wp:positionV>
            <wp:extent cx="19894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Name: Richard A. Pelini</w:t>
      </w:r>
    </w:p>
    <w:p>
      <w:pPr>
        <w:spacing w:after="0" w:line="5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LENNOX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20"/>
        <w:spacing w:after="0"/>
        <w:tabs>
          <w:tab w:leader="none" w:pos="4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i w:val="1"/>
          <w:iCs w:val="1"/>
          <w:color w:val="auto"/>
        </w:rPr>
        <w:t>/s/ Richard A. Pelini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33655</wp:posOffset>
            </wp:positionV>
            <wp:extent cx="19894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Name: Richard A. Pelini</w:t>
      </w:r>
    </w:p>
    <w:p>
      <w:pPr>
        <w:spacing w:after="0" w:line="5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[Signature Page to Seventh Supplemental Indenture]</w:t>
      </w:r>
    </w:p>
    <w:p>
      <w:pPr>
        <w:sectPr>
          <w:pgSz w:w="11900" w:h="16838" w:orient="portrait"/>
          <w:cols w:equalWidth="0" w:num="1">
            <w:col w:w="11260"/>
          </w:cols>
          <w:pgMar w:left="240" w:top="373" w:right="399" w:bottom="1440" w:gutter="0" w:footer="0" w:header="0"/>
        </w:sectPr>
      </w:pPr>
    </w:p>
    <w:bookmarkStart w:id="103" w:name="page104"/>
    <w:bookmarkEnd w:id="103"/>
    <w:p>
      <w:pPr>
        <w:ind w:left="2720"/>
        <w:spacing w:after="0"/>
        <w:rPr>
          <w:sz w:val="20"/>
          <w:szCs w:val="20"/>
          <w:color w:val="auto"/>
        </w:rPr>
      </w:pPr>
      <w:r>
        <w:rPr>
          <w:rFonts w:ascii="Times New Roman" w:cs="Times New Roman" w:eastAsia="Times New Roman" w:hAnsi="Times New Roman"/>
          <w:sz w:val="20"/>
          <w:szCs w:val="20"/>
          <w:color w:val="auto"/>
        </w:rPr>
        <w:t>LII MEXICO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20"/>
        <w:spacing w:after="0"/>
        <w:tabs>
          <w:tab w:leader="none" w:pos="32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i w:val="1"/>
          <w:iCs w:val="1"/>
          <w:color w:val="auto"/>
        </w:rPr>
        <w:t>/s/ Erik Eduard Hagethorn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33655</wp:posOffset>
            </wp:positionV>
            <wp:extent cx="19894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Erik Eduard Hagethorn</w:t>
      </w:r>
    </w:p>
    <w:p>
      <w:pPr>
        <w:spacing w:after="0" w:line="5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Seventh Supplemental Indenture]</w:t>
      </w:r>
    </w:p>
    <w:p>
      <w:pPr>
        <w:sectPr>
          <w:pgSz w:w="11900" w:h="16838" w:orient="portrait"/>
          <w:cols w:equalWidth="0" w:num="1">
            <w:col w:w="9019"/>
          </w:cols>
          <w:pgMar w:left="1440" w:top="522"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auto"/>
        </w:rPr>
        <w:t>U.S. BANK NATIONAL ASSOCIATION,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i w:val="1"/>
          <w:iCs w:val="1"/>
          <w:color w:val="auto"/>
        </w:rPr>
        <w:t>/s/ Kristel D.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33655</wp:posOffset>
            </wp:positionV>
            <wp:extent cx="2984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Name: Kristel D. Richards</w:t>
      </w:r>
    </w:p>
    <w:p>
      <w:pPr>
        <w:spacing w:after="0" w:line="5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313"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4"/>
          <w:szCs w:val="14"/>
          <w:color w:val="auto"/>
        </w:rPr>
        <w:t>[Signature Page to Seventh Supplemental Indenture]</w:t>
      </w:r>
    </w:p>
    <w:p>
      <w:pPr>
        <w:sectPr>
          <w:pgSz w:w="11900" w:h="16838" w:orient="portrait"/>
          <w:cols w:equalWidth="0" w:num="1">
            <w:col w:w="10079"/>
          </w:cols>
          <w:pgMar w:left="380" w:top="522" w:right="1440" w:bottom="1440" w:gutter="0" w:footer="0" w:header="0"/>
        </w:sectPr>
      </w:pPr>
    </w:p>
    <w:bookmarkStart w:id="105" w:name="page106"/>
    <w:bookmarkEnd w:id="105"/>
    <w:p>
      <w:pPr>
        <w:ind w:left="10240"/>
        <w:spacing w:after="0"/>
        <w:rPr>
          <w:sz w:val="20"/>
          <w:szCs w:val="20"/>
          <w:color w:val="auto"/>
        </w:rPr>
      </w:pPr>
      <w:r>
        <w:rPr>
          <w:rFonts w:ascii="Times New Roman" w:cs="Times New Roman" w:eastAsia="Times New Roman" w:hAnsi="Times New Roman"/>
          <w:sz w:val="21"/>
          <w:szCs w:val="21"/>
          <w:b w:val="1"/>
          <w:bCs w:val="1"/>
          <w:color w:val="auto"/>
        </w:rPr>
        <w:t>Exhibit10.18</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LENNOX INTERNATIONAL INC.</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Long-Term Incentive Award Agreement</w:t>
      </w:r>
    </w:p>
    <w:p>
      <w:pPr>
        <w:spacing w:after="0" w:line="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U.S. Employees – Vice President and Above</w:t>
      </w:r>
    </w:p>
    <w:p>
      <w:pPr>
        <w:spacing w:after="0" w:line="232"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2"/>
          <w:szCs w:val="22"/>
          <w:color w:val="auto"/>
        </w:rPr>
        <w:t>THIS AGREEMENT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is made as of December 7, 2018 (the “</w:t>
      </w:r>
      <w:r>
        <w:rPr>
          <w:rFonts w:ascii="Times New Roman" w:cs="Times New Roman" w:eastAsia="Times New Roman" w:hAnsi="Times New Roman"/>
          <w:sz w:val="22"/>
          <w:szCs w:val="22"/>
          <w:b w:val="1"/>
          <w:bCs w:val="1"/>
          <w:u w:val="single" w:color="auto"/>
          <w:color w:val="auto"/>
        </w:rPr>
        <w:t>Award Date</w:t>
      </w:r>
      <w:r>
        <w:rPr>
          <w:rFonts w:ascii="Times New Roman" w:cs="Times New Roman" w:eastAsia="Times New Roman" w:hAnsi="Times New Roman"/>
          <w:sz w:val="22"/>
          <w:szCs w:val="22"/>
          <w:color w:val="auto"/>
        </w:rPr>
        <w:t>”), by and between Lennox International Inc., a Delaware corporation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and __________ (“</w:t>
      </w: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color w:val="auto"/>
        </w:rPr>
        <w:t>The Company has adopted the Lennox International Inc. 2010 Incentive Plan, as amended and restated (the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the terms of which are incorporated by reference and made a part of this Agreement, for the benefit of eligible employees, directors, consultants or advisors of the Company and its Subsidiaries (together, “</w:t>
      </w:r>
      <w:r>
        <w:rPr>
          <w:rFonts w:ascii="Times New Roman" w:cs="Times New Roman" w:eastAsia="Times New Roman" w:hAnsi="Times New Roman"/>
          <w:sz w:val="22"/>
          <w:szCs w:val="22"/>
          <w:b w:val="1"/>
          <w:bCs w:val="1"/>
          <w:u w:val="single" w:color="auto"/>
          <w:color w:val="auto"/>
        </w:rPr>
        <w:t>LII</w:t>
      </w:r>
      <w:r>
        <w:rPr>
          <w:rFonts w:ascii="Times New Roman" w:cs="Times New Roman" w:eastAsia="Times New Roman" w:hAnsi="Times New Roman"/>
          <w:sz w:val="22"/>
          <w:szCs w:val="22"/>
          <w:color w:val="auto"/>
        </w:rPr>
        <w:t>”). Capitalized terms used and not otherwise defined in this Agreement have the meanings set forth in the Plan.</w:t>
      </w:r>
    </w:p>
    <w:p>
      <w:pPr>
        <w:spacing w:after="0" w:line="216"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Pursuant to the Plan, the Committee, which has responsibility for administering the Plan, has determined that it is in the interest of the Company and its stockholders to make the awards provided in this Agreement in order to increase Participant’s personal interest in the continued success and progress of the Company, to foster and enhance the long-term profitability of the Company for the benefit of its shareholders by offering the incentive of long-term rewards, and to encourage Participant to remain in the employ of LII.</w:t>
      </w:r>
    </w:p>
    <w:p>
      <w:pPr>
        <w:spacing w:after="0" w:line="2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Company and Participant therefore agree as follows:</w:t>
      </w:r>
    </w:p>
    <w:p>
      <w:pPr>
        <w:spacing w:after="0" w:line="256" w:lineRule="exact"/>
        <w:rPr>
          <w:sz w:val="20"/>
          <w:szCs w:val="20"/>
          <w:color w:val="auto"/>
        </w:rPr>
      </w:pPr>
    </w:p>
    <w:p>
      <w:pPr>
        <w:ind w:left="1040" w:hanging="384"/>
        <w:spacing w:after="0"/>
        <w:tabs>
          <w:tab w:leader="none" w:pos="10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 of Awards</w:t>
      </w:r>
      <w:r>
        <w:rPr>
          <w:rFonts w:ascii="Times New Roman" w:cs="Times New Roman" w:eastAsia="Times New Roman" w:hAnsi="Times New Roman"/>
          <w:sz w:val="22"/>
          <w:szCs w:val="22"/>
          <w:color w:val="auto"/>
        </w:rPr>
        <w:t>. Subject to the terms of this Agreement, the Company grants to Participant on the Award Date:</w:t>
      </w:r>
    </w:p>
    <w:p>
      <w:pPr>
        <w:spacing w:after="0" w:line="264" w:lineRule="exact"/>
        <w:rPr>
          <w:rFonts w:ascii="Times New Roman" w:cs="Times New Roman" w:eastAsia="Times New Roman" w:hAnsi="Times New Roman"/>
          <w:sz w:val="22"/>
          <w:szCs w:val="22"/>
          <w:color w:val="auto"/>
        </w:rPr>
      </w:pPr>
    </w:p>
    <w:p>
      <w:pPr>
        <w:ind w:left="660" w:firstLine="645"/>
        <w:spacing w:after="0" w:line="295" w:lineRule="auto"/>
        <w:tabs>
          <w:tab w:leader="none" w:pos="1994"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PSU Award</w:t>
      </w:r>
      <w:r>
        <w:rPr>
          <w:rFonts w:ascii="Times New Roman" w:cs="Times New Roman" w:eastAsia="Times New Roman" w:hAnsi="Times New Roman"/>
          <w:sz w:val="21"/>
          <w:szCs w:val="21"/>
          <w:color w:val="auto"/>
        </w:rPr>
        <w:t xml:space="preserve"> - for the period beginning on January 1, 2019 and ending on December 31, 2021 (the “</w:t>
      </w:r>
      <w:r>
        <w:rPr>
          <w:rFonts w:ascii="Times New Roman" w:cs="Times New Roman" w:eastAsia="Times New Roman" w:hAnsi="Times New Roman"/>
          <w:sz w:val="21"/>
          <w:szCs w:val="21"/>
          <w:b w:val="1"/>
          <w:bCs w:val="1"/>
          <w:u w:val="single" w:color="auto"/>
          <w:color w:val="auto"/>
        </w:rPr>
        <w:t>Performance Period</w:t>
      </w:r>
      <w:r>
        <w:rPr>
          <w:rFonts w:ascii="Times New Roman" w:cs="Times New Roman" w:eastAsia="Times New Roman" w:hAnsi="Times New Roman"/>
          <w:sz w:val="21"/>
          <w:szCs w:val="21"/>
          <w:color w:val="auto"/>
        </w:rPr>
        <w:t>”), an award of __________ performance share units (“</w:t>
      </w:r>
      <w:r>
        <w:rPr>
          <w:rFonts w:ascii="Times New Roman" w:cs="Times New Roman" w:eastAsia="Times New Roman" w:hAnsi="Times New Roman"/>
          <w:sz w:val="21"/>
          <w:szCs w:val="21"/>
          <w:b w:val="1"/>
          <w:bCs w:val="1"/>
          <w:u w:val="single" w:color="auto"/>
          <w:color w:val="auto"/>
        </w:rPr>
        <w:t>PSUs</w:t>
      </w:r>
      <w:r>
        <w:rPr>
          <w:rFonts w:ascii="Times New Roman" w:cs="Times New Roman" w:eastAsia="Times New Roman" w:hAnsi="Times New Roman"/>
          <w:sz w:val="21"/>
          <w:szCs w:val="21"/>
          <w:color w:val="auto"/>
        </w:rPr>
        <w:t>” and such award, the “</w:t>
      </w:r>
      <w:r>
        <w:rPr>
          <w:rFonts w:ascii="Times New Roman" w:cs="Times New Roman" w:eastAsia="Times New Roman" w:hAnsi="Times New Roman"/>
          <w:sz w:val="21"/>
          <w:szCs w:val="21"/>
          <w:b w:val="1"/>
          <w:bCs w:val="1"/>
          <w:u w:val="single" w:color="auto"/>
          <w:color w:val="auto"/>
        </w:rPr>
        <w:t>PSU Award</w:t>
      </w:r>
      <w:r>
        <w:rPr>
          <w:rFonts w:ascii="Times New Roman" w:cs="Times New Roman" w:eastAsia="Times New Roman" w:hAnsi="Times New Roman"/>
          <w:sz w:val="21"/>
          <w:szCs w:val="21"/>
          <w:color w:val="auto"/>
        </w:rPr>
        <w:t>”);</w:t>
      </w:r>
    </w:p>
    <w:p>
      <w:pPr>
        <w:spacing w:after="0" w:line="176" w:lineRule="exact"/>
        <w:rPr>
          <w:rFonts w:ascii="Times New Roman" w:cs="Times New Roman" w:eastAsia="Times New Roman" w:hAnsi="Times New Roman"/>
          <w:sz w:val="21"/>
          <w:szCs w:val="21"/>
          <w:color w:val="auto"/>
        </w:rPr>
      </w:pPr>
    </w:p>
    <w:p>
      <w:pPr>
        <w:jc w:val="both"/>
        <w:ind w:left="660" w:firstLine="645"/>
        <w:spacing w:after="0" w:line="257" w:lineRule="auto"/>
        <w:tabs>
          <w:tab w:leader="none" w:pos="187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xml:space="preserve"> - for the period beginning on December 7, 2018 and ending on December 7, 2021 (except as provided below, the “</w:t>
      </w:r>
      <w:r>
        <w:rPr>
          <w:rFonts w:ascii="Times New Roman" w:cs="Times New Roman" w:eastAsia="Times New Roman" w:hAnsi="Times New Roman"/>
          <w:sz w:val="22"/>
          <w:szCs w:val="22"/>
          <w:b w:val="1"/>
          <w:bCs w:val="1"/>
          <w:u w:val="single" w:color="auto"/>
          <w:color w:val="auto"/>
        </w:rPr>
        <w:t>Retention Period</w:t>
      </w:r>
      <w:r>
        <w:rPr>
          <w:rFonts w:ascii="Times New Roman" w:cs="Times New Roman" w:eastAsia="Times New Roman" w:hAnsi="Times New Roman"/>
          <w:sz w:val="22"/>
          <w:szCs w:val="22"/>
          <w:color w:val="auto"/>
        </w:rPr>
        <w:t>”), an award of __________ Restricted Stock Units (“</w:t>
      </w:r>
      <w:r>
        <w:rPr>
          <w:rFonts w:ascii="Times New Roman" w:cs="Times New Roman" w:eastAsia="Times New Roman" w:hAnsi="Times New Roman"/>
          <w:sz w:val="22"/>
          <w:szCs w:val="22"/>
          <w:b w:val="1"/>
          <w:bCs w:val="1"/>
          <w:u w:val="single" w:color="auto"/>
          <w:color w:val="auto"/>
        </w:rPr>
        <w:t>RSUs</w:t>
      </w:r>
      <w:r>
        <w:rPr>
          <w:rFonts w:ascii="Times New Roman" w:cs="Times New Roman" w:eastAsia="Times New Roman" w:hAnsi="Times New Roman"/>
          <w:sz w:val="22"/>
          <w:szCs w:val="22"/>
          <w:color w:val="auto"/>
        </w:rPr>
        <w:t>” and such award, the “</w:t>
      </w:r>
      <w:r>
        <w:rPr>
          <w:rFonts w:ascii="Times New Roman" w:cs="Times New Roman" w:eastAsia="Times New Roman" w:hAnsi="Times New Roman"/>
          <w:sz w:val="22"/>
          <w:szCs w:val="22"/>
          <w:b w:val="1"/>
          <w:bCs w:val="1"/>
          <w:u w:val="single" w:color="auto"/>
          <w:color w:val="auto"/>
        </w:rPr>
        <w:t>RSU Award</w:t>
      </w:r>
      <w:r>
        <w:rPr>
          <w:rFonts w:ascii="Times New Roman" w:cs="Times New Roman" w:eastAsia="Times New Roman" w:hAnsi="Times New Roman"/>
          <w:sz w:val="22"/>
          <w:szCs w:val="22"/>
          <w:color w:val="auto"/>
        </w:rPr>
        <w:t>”); and</w:t>
      </w:r>
    </w:p>
    <w:p>
      <w:pPr>
        <w:spacing w:after="0" w:line="209" w:lineRule="exact"/>
        <w:rPr>
          <w:rFonts w:ascii="Times New Roman" w:cs="Times New Roman" w:eastAsia="Times New Roman" w:hAnsi="Times New Roman"/>
          <w:sz w:val="22"/>
          <w:szCs w:val="22"/>
          <w:color w:val="auto"/>
        </w:rPr>
      </w:pPr>
    </w:p>
    <w:p>
      <w:pPr>
        <w:jc w:val="both"/>
        <w:ind w:left="660" w:firstLine="645"/>
        <w:spacing w:after="0" w:line="259" w:lineRule="auto"/>
        <w:tabs>
          <w:tab w:leader="none" w:pos="185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 Award</w:t>
      </w:r>
      <w:r>
        <w:rPr>
          <w:rFonts w:ascii="Times New Roman" w:cs="Times New Roman" w:eastAsia="Times New Roman" w:hAnsi="Times New Roman"/>
          <w:sz w:val="22"/>
          <w:szCs w:val="22"/>
          <w:color w:val="auto"/>
        </w:rPr>
        <w:t xml:space="preserve"> - for the period beginning on December 7, 2018 and ending on December 7, 2025 (the “</w:t>
      </w:r>
      <w:r>
        <w:rPr>
          <w:rFonts w:ascii="Times New Roman" w:cs="Times New Roman" w:eastAsia="Times New Roman" w:hAnsi="Times New Roman"/>
          <w:sz w:val="22"/>
          <w:szCs w:val="22"/>
          <w:b w:val="1"/>
          <w:bCs w:val="1"/>
          <w:u w:val="single" w:color="auto"/>
          <w:color w:val="auto"/>
        </w:rPr>
        <w:t>SAR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Period</w:t>
      </w:r>
      <w:r>
        <w:rPr>
          <w:rFonts w:ascii="Times New Roman" w:cs="Times New Roman" w:eastAsia="Times New Roman" w:hAnsi="Times New Roman"/>
          <w:sz w:val="22"/>
          <w:szCs w:val="22"/>
          <w:color w:val="auto"/>
        </w:rPr>
        <w:t>”), __________ Stock Appreciation Rights (“</w:t>
      </w:r>
      <w:r>
        <w:rPr>
          <w:rFonts w:ascii="Times New Roman" w:cs="Times New Roman" w:eastAsia="Times New Roman" w:hAnsi="Times New Roman"/>
          <w:sz w:val="22"/>
          <w:szCs w:val="22"/>
          <w:b w:val="1"/>
          <w:bCs w:val="1"/>
          <w:u w:val="single" w:color="auto"/>
          <w:color w:val="auto"/>
        </w:rPr>
        <w:t>SARs</w:t>
      </w:r>
      <w:r>
        <w:rPr>
          <w:rFonts w:ascii="Times New Roman" w:cs="Times New Roman" w:eastAsia="Times New Roman" w:hAnsi="Times New Roman"/>
          <w:sz w:val="22"/>
          <w:szCs w:val="22"/>
          <w:color w:val="auto"/>
        </w:rPr>
        <w:t>” and such award, the “</w:t>
      </w:r>
      <w:r>
        <w:rPr>
          <w:rFonts w:ascii="Times New Roman" w:cs="Times New Roman" w:eastAsia="Times New Roman" w:hAnsi="Times New Roman"/>
          <w:sz w:val="22"/>
          <w:szCs w:val="22"/>
          <w:b w:val="1"/>
          <w:bCs w:val="1"/>
          <w:u w:val="single" w:color="auto"/>
          <w:color w:val="auto"/>
        </w:rPr>
        <w:t>SAR Award</w:t>
      </w:r>
      <w:r>
        <w:rPr>
          <w:rFonts w:ascii="Times New Roman" w:cs="Times New Roman" w:eastAsia="Times New Roman" w:hAnsi="Times New Roman"/>
          <w:sz w:val="22"/>
          <w:szCs w:val="22"/>
          <w:color w:val="auto"/>
        </w:rPr>
        <w:t>”) at a grant price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$__________ per share of Common Stock (the Fair Market Value of a share of Common Stock on the date of grant).</w:t>
      </w:r>
    </w:p>
    <w:p>
      <w:pPr>
        <w:spacing w:after="0" w:line="20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 for Vesting</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Subject to Participant’s compliance with the terms of this Agreement:</w:t>
      </w:r>
    </w:p>
    <w:p>
      <w:pPr>
        <w:spacing w:after="0" w:line="260" w:lineRule="exact"/>
        <w:rPr>
          <w:sz w:val="20"/>
          <w:szCs w:val="20"/>
          <w:color w:val="auto"/>
        </w:rPr>
      </w:pPr>
    </w:p>
    <w:p>
      <w:pPr>
        <w:jc w:val="both"/>
        <w:ind w:left="660" w:firstLine="645"/>
        <w:spacing w:after="0" w:line="257" w:lineRule="auto"/>
        <w:tabs>
          <w:tab w:leader="none" w:pos="179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PSU Award</w:t>
      </w:r>
      <w:r>
        <w:rPr>
          <w:rFonts w:ascii="Times New Roman" w:cs="Times New Roman" w:eastAsia="Times New Roman" w:hAnsi="Times New Roman"/>
          <w:sz w:val="22"/>
          <w:szCs w:val="22"/>
          <w:color w:val="auto"/>
        </w:rPr>
        <w:t xml:space="preserve"> - 50% of the PSU Award is based upon achievement of core net income growth rate performance goals (“</w:t>
      </w:r>
      <w:r>
        <w:rPr>
          <w:rFonts w:ascii="Times New Roman" w:cs="Times New Roman" w:eastAsia="Times New Roman" w:hAnsi="Times New Roman"/>
          <w:sz w:val="22"/>
          <w:szCs w:val="22"/>
          <w:b w:val="1"/>
          <w:bCs w:val="1"/>
          <w:u w:val="single" w:color="auto"/>
          <w:color w:val="auto"/>
        </w:rPr>
        <w:t>Net Income</w:t>
      </w:r>
      <w:r>
        <w:rPr>
          <w:rFonts w:ascii="Times New Roman" w:cs="Times New Roman" w:eastAsia="Times New Roman" w:hAnsi="Times New Roman"/>
          <w:sz w:val="22"/>
          <w:szCs w:val="22"/>
          <w:color w:val="auto"/>
        </w:rPr>
        <w:t>”) for the Performance Period, and 50% of the PSU Award is based upon achievement of return on invested capital performance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2"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Exhibit10.18</w:t>
      </w:r>
    </w:p>
    <w:p>
      <w:pPr>
        <w:spacing w:after="0" w:line="200" w:lineRule="exact"/>
        <w:rPr>
          <w:sz w:val="20"/>
          <w:szCs w:val="20"/>
          <w:color w:val="auto"/>
        </w:rPr>
      </w:pPr>
    </w:p>
    <w:p>
      <w:pPr>
        <w:spacing w:after="0" w:line="303"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22"/>
          <w:szCs w:val="22"/>
          <w:color w:val="auto"/>
        </w:rPr>
        <w:t>goals (“</w:t>
      </w:r>
      <w:r>
        <w:rPr>
          <w:rFonts w:ascii="Times New Roman" w:cs="Times New Roman" w:eastAsia="Times New Roman" w:hAnsi="Times New Roman"/>
          <w:sz w:val="22"/>
          <w:szCs w:val="22"/>
          <w:b w:val="1"/>
          <w:bCs w:val="1"/>
          <w:u w:val="single" w:color="auto"/>
          <w:color w:val="auto"/>
        </w:rPr>
        <w:t>ROIC</w:t>
      </w:r>
      <w:r>
        <w:rPr>
          <w:rFonts w:ascii="Times New Roman" w:cs="Times New Roman" w:eastAsia="Times New Roman" w:hAnsi="Times New Roman"/>
          <w:sz w:val="22"/>
          <w:szCs w:val="22"/>
          <w:color w:val="auto"/>
        </w:rPr>
        <w:t>”) for the Performance Period. At the end of the Performance Period, the Committee will evaluate the Company’s attained levels of performance with respect to Core Net Income and ROIC to determine the number of whole PSUs earned, if any, by Participant (the “</w:t>
      </w:r>
      <w:r>
        <w:rPr>
          <w:rFonts w:ascii="Times New Roman" w:cs="Times New Roman" w:eastAsia="Times New Roman" w:hAnsi="Times New Roman"/>
          <w:sz w:val="22"/>
          <w:szCs w:val="22"/>
          <w:b w:val="1"/>
          <w:bCs w:val="1"/>
          <w:u w:val="single" w:color="auto"/>
          <w:color w:val="auto"/>
        </w:rPr>
        <w:t>Earned PSUs</w:t>
      </w:r>
      <w:r>
        <w:rPr>
          <w:rFonts w:ascii="Times New Roman" w:cs="Times New Roman" w:eastAsia="Times New Roman" w:hAnsi="Times New Roman"/>
          <w:sz w:val="22"/>
          <w:szCs w:val="22"/>
          <w:color w:val="auto"/>
        </w:rPr>
        <w:t>”). The Committee will determine Participant’s total Earned PSUs for such period by reference to the following performance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231775</wp:posOffset>
            </wp:positionV>
            <wp:extent cx="4939665" cy="19551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4939665" cy="1955165"/>
                    </a:xfrm>
                    <a:prstGeom prst="rect">
                      <a:avLst/>
                    </a:prstGeom>
                    <a:noFill/>
                  </pic:spPr>
                </pic:pic>
              </a:graphicData>
            </a:graphic>
          </wp:anchor>
        </w:drawing>
      </w:r>
    </w:p>
    <w:p>
      <w:pPr>
        <w:spacing w:after="0" w:line="358" w:lineRule="exact"/>
        <w:rPr>
          <w:sz w:val="20"/>
          <w:szCs w:val="20"/>
          <w:color w:val="auto"/>
        </w:rPr>
      </w:pPr>
    </w:p>
    <w:p>
      <w:pPr>
        <w:ind w:left="3164"/>
        <w:spacing w:after="0"/>
        <w:rPr>
          <w:sz w:val="20"/>
          <w:szCs w:val="20"/>
          <w:color w:val="auto"/>
        </w:rPr>
      </w:pPr>
      <w:r>
        <w:rPr>
          <w:rFonts w:ascii="Times New Roman" w:cs="Times New Roman" w:eastAsia="Times New Roman" w:hAnsi="Times New Roman"/>
          <w:sz w:val="22"/>
          <w:szCs w:val="22"/>
          <w:color w:val="auto"/>
        </w:rPr>
        <w:t>PSU Award – Performance Goals</w:t>
      </w:r>
    </w:p>
    <w:p>
      <w:pPr>
        <w:spacing w:after="0" w:line="30" w:lineRule="exact"/>
        <w:rPr>
          <w:sz w:val="20"/>
          <w:szCs w:val="20"/>
          <w:color w:val="auto"/>
        </w:rPr>
      </w:pPr>
    </w:p>
    <w:tbl>
      <w:tblPr>
        <w:tblLayout w:type="fixed"/>
        <w:tblInd w:w="724" w:type="dxa"/>
        <w:tblCellMar>
          <w:top w:w="0" w:type="dxa"/>
          <w:left w:w="0" w:type="dxa"/>
          <w:bottom w:w="0" w:type="dxa"/>
          <w:right w:w="0" w:type="dxa"/>
        </w:tblCellMar>
      </w:tblPr>
      <w:tr>
        <w:trPr>
          <w:trHeight w:val="299"/>
        </w:trPr>
        <w:tc>
          <w:tcPr>
            <w:tcW w:w="242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Threshold</w:t>
            </w:r>
          </w:p>
        </w:tc>
        <w:tc>
          <w:tcPr>
            <w:tcW w:w="154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Target</w:t>
            </w:r>
          </w:p>
        </w:tc>
        <w:tc>
          <w:tcPr>
            <w:tcW w:w="21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22"/>
                <w:szCs w:val="22"/>
                <w:color w:val="auto"/>
              </w:rPr>
              <w:t>Maximum</w:t>
            </w:r>
          </w:p>
        </w:tc>
        <w:tc>
          <w:tcPr>
            <w:tcW w:w="0" w:type="dxa"/>
            <w:vAlign w:val="bottom"/>
          </w:tcPr>
          <w:p>
            <w:pPr>
              <w:spacing w:after="0"/>
              <w:rPr>
                <w:sz w:val="1"/>
                <w:szCs w:val="1"/>
                <w:color w:val="auto"/>
              </w:rPr>
            </w:pPr>
          </w:p>
        </w:tc>
      </w:tr>
      <w:tr>
        <w:trPr>
          <w:trHeight w:val="243"/>
        </w:trPr>
        <w:tc>
          <w:tcPr>
            <w:tcW w:w="2420" w:type="dxa"/>
            <w:vAlign w:val="bottom"/>
            <w:tcBorders>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Earned PSUs</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Payout Levels</w:t>
            </w:r>
          </w:p>
        </w:tc>
        <w:tc>
          <w:tcPr>
            <w:tcW w:w="1720" w:type="dxa"/>
            <w:vAlign w:val="bottom"/>
            <w:tcBorders>
              <w:right w:val="single" w:sz="8" w:color="auto"/>
            </w:tcBorders>
            <w:vMerge w:val="continue"/>
          </w:tcPr>
          <w:p>
            <w:pPr>
              <w:spacing w:after="0"/>
              <w:rPr>
                <w:sz w:val="13"/>
                <w:szCs w:val="13"/>
                <w:color w:val="auto"/>
              </w:rPr>
            </w:pPr>
          </w:p>
        </w:tc>
        <w:tc>
          <w:tcPr>
            <w:tcW w:w="1540" w:type="dxa"/>
            <w:vAlign w:val="bottom"/>
            <w:tcBorders>
              <w:right w:val="single" w:sz="8" w:color="auto"/>
            </w:tcBorders>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420" w:type="dxa"/>
            <w:vAlign w:val="bottom"/>
            <w:tcBorders>
              <w:bottom w:val="single" w:sz="8" w:color="auto"/>
              <w:right w:val="single" w:sz="8" w:color="auto"/>
            </w:tcBorders>
            <w:vMerge w:val="continue"/>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2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Core Net Income: 3-year</w:t>
            </w:r>
          </w:p>
        </w:tc>
        <w:tc>
          <w:tcPr>
            <w:tcW w:w="172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20" w:type="dxa"/>
            <w:vAlign w:val="bottom"/>
            <w:tcBorders>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compound annual growth</w:t>
            </w:r>
          </w:p>
        </w:tc>
        <w:tc>
          <w:tcPr>
            <w:tcW w:w="17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rPr>
              <w:t>6%</w:t>
            </w:r>
          </w:p>
        </w:tc>
        <w:tc>
          <w:tcPr>
            <w:tcW w:w="15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12%</w:t>
            </w:r>
          </w:p>
        </w:tc>
        <w:tc>
          <w:tcPr>
            <w:tcW w:w="2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20%</w:t>
            </w:r>
          </w:p>
        </w:tc>
        <w:tc>
          <w:tcPr>
            <w:tcW w:w="0" w:type="dxa"/>
            <w:vAlign w:val="bottom"/>
          </w:tcPr>
          <w:p>
            <w:pPr>
              <w:spacing w:after="0"/>
              <w:rPr>
                <w:sz w:val="1"/>
                <w:szCs w:val="1"/>
                <w:color w:val="auto"/>
              </w:rPr>
            </w:pPr>
          </w:p>
        </w:tc>
      </w:tr>
      <w:tr>
        <w:trPr>
          <w:trHeight w:val="283"/>
        </w:trPr>
        <w:tc>
          <w:tcPr>
            <w:tcW w:w="2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rate</w:t>
            </w:r>
          </w:p>
        </w:tc>
        <w:tc>
          <w:tcPr>
            <w:tcW w:w="172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4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2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ROIC: 3-year weighted</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15%</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25%</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35%</w:t>
            </w: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average*</w:t>
            </w:r>
          </w:p>
        </w:tc>
        <w:tc>
          <w:tcPr>
            <w:tcW w:w="1720" w:type="dxa"/>
            <w:vAlign w:val="bottom"/>
            <w:tcBorders>
              <w:right w:val="single" w:sz="8" w:color="auto"/>
            </w:tcBorders>
            <w:vMerge w:val="continue"/>
          </w:tcPr>
          <w:p>
            <w:pPr>
              <w:spacing w:after="0"/>
              <w:rPr>
                <w:sz w:val="13"/>
                <w:szCs w:val="13"/>
                <w:color w:val="auto"/>
              </w:rPr>
            </w:pPr>
          </w:p>
        </w:tc>
        <w:tc>
          <w:tcPr>
            <w:tcW w:w="1540" w:type="dxa"/>
            <w:vAlign w:val="bottom"/>
            <w:tcBorders>
              <w:right w:val="single" w:sz="8" w:color="auto"/>
            </w:tcBorders>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4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4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*lowest-year ROIC weighted 20%, remaining years weighted 40% each</w:t>
      </w:r>
    </w:p>
    <w:p>
      <w:pPr>
        <w:spacing w:after="0" w:line="260"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22"/>
          <w:szCs w:val="22"/>
          <w:color w:val="auto"/>
        </w:rPr>
        <w:t>If, at the end of the Performance Period, the threshold, target or maximum performance goal has been attained for either or both Core Net Income or ROIC, Participant will vest in Earned PSUs as provided in the matrix. If the attained level of performance for either goal is between the threshold and target, or between target and maximum, Earned PSUs will be determined by linear interpolation.</w:t>
      </w:r>
    </w:p>
    <w:p>
      <w:pPr>
        <w:spacing w:after="0" w:line="216" w:lineRule="exact"/>
        <w:rPr>
          <w:sz w:val="20"/>
          <w:szCs w:val="20"/>
          <w:color w:val="auto"/>
        </w:rPr>
      </w:pPr>
    </w:p>
    <w:p>
      <w:pPr>
        <w:jc w:val="both"/>
        <w:ind w:left="4" w:firstLine="645"/>
        <w:spacing w:after="0" w:line="254" w:lineRule="auto"/>
        <w:tabs>
          <w:tab w:leader="none" w:pos="116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xml:space="preserve"> - At the end of the Retention Period, the RSU Award will vest (the “</w:t>
      </w:r>
      <w:r>
        <w:rPr>
          <w:rFonts w:ascii="Times New Roman" w:cs="Times New Roman" w:eastAsia="Times New Roman" w:hAnsi="Times New Roman"/>
          <w:sz w:val="22"/>
          <w:szCs w:val="22"/>
          <w:b w:val="1"/>
          <w:bCs w:val="1"/>
          <w:u w:val="single" w:color="auto"/>
          <w:color w:val="auto"/>
        </w:rPr>
        <w:t>Earned RSUs</w:t>
      </w:r>
      <w:r>
        <w:rPr>
          <w:rFonts w:ascii="Times New Roman" w:cs="Times New Roman" w:eastAsia="Times New Roman" w:hAnsi="Times New Roman"/>
          <w:sz w:val="22"/>
          <w:szCs w:val="22"/>
          <w:color w:val="auto"/>
        </w:rPr>
        <w:t>”). If the last day of the Retention Period is not a day on which shares of Common Stock are traded on a U.S. national securities exchange or quoted in an inter-dealer quotation system, then the Retention Period will end on the last preceding day on which sales of shares of Common Stock were reported.</w:t>
      </w:r>
    </w:p>
    <w:p>
      <w:pPr>
        <w:spacing w:after="0" w:line="212" w:lineRule="exact"/>
        <w:rPr>
          <w:rFonts w:ascii="Times New Roman" w:cs="Times New Roman" w:eastAsia="Times New Roman" w:hAnsi="Times New Roman"/>
          <w:sz w:val="22"/>
          <w:szCs w:val="22"/>
          <w:color w:val="auto"/>
        </w:rPr>
      </w:pPr>
    </w:p>
    <w:p>
      <w:pPr>
        <w:ind w:left="4" w:firstLine="645"/>
        <w:spacing w:after="0" w:line="275" w:lineRule="auto"/>
        <w:tabs>
          <w:tab w:leader="none" w:pos="125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 Award</w:t>
      </w:r>
      <w:r>
        <w:rPr>
          <w:rFonts w:ascii="Times New Roman" w:cs="Times New Roman" w:eastAsia="Times New Roman" w:hAnsi="Times New Roman"/>
          <w:sz w:val="22"/>
          <w:szCs w:val="22"/>
          <w:color w:val="auto"/>
        </w:rPr>
        <w:t xml:space="preserve"> - To the extent the SAR Award has become vested (the “</w:t>
      </w:r>
      <w:r>
        <w:rPr>
          <w:rFonts w:ascii="Times New Roman" w:cs="Times New Roman" w:eastAsia="Times New Roman" w:hAnsi="Times New Roman"/>
          <w:sz w:val="22"/>
          <w:szCs w:val="22"/>
          <w:b w:val="1"/>
          <w:bCs w:val="1"/>
          <w:u w:val="single" w:color="auto"/>
          <w:color w:val="auto"/>
        </w:rPr>
        <w:t>Earned SARs</w:t>
      </w:r>
      <w:r>
        <w:rPr>
          <w:rFonts w:ascii="Times New Roman" w:cs="Times New Roman" w:eastAsia="Times New Roman" w:hAnsi="Times New Roman"/>
          <w:sz w:val="22"/>
          <w:szCs w:val="22"/>
          <w:color w:val="auto"/>
        </w:rPr>
        <w:t>”) according to the following schedule, the Earned SARs may be exercised in whole or part at any time until expiration of the SAR Period:</w:t>
      </w:r>
    </w:p>
    <w:p>
      <w:pPr>
        <w:spacing w:after="0" w:line="171" w:lineRule="exact"/>
        <w:rPr>
          <w:sz w:val="20"/>
          <w:szCs w:val="20"/>
          <w:color w:val="auto"/>
        </w:rPr>
      </w:pPr>
    </w:p>
    <w:tbl>
      <w:tblPr>
        <w:tblLayout w:type="fixed"/>
        <w:tblInd w:w="1304" w:type="dxa"/>
        <w:tblCellMar>
          <w:top w:w="0" w:type="dxa"/>
          <w:left w:w="0" w:type="dxa"/>
          <w:bottom w:w="0" w:type="dxa"/>
          <w:right w:w="0" w:type="dxa"/>
        </w:tblCellMar>
      </w:tblPr>
      <w:tr>
        <w:trPr>
          <w:trHeight w:val="253"/>
        </w:trPr>
        <w:tc>
          <w:tcPr>
            <w:tcW w:w="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0"/>
              </w:rPr>
              <w:t>Date</w:t>
            </w:r>
          </w:p>
        </w:tc>
        <w:tc>
          <w:tcPr>
            <w:tcW w:w="700" w:type="dxa"/>
            <w:vAlign w:val="bottom"/>
          </w:tcPr>
          <w:p>
            <w:pPr>
              <w:spacing w:after="0"/>
              <w:rPr>
                <w:sz w:val="21"/>
                <w:szCs w:val="21"/>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SARs Vested</w:t>
            </w:r>
          </w:p>
        </w:tc>
      </w:tr>
      <w:tr>
        <w:trPr>
          <w:trHeight w:val="20"/>
        </w:trPr>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December 7, 2019</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4"/>
              </w:rPr>
              <w:t>33 1/3%</w:t>
            </w:r>
          </w:p>
        </w:tc>
      </w:tr>
      <w:tr>
        <w:trPr>
          <w:trHeight w:val="257"/>
        </w:trPr>
        <w:tc>
          <w:tcPr>
            <w:tcW w:w="1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December 7, 2020</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4"/>
              </w:rPr>
              <w:t>66 2/3%</w:t>
            </w:r>
          </w:p>
        </w:tc>
      </w:tr>
      <w:tr>
        <w:trPr>
          <w:trHeight w:val="283"/>
        </w:trPr>
        <w:tc>
          <w:tcPr>
            <w:tcW w:w="1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December 7, 2021</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100%</w:t>
            </w:r>
          </w:p>
        </w:tc>
      </w:tr>
    </w:tbl>
    <w:p>
      <w:pPr>
        <w:spacing w:after="0" w:line="227" w:lineRule="exact"/>
        <w:rPr>
          <w:sz w:val="20"/>
          <w:szCs w:val="20"/>
          <w:color w:val="auto"/>
        </w:rPr>
      </w:pPr>
    </w:p>
    <w:p>
      <w:pPr>
        <w:jc w:val="both"/>
        <w:ind w:left="4" w:right="7300" w:hanging="4"/>
        <w:spacing w:after="0" w:line="512" w:lineRule="auto"/>
        <w:tabs>
          <w:tab w:leader="none" w:pos="65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Method and Time of Payment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terms of this Agreement:</w:t>
      </w:r>
    </w:p>
    <w:p>
      <w:pPr>
        <w:jc w:val="both"/>
        <w:ind w:left="4" w:firstLine="645"/>
        <w:spacing w:after="0" w:line="257" w:lineRule="auto"/>
        <w:tabs>
          <w:tab w:leader="none" w:pos="110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PSU Award</w:t>
      </w:r>
      <w:r>
        <w:rPr>
          <w:rFonts w:ascii="Times New Roman" w:cs="Times New Roman" w:eastAsia="Times New Roman" w:hAnsi="Times New Roman"/>
          <w:sz w:val="22"/>
          <w:szCs w:val="22"/>
          <w:color w:val="auto"/>
        </w:rPr>
        <w:t xml:space="preserve"> – Earned PSUs will be paid within 2.5 months following the end of the Performance Period, minus any shares of Common Stock withheld for taxes pursuant to Section 4 below. Earned PSUs will be paid in the form of the nearest number of whole</w:t>
      </w:r>
    </w:p>
    <w:p>
      <w:pPr>
        <w:spacing w:after="0" w:line="196"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64"/>
          </w:cols>
          <w:pgMar w:left="896" w:top="122"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b w:val="1"/>
          <w:bCs w:val="1"/>
          <w:color w:val="auto"/>
        </w:rPr>
        <w:t>Exhibit10.18</w:t>
      </w:r>
    </w:p>
    <w:p>
      <w:pPr>
        <w:spacing w:after="0" w:line="200" w:lineRule="exact"/>
        <w:rPr>
          <w:sz w:val="20"/>
          <w:szCs w:val="20"/>
          <w:color w:val="auto"/>
        </w:rPr>
      </w:pPr>
    </w:p>
    <w:p>
      <w:pPr>
        <w:spacing w:after="0" w:line="307" w:lineRule="exact"/>
        <w:rPr>
          <w:sz w:val="20"/>
          <w:szCs w:val="20"/>
          <w:color w:val="auto"/>
        </w:rPr>
      </w:pPr>
    </w:p>
    <w:p>
      <w:pPr>
        <w:jc w:val="both"/>
        <w:ind w:left="660"/>
        <w:spacing w:after="0" w:line="271" w:lineRule="auto"/>
        <w:rPr>
          <w:sz w:val="20"/>
          <w:szCs w:val="20"/>
          <w:color w:val="auto"/>
        </w:rPr>
      </w:pPr>
      <w:r>
        <w:rPr>
          <w:rFonts w:ascii="Times New Roman" w:cs="Times New Roman" w:eastAsia="Times New Roman" w:hAnsi="Times New Roman"/>
          <w:sz w:val="22"/>
          <w:szCs w:val="22"/>
          <w:color w:val="auto"/>
        </w:rPr>
        <w:t>shares of Common Stock which is equal to or less than the Earned PSUs determined by the reference to the performance matrix specified in Section 2(a) above.</w:t>
      </w:r>
    </w:p>
    <w:p>
      <w:pPr>
        <w:spacing w:after="0" w:line="198" w:lineRule="exact"/>
        <w:rPr>
          <w:sz w:val="20"/>
          <w:szCs w:val="20"/>
          <w:color w:val="auto"/>
        </w:rPr>
      </w:pPr>
    </w:p>
    <w:p>
      <w:pPr>
        <w:jc w:val="both"/>
        <w:ind w:left="660" w:firstLine="645"/>
        <w:spacing w:after="0" w:line="257" w:lineRule="auto"/>
        <w:tabs>
          <w:tab w:leader="none" w:pos="183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Awards</w:t>
      </w:r>
      <w:r>
        <w:rPr>
          <w:rFonts w:ascii="Times New Roman" w:cs="Times New Roman" w:eastAsia="Times New Roman" w:hAnsi="Times New Roman"/>
          <w:sz w:val="22"/>
          <w:szCs w:val="22"/>
          <w:color w:val="auto"/>
        </w:rPr>
        <w:t xml:space="preserve"> – Earned RSUs will be paid within 30 days following the end of the Retention Period. Earned RSUs will be paid in whole shares of Common Stock equal to the number of Earned RSUs, minus any shares of Common Stock withheld for taxes pursuant to Section 4 below.</w:t>
      </w:r>
    </w:p>
    <w:p>
      <w:pPr>
        <w:spacing w:after="0" w:line="213" w:lineRule="exact"/>
        <w:rPr>
          <w:rFonts w:ascii="Times New Roman" w:cs="Times New Roman" w:eastAsia="Times New Roman" w:hAnsi="Times New Roman"/>
          <w:sz w:val="22"/>
          <w:szCs w:val="22"/>
          <w:color w:val="auto"/>
        </w:rPr>
      </w:pPr>
    </w:p>
    <w:p>
      <w:pPr>
        <w:jc w:val="both"/>
        <w:ind w:left="660" w:firstLine="645"/>
        <w:spacing w:after="0" w:line="247" w:lineRule="auto"/>
        <w:tabs>
          <w:tab w:leader="none" w:pos="179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 Award</w:t>
      </w:r>
      <w:r>
        <w:rPr>
          <w:rFonts w:ascii="Times New Roman" w:cs="Times New Roman" w:eastAsia="Times New Roman" w:hAnsi="Times New Roman"/>
          <w:sz w:val="22"/>
          <w:szCs w:val="22"/>
          <w:color w:val="auto"/>
        </w:rPr>
        <w:t xml:space="preserve"> – Within 30 days of the date of exercise, the Company will deliver to Participant for each Earned SAR that is being exercised (“</w:t>
      </w:r>
      <w:r>
        <w:rPr>
          <w:rFonts w:ascii="Times New Roman" w:cs="Times New Roman" w:eastAsia="Times New Roman" w:hAnsi="Times New Roman"/>
          <w:sz w:val="22"/>
          <w:szCs w:val="22"/>
          <w:b w:val="1"/>
          <w:bCs w:val="1"/>
          <w:u w:val="single" w:color="auto"/>
          <w:color w:val="auto"/>
        </w:rPr>
        <w:t>Exercised SAR</w:t>
      </w:r>
      <w:r>
        <w:rPr>
          <w:rFonts w:ascii="Times New Roman" w:cs="Times New Roman" w:eastAsia="Times New Roman" w:hAnsi="Times New Roman"/>
          <w:sz w:val="22"/>
          <w:szCs w:val="22"/>
          <w:color w:val="auto"/>
        </w:rPr>
        <w:t>”) a number of shares of Common Stock, in the form of the nearest number of whole shares of Common Stock, equal to the excess (if any) of the most recent publicly quoted sale price of a share of Common Stock at the time of exercise over the grant price of the SAR on the Award Date. If on the last day of the SAR Period (i) the Fair Market Value of a share of Common Stock exceeds the grant price of the SAR on the Award Date, (ii) Participant has not exercised the Earned SARs and (iii) the SAR Award has not otherwise been cancelled, then the Earned SARs will be deemed to have been exercised by Participant as of such day, and the Company will settle the Exercised SARs in accordance with this Section 3(c).</w:t>
      </w:r>
    </w:p>
    <w:p>
      <w:pPr>
        <w:spacing w:after="0" w:line="222" w:lineRule="exact"/>
        <w:rPr>
          <w:rFonts w:ascii="Times New Roman" w:cs="Times New Roman" w:eastAsia="Times New Roman" w:hAnsi="Times New Roman"/>
          <w:sz w:val="22"/>
          <w:szCs w:val="22"/>
          <w:color w:val="auto"/>
        </w:rPr>
      </w:pPr>
    </w:p>
    <w:p>
      <w:pPr>
        <w:jc w:val="both"/>
        <w:ind w:firstLine="656"/>
        <w:spacing w:after="0" w:line="248" w:lineRule="auto"/>
        <w:tabs>
          <w:tab w:leader="none" w:pos="117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Withholding for Taxes</w:t>
      </w:r>
      <w:r>
        <w:rPr>
          <w:rFonts w:ascii="Times New Roman" w:cs="Times New Roman" w:eastAsia="Times New Roman" w:hAnsi="Times New Roman"/>
          <w:sz w:val="22"/>
          <w:szCs w:val="22"/>
          <w:color w:val="auto"/>
        </w:rPr>
        <w:t>. Participant acknowledges and agrees that the Company may deduct from the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otherwise deliverable in connection with Earned PSUs, Earned RSUs and Exercised SARs a number of whole shares of Common Stock (in the case of Earned PSUs and Earned RSUs, valued at the Fair Market Value of Common Stock on the date of distribution of the Earned PSUs and Earned RSUs; in the case of Earned SARs, valued at the most recent publicly quoted sale price of Common Stock at the time of exercise of the Earned SARs) that is equal to no more than the minimum statutory amount of all Federal, state and local taxes required to be withheld by the Company in connection with such delivery, as determined by the Company.</w:t>
      </w:r>
    </w:p>
    <w:p>
      <w:pPr>
        <w:spacing w:after="0" w:line="222" w:lineRule="exact"/>
        <w:rPr>
          <w:rFonts w:ascii="Times New Roman" w:cs="Times New Roman" w:eastAsia="Times New Roman" w:hAnsi="Times New Roman"/>
          <w:sz w:val="22"/>
          <w:szCs w:val="22"/>
          <w:color w:val="auto"/>
        </w:rPr>
      </w:pPr>
    </w:p>
    <w:p>
      <w:pPr>
        <w:ind w:firstLine="656"/>
        <w:spacing w:after="0" w:line="275" w:lineRule="auto"/>
        <w:tabs>
          <w:tab w:leader="none" w:pos="10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Employment</w:t>
      </w:r>
      <w:r>
        <w:rPr>
          <w:rFonts w:ascii="Times New Roman" w:cs="Times New Roman" w:eastAsia="Times New Roman" w:hAnsi="Times New Roman"/>
          <w:sz w:val="22"/>
          <w:szCs w:val="22"/>
          <w:color w:val="auto"/>
        </w:rPr>
        <w:t>. Unless otherwise determined by the Committee in its sole discretion, the PSU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RSU Award and the SAR Award will terminate at the times specified below:</w:t>
      </w:r>
    </w:p>
    <w:p>
      <w:pPr>
        <w:spacing w:after="0" w:line="194" w:lineRule="exact"/>
        <w:rPr>
          <w:rFonts w:ascii="Times New Roman" w:cs="Times New Roman" w:eastAsia="Times New Roman" w:hAnsi="Times New Roman"/>
          <w:sz w:val="22"/>
          <w:szCs w:val="22"/>
          <w:color w:val="auto"/>
        </w:rPr>
      </w:pPr>
    </w:p>
    <w:p>
      <w:pPr>
        <w:jc w:val="both"/>
        <w:ind w:left="660" w:firstLine="645"/>
        <w:spacing w:after="0" w:line="250" w:lineRule="auto"/>
        <w:tabs>
          <w:tab w:leader="none" w:pos="1805"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end of the Performance Period, Retention Period or SAR Period, Participant violates Section 6 of this Agreement or is terminated by LII for Cause (as defined in any applicable employment agreement between LII and Participant or as determined by the Committee in its sole discretion in the absence of any such employment agreement), then, immediately after LII becomes aware of a violation of Section 6 or Participant’s termination, the PSU Award, RSU Award or SAR Award will be cancelled.</w:t>
      </w:r>
    </w:p>
    <w:p>
      <w:pPr>
        <w:spacing w:after="0" w:line="222" w:lineRule="exact"/>
        <w:rPr>
          <w:rFonts w:ascii="Times New Roman" w:cs="Times New Roman" w:eastAsia="Times New Roman" w:hAnsi="Times New Roman"/>
          <w:sz w:val="22"/>
          <w:szCs w:val="22"/>
          <w:color w:val="auto"/>
        </w:rPr>
      </w:pPr>
    </w:p>
    <w:p>
      <w:pPr>
        <w:jc w:val="both"/>
        <w:ind w:left="660" w:firstLine="645"/>
        <w:spacing w:after="0" w:line="252" w:lineRule="auto"/>
        <w:tabs>
          <w:tab w:leader="none" w:pos="195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end of the Performance Period, Retention Period or SAR Period, Participant terminates employment with LII voluntarily or Participant’s employment with LII is terminated by LII not for Cause, then, (i) immediately after Participant’s termination, the PSU Award or RSU Award will be cancelled, and (ii) immediately after Participant’s termination, the Earned SARs will continue to be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2" w:right="239" w:bottom="1440" w:gutter="0" w:footer="0" w:header="0"/>
        </w:sectPr>
      </w:pPr>
    </w:p>
    <w:bookmarkStart w:id="108" w:name="page109"/>
    <w:bookmarkEnd w:id="108"/>
    <w:p>
      <w:pPr>
        <w:ind w:left="10240"/>
        <w:spacing w:after="0"/>
        <w:rPr>
          <w:sz w:val="20"/>
          <w:szCs w:val="20"/>
          <w:color w:val="auto"/>
        </w:rPr>
      </w:pPr>
      <w:r>
        <w:rPr>
          <w:rFonts w:ascii="Times New Roman" w:cs="Times New Roman" w:eastAsia="Times New Roman" w:hAnsi="Times New Roman"/>
          <w:sz w:val="21"/>
          <w:szCs w:val="21"/>
          <w:b w:val="1"/>
          <w:bCs w:val="1"/>
          <w:color w:val="auto"/>
        </w:rPr>
        <w:t>Exhibit10.18</w:t>
      </w:r>
    </w:p>
    <w:p>
      <w:pPr>
        <w:spacing w:after="0" w:line="200" w:lineRule="exact"/>
        <w:rPr>
          <w:sz w:val="20"/>
          <w:szCs w:val="20"/>
          <w:color w:val="auto"/>
        </w:rPr>
      </w:pPr>
    </w:p>
    <w:p>
      <w:pPr>
        <w:spacing w:after="0" w:line="319"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exercisable subject to the SAR Period for 90 days following Participant’s termination, and the remainder of the SAR Award will be cancelled.</w:t>
      </w:r>
    </w:p>
    <w:p>
      <w:pPr>
        <w:spacing w:after="0" w:line="198" w:lineRule="exact"/>
        <w:rPr>
          <w:sz w:val="20"/>
          <w:szCs w:val="20"/>
          <w:color w:val="auto"/>
        </w:rPr>
      </w:pPr>
    </w:p>
    <w:p>
      <w:pPr>
        <w:jc w:val="both"/>
        <w:ind w:left="660" w:firstLine="645"/>
        <w:spacing w:after="0" w:line="257" w:lineRule="auto"/>
        <w:tabs>
          <w:tab w:leader="none" w:pos="1811"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end of the SAR Period, Participant’s employment with LII is terminated by LII for any reason within one year following a Change in Control, then the Earned SARs will continue to be exercisable subject to the SAR Period for 90 days following Participant’s termination, and the remainder of the SAR Award will be cancelled.</w:t>
      </w:r>
    </w:p>
    <w:p>
      <w:pPr>
        <w:spacing w:after="0" w:line="213" w:lineRule="exact"/>
        <w:rPr>
          <w:rFonts w:ascii="Times New Roman" w:cs="Times New Roman" w:eastAsia="Times New Roman" w:hAnsi="Times New Roman"/>
          <w:sz w:val="22"/>
          <w:szCs w:val="22"/>
          <w:color w:val="auto"/>
        </w:rPr>
      </w:pPr>
    </w:p>
    <w:p>
      <w:pPr>
        <w:jc w:val="both"/>
        <w:ind w:left="660" w:firstLine="645"/>
        <w:spacing w:after="0" w:line="262" w:lineRule="auto"/>
        <w:tabs>
          <w:tab w:leader="none" w:pos="1793"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prior to the end of the Performance Period, Retention Period or SAR Period, Participant’s employment with LII terminates by reason of Participant’s retirement, and in connection with such termination of employment (i) Participant is at least 65 years of age, (ii) Participant is at least 62 years of age and has achieved at least 10 years of service with LII or</w:t>
      </w:r>
    </w:p>
    <w:p>
      <w:pPr>
        <w:spacing w:after="0" w:line="2" w:lineRule="exact"/>
        <w:rPr>
          <w:rFonts w:ascii="Times New Roman" w:cs="Times New Roman" w:eastAsia="Times New Roman" w:hAnsi="Times New Roman"/>
          <w:sz w:val="21"/>
          <w:szCs w:val="21"/>
          <w:color w:val="auto"/>
        </w:rPr>
      </w:pPr>
    </w:p>
    <w:p>
      <w:pPr>
        <w:jc w:val="both"/>
        <w:ind w:left="660" w:hanging="4"/>
        <w:spacing w:after="0" w:line="257" w:lineRule="auto"/>
        <w:tabs>
          <w:tab w:leader="none" w:pos="106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years of service Participant has achieved with LII plus Participant’s age equals at least 80, then (x) Participant will earn a pro rata amount of the PSU Award based upon the Company’s attainment of its performance goals in accordance with the performance matrix described in Section 2(a) above, determined at the end of the Performance Period, and the remainder of the PSU Award will be cancelled, (y) Participant will earn a pro rata amount of the RSU Award based upon the portion of the Retention Period during which Participant served as an employee of LII, determined as of the date of such retirement, and the remainder of the RSU Award will be cancelled, and (z) the Earned SARs will continue to be exercisable for the remainder of the SAR Period, and the remainder of the SAR Award will be cancelled. In the case of the PSU Award, any pro rata amount earned will be payable within 2.5 months after the end of the Performance Period, and in the case of the RSU Award, any pro rata amount earned will be payable within 30 days after the end of the Retention Period.</w:t>
      </w:r>
    </w:p>
    <w:p>
      <w:pPr>
        <w:spacing w:after="0" w:line="214" w:lineRule="exact"/>
        <w:rPr>
          <w:rFonts w:ascii="Times New Roman" w:cs="Times New Roman" w:eastAsia="Times New Roman" w:hAnsi="Times New Roman"/>
          <w:sz w:val="21"/>
          <w:szCs w:val="21"/>
          <w:color w:val="auto"/>
        </w:rPr>
      </w:pPr>
    </w:p>
    <w:p>
      <w:pPr>
        <w:jc w:val="both"/>
        <w:ind w:left="660" w:firstLine="645"/>
        <w:spacing w:after="0" w:line="246" w:lineRule="auto"/>
        <w:tabs>
          <w:tab w:leader="none" w:pos="1845"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end of the Performance Period, Retention Period or SAR Period, Participant dies or incurs a Disability, then (i) Participant, or in the event of Participant’s death, Participant’s beneficiary, will earn a pro rata amount of the PSU Award based upon the Company’s attainment of its performance goals in accordance with the performance matrix described in Section 2(a) above (as determined in the sole discretion of the Committee), determined as of the date of death or Disability, and the remainder of the PSU Award will be cancelled, (ii) Participant, or in the event of Participant’s death, Participant’s beneficiary, will earn a pro rata amount of the RSU Award based upon the portion of the Retention Period during which Participant served as an employee of LII, determined as of the date of death or Disability, and the remainder of the RSU Award will be cancelled, and (iii) the SAR Award will become fully vested and exercisable and will continue to be exercisable for the remainder of the SAR Period. Any pro rata amounts earned will be payable within 2.5 months after the date of death or Disability.</w:t>
      </w:r>
    </w:p>
    <w:p>
      <w:pPr>
        <w:spacing w:after="0" w:line="226" w:lineRule="exact"/>
        <w:rPr>
          <w:sz w:val="20"/>
          <w:szCs w:val="20"/>
          <w:color w:val="auto"/>
        </w:rPr>
      </w:pPr>
    </w:p>
    <w:p>
      <w:pPr>
        <w:ind w:left="1040" w:hanging="384"/>
        <w:spacing w:after="0"/>
        <w:tabs>
          <w:tab w:leader="none" w:pos="10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Protective Covenants</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firstLine="656"/>
        <w:spacing w:after="0" w:line="271" w:lineRule="auto"/>
        <w:tabs>
          <w:tab w:leader="none" w:pos="15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Noncompete Obligations</w:t>
      </w:r>
      <w:r>
        <w:rPr>
          <w:rFonts w:ascii="Times New Roman" w:cs="Times New Roman" w:eastAsia="Times New Roman" w:hAnsi="Times New Roman"/>
          <w:sz w:val="22"/>
          <w:szCs w:val="22"/>
          <w:color w:val="auto"/>
        </w:rPr>
        <w:t>. For one year following the effective date of Participant’s termination of employment with LII (the “</w:t>
      </w:r>
      <w:r>
        <w:rPr>
          <w:rFonts w:ascii="Times New Roman" w:cs="Times New Roman" w:eastAsia="Times New Roman" w:hAnsi="Times New Roman"/>
          <w:sz w:val="22"/>
          <w:szCs w:val="22"/>
          <w:b w:val="1"/>
          <w:bCs w:val="1"/>
          <w:u w:val="single" w:color="auto"/>
          <w:color w:val="auto"/>
        </w:rPr>
        <w:t>Termination Date</w:t>
      </w:r>
      <w:r>
        <w:rPr>
          <w:rFonts w:ascii="Times New Roman" w:cs="Times New Roman" w:eastAsia="Times New Roman" w:hAnsi="Times New Roman"/>
          <w:sz w:val="22"/>
          <w:szCs w:val="22"/>
          <w:color w:val="auto"/>
        </w:rPr>
        <w:t>”), Participant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2"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Exhibit10.18</w:t>
      </w: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will not participate in any way in any activities within the same geographic area where Participant had responsibility to conduct business activity prior to the Termination Date, on behalf of a business that provides products or services that are the same or similar to products or services offered or planned by LII as of the Termination Date.</w:t>
      </w:r>
    </w:p>
    <w:p>
      <w:pPr>
        <w:spacing w:after="0" w:line="21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If Participant violates Section 6(a), Participant must pay LII on demand an amount equal to the sum of the pre-tax gains received from: (1) vested PSU Awards and vested RSU Awards awarded to Participant under this Agreement in the one year period prior to the Termination Date; and (2) exercised SAR Awards awarded to Participant under this Agreement in the period beginning one year prior to the Termination Date and ending 90 days after the Termination Date, up to a maximum amount of the following multiple of Participant’s annual base salary in effect on the Termination Date: .75 if Participant is a Vice President; 1.5 if Participant is an Executive Vice President; or 3.0 if Participant is the Chief Executive Officer.</w:t>
      </w:r>
    </w:p>
    <w:p>
      <w:pPr>
        <w:spacing w:after="0" w:line="221" w:lineRule="exact"/>
        <w:rPr>
          <w:sz w:val="20"/>
          <w:szCs w:val="20"/>
          <w:color w:val="auto"/>
        </w:rPr>
      </w:pPr>
    </w:p>
    <w:p>
      <w:pPr>
        <w:ind w:left="1160" w:hanging="504"/>
        <w:spacing w:after="0"/>
        <w:tabs>
          <w:tab w:leader="none" w:pos="116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Obligations</w:t>
      </w:r>
      <w:r>
        <w:rPr>
          <w:rFonts w:ascii="Times New Roman" w:cs="Times New Roman" w:eastAsia="Times New Roman" w:hAnsi="Times New Roman"/>
          <w:sz w:val="21"/>
          <w:szCs w:val="21"/>
          <w:color w:val="auto"/>
        </w:rPr>
        <w:t>. For one year following the Termination Date, Participant will not, directly or indirectly:</w:t>
      </w:r>
    </w:p>
    <w:p>
      <w:pPr>
        <w:spacing w:after="0" w:line="39" w:lineRule="exact"/>
        <w:rPr>
          <w:rFonts w:ascii="Times New Roman" w:cs="Times New Roman" w:eastAsia="Times New Roman" w:hAnsi="Times New Roman"/>
          <w:sz w:val="21"/>
          <w:szCs w:val="21"/>
          <w:color w:val="auto"/>
        </w:rPr>
      </w:pPr>
    </w:p>
    <w:p>
      <w:pPr>
        <w:ind w:firstLine="8"/>
        <w:spacing w:after="0" w:line="271" w:lineRule="auto"/>
        <w:tabs>
          <w:tab w:leader="none" w:pos="32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recruit or hire any person who is an LII employee as of the Termination Date; or (2) solicit or induce any customer, supplier or distributor as of the Termination Date to cease or reduce doing business with LII, or divert an LII business opportunity.</w:t>
      </w:r>
    </w:p>
    <w:p>
      <w:pPr>
        <w:spacing w:after="0" w:line="20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If Participant violates Section 6(b), LII will be irreparably harmed and entitled to specific performance, injunctive relief, attorneys’ fees and costs incurred in obtaining relief, and any other remedy available at law or equity.</w:t>
      </w:r>
    </w:p>
    <w:p>
      <w:pPr>
        <w:spacing w:after="0" w:line="198" w:lineRule="exact"/>
        <w:rPr>
          <w:sz w:val="20"/>
          <w:szCs w:val="20"/>
          <w:color w:val="auto"/>
        </w:rPr>
      </w:pPr>
    </w:p>
    <w:p>
      <w:pPr>
        <w:jc w:val="both"/>
        <w:ind w:firstLine="656"/>
        <w:spacing w:after="0" w:line="257" w:lineRule="auto"/>
        <w:tabs>
          <w:tab w:leader="none" w:pos="115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Participant may engage in activities otherwise restricted by this Section 6 with the written consent of LII’s Chief Executive Officer if Participant is a Vice President or Executive Vice President, or with the written consent of the independent members of the Board of Directors if Participant is the Chief Executive Officer.</w:t>
      </w:r>
    </w:p>
    <w:p>
      <w:pPr>
        <w:spacing w:after="0" w:line="210" w:lineRule="exact"/>
        <w:rPr>
          <w:sz w:val="20"/>
          <w:szCs w:val="20"/>
          <w:color w:val="auto"/>
        </w:rPr>
      </w:pPr>
    </w:p>
    <w:p>
      <w:pPr>
        <w:jc w:val="both"/>
        <w:ind w:firstLine="656"/>
        <w:spacing w:after="0" w:line="251" w:lineRule="auto"/>
        <w:tabs>
          <w:tab w:leader="none" w:pos="113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Stockholder Rights</w:t>
      </w:r>
      <w:r>
        <w:rPr>
          <w:rFonts w:ascii="Times New Roman" w:cs="Times New Roman" w:eastAsia="Times New Roman" w:hAnsi="Times New Roman"/>
          <w:sz w:val="22"/>
          <w:szCs w:val="22"/>
          <w:color w:val="auto"/>
        </w:rPr>
        <w:t>. Participant will not be deemed for any purpose, including voting rights and dividends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 equivalents, to be, or to have any of the rights of, a stockholder of the Company with respect to any shares of Common Stock as to which the PSU Award, the RSU Award or the SAR Award relate until such shares are issued to Participant by the Company. The existence of this Agreement will not affect the right or power of LII or its stockholders to accomplish any corporate act.</w:t>
      </w:r>
    </w:p>
    <w:p>
      <w:pPr>
        <w:spacing w:after="0" w:line="216" w:lineRule="exact"/>
        <w:rPr>
          <w:rFonts w:ascii="Times New Roman" w:cs="Times New Roman" w:eastAsia="Times New Roman" w:hAnsi="Times New Roman"/>
          <w:sz w:val="22"/>
          <w:szCs w:val="22"/>
          <w:color w:val="auto"/>
        </w:rPr>
      </w:pPr>
    </w:p>
    <w:p>
      <w:pPr>
        <w:jc w:val="both"/>
        <w:ind w:firstLine="656"/>
        <w:spacing w:after="0" w:line="251" w:lineRule="auto"/>
        <w:tabs>
          <w:tab w:leader="none" w:pos="102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 Imposed by Law</w:t>
      </w:r>
      <w:r>
        <w:rPr>
          <w:rFonts w:ascii="Times New Roman" w:cs="Times New Roman" w:eastAsia="Times New Roman" w:hAnsi="Times New Roman"/>
          <w:sz w:val="22"/>
          <w:szCs w:val="22"/>
          <w:color w:val="auto"/>
        </w:rPr>
        <w:t>. Participant agrees that LII will not be obligated to deliver any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LII counsel determines that such delivery would violate any applicable law or any rule or regulation of any governmental authority or any rule or regulation of, or agreement of the Company with, any securities exchange or association upon which the Common Stock may be listed or quoted. LII will not be obligated to take any affirmative action to cause the delivery of shares of Common Stock to comply with any such law, rule, regulation or agreement.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110" w:name="page111"/>
    <w:bookmarkEnd w:id="110"/>
    <w:p>
      <w:pPr>
        <w:ind w:left="10240"/>
        <w:spacing w:after="0"/>
        <w:rPr>
          <w:sz w:val="20"/>
          <w:szCs w:val="20"/>
          <w:color w:val="auto"/>
        </w:rPr>
      </w:pPr>
      <w:r>
        <w:rPr>
          <w:rFonts w:ascii="Times New Roman" w:cs="Times New Roman" w:eastAsia="Times New Roman" w:hAnsi="Times New Roman"/>
          <w:sz w:val="21"/>
          <w:szCs w:val="21"/>
          <w:b w:val="1"/>
          <w:bCs w:val="1"/>
          <w:color w:val="auto"/>
        </w:rPr>
        <w:t>Exhibit10.18</w:t>
      </w:r>
    </w:p>
    <w:p>
      <w:pPr>
        <w:spacing w:after="0" w:line="200" w:lineRule="exact"/>
        <w:rPr>
          <w:sz w:val="20"/>
          <w:szCs w:val="20"/>
          <w:color w:val="auto"/>
        </w:rPr>
      </w:pPr>
    </w:p>
    <w:p>
      <w:pPr>
        <w:spacing w:after="0" w:line="315" w:lineRule="exact"/>
        <w:rPr>
          <w:sz w:val="20"/>
          <w:szCs w:val="20"/>
          <w:color w:val="auto"/>
        </w:rPr>
      </w:pPr>
    </w:p>
    <w:p>
      <w:pPr>
        <w:jc w:val="both"/>
        <w:ind w:firstLine="656"/>
        <w:spacing w:after="0" w:line="259" w:lineRule="auto"/>
        <w:tabs>
          <w:tab w:leader="none" w:pos="109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Unless LII notifies Participant in writing of a different procedure, any notice or other communication to LII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this Agreement must be in writing and delivered personally or by first class mail, postage prepaid, to the following address:</w:t>
      </w:r>
    </w:p>
    <w:p>
      <w:pPr>
        <w:spacing w:after="0" w:line="200" w:lineRule="exact"/>
        <w:rPr>
          <w:sz w:val="20"/>
          <w:szCs w:val="20"/>
          <w:color w:val="auto"/>
        </w:rPr>
      </w:pPr>
    </w:p>
    <w:p>
      <w:pPr>
        <w:spacing w:after="0" w:line="26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Lennox International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c/o Corporate Secretary</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2140 Lake Park Boulevard</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Richardson, Texas 75080</w:t>
      </w:r>
    </w:p>
    <w:p>
      <w:pPr>
        <w:spacing w:after="0" w:line="2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Any notice or other communication to Participant with respect to this Agreement must be in writing and delivered personally, or sent electronically to Participant or by first class mail, postage prepaid, to Participant’s address as listed in the records of the Company on the Award Date, unless LII has received written notification from Participant of a change of address.</w:t>
      </w:r>
    </w:p>
    <w:p>
      <w:pPr>
        <w:spacing w:after="0" w:line="210" w:lineRule="exact"/>
        <w:rPr>
          <w:sz w:val="20"/>
          <w:szCs w:val="20"/>
          <w:color w:val="auto"/>
        </w:rPr>
      </w:pPr>
    </w:p>
    <w:p>
      <w:pPr>
        <w:ind w:firstLine="656"/>
        <w:spacing w:after="0" w:line="275" w:lineRule="auto"/>
        <w:tabs>
          <w:tab w:leader="none" w:pos="114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This Agreement may be supplemented or amended from time to time as approved by the Committee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by the Plan.</w:t>
      </w:r>
    </w:p>
    <w:p>
      <w:pPr>
        <w:spacing w:after="0" w:line="190" w:lineRule="exact"/>
        <w:rPr>
          <w:rFonts w:ascii="Times New Roman" w:cs="Times New Roman" w:eastAsia="Times New Roman" w:hAnsi="Times New Roman"/>
          <w:sz w:val="22"/>
          <w:szCs w:val="22"/>
          <w:color w:val="auto"/>
        </w:rPr>
      </w:pPr>
    </w:p>
    <w:p>
      <w:pPr>
        <w:jc w:val="both"/>
        <w:ind w:firstLine="656"/>
        <w:spacing w:after="0" w:line="254" w:lineRule="auto"/>
        <w:tabs>
          <w:tab w:leader="none" w:pos="112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Participant Employment</w:t>
      </w:r>
      <w:r>
        <w:rPr>
          <w:rFonts w:ascii="Times New Roman" w:cs="Times New Roman" w:eastAsia="Times New Roman" w:hAnsi="Times New Roman"/>
          <w:sz w:val="22"/>
          <w:szCs w:val="22"/>
          <w:color w:val="auto"/>
        </w:rPr>
        <w:t>. Nothing contained in this Agreement, and no action of LII or the Committee, will confer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construed to confer on Participant any right to continue in the employ of LII or interfere in any way with the right of LII to terminate Participant’s employment at any time, with or without cause, subject, however, to the provisions of any employment agreement between Participant and LII.</w:t>
      </w:r>
    </w:p>
    <w:p>
      <w:pPr>
        <w:spacing w:after="0" w:line="21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is governed by Delaware law.</w:t>
      </w:r>
    </w:p>
    <w:p>
      <w:pPr>
        <w:spacing w:after="0" w:line="260" w:lineRule="exact"/>
        <w:rPr>
          <w:rFonts w:ascii="Times New Roman" w:cs="Times New Roman" w:eastAsia="Times New Roman" w:hAnsi="Times New Roman"/>
          <w:sz w:val="22"/>
          <w:szCs w:val="22"/>
          <w:color w:val="auto"/>
        </w:rPr>
      </w:pPr>
    </w:p>
    <w:p>
      <w:pPr>
        <w:jc w:val="both"/>
        <w:ind w:firstLine="656"/>
        <w:spacing w:after="0" w:line="254" w:lineRule="auto"/>
        <w:tabs>
          <w:tab w:leader="none" w:pos="128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This Agreement is entered into, and the PSU Award, RSU Award and SAR Award are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Plan and are governed by and construed in accordance with the Plan and the administrative interpretations adopted under the Plan. In the event of any inconsistency between the terms of the Plan and this Agreement, the terms of the Plan will control.</w:t>
      </w:r>
    </w:p>
    <w:p>
      <w:pPr>
        <w:spacing w:after="0" w:line="212" w:lineRule="exact"/>
        <w:rPr>
          <w:rFonts w:ascii="Times New Roman" w:cs="Times New Roman" w:eastAsia="Times New Roman" w:hAnsi="Times New Roman"/>
          <w:sz w:val="22"/>
          <w:szCs w:val="22"/>
          <w:color w:val="auto"/>
        </w:rPr>
      </w:pPr>
    </w:p>
    <w:p>
      <w:pPr>
        <w:jc w:val="both"/>
        <w:ind w:firstLine="656"/>
        <w:spacing w:after="0" w:line="251" w:lineRule="auto"/>
        <w:tabs>
          <w:tab w:leader="none" w:pos="118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 and Reformation</w:t>
      </w:r>
      <w:r>
        <w:rPr>
          <w:rFonts w:ascii="Times New Roman" w:cs="Times New Roman" w:eastAsia="Times New Roman" w:hAnsi="Times New Roman"/>
          <w:sz w:val="22"/>
          <w:szCs w:val="22"/>
          <w:color w:val="auto"/>
        </w:rPr>
        <w:t>. If any restriction or covenant in this Agreement is deemed by a court of competent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to be unreasonable or unenforceable as written, the court may modify any unreasonable or unenforceable element of the restriction or covenant to make it reasonable and enforceable or enforce it only to the extent it is reasonable and enforceable. If the court determines that any restriction or covenant in this Agreement is wholly or partially invalid or unenforceable, the remainder of the restrictions or covenants will be given full effect.</w:t>
      </w:r>
    </w:p>
    <w:p>
      <w:pPr>
        <w:spacing w:after="0" w:line="216" w:lineRule="exact"/>
        <w:rPr>
          <w:rFonts w:ascii="Times New Roman" w:cs="Times New Roman" w:eastAsia="Times New Roman" w:hAnsi="Times New Roman"/>
          <w:sz w:val="22"/>
          <w:szCs w:val="22"/>
          <w:color w:val="auto"/>
        </w:rPr>
      </w:pPr>
    </w:p>
    <w:p>
      <w:pPr>
        <w:jc w:val="both"/>
        <w:ind w:firstLine="656"/>
        <w:spacing w:after="0" w:line="251" w:lineRule="auto"/>
        <w:tabs>
          <w:tab w:leader="none" w:pos="113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contains the entire agreement between the parties with respect to the PSU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RSU Award and the SAR Award. If Participant has a written employment agreement or change in control agreement which contains provisions that conflict with this Agreement: (1) the provisions in the employment agreement or change in control agreement will control with respect to the parties’ rights and remedies under those agreements; and (2) the provisions of this Agreement will control with respect to the parties’ rights and remedies under this Agreement.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b w:val="1"/>
          <w:bCs w:val="1"/>
          <w:color w:val="auto"/>
        </w:rPr>
        <w:t>Exhibit10.18</w:t>
      </w:r>
    </w:p>
    <w:p>
      <w:pPr>
        <w:spacing w:after="0" w:line="200" w:lineRule="exact"/>
        <w:rPr>
          <w:sz w:val="20"/>
          <w:szCs w:val="20"/>
          <w:color w:val="auto"/>
        </w:rPr>
      </w:pPr>
    </w:p>
    <w:p>
      <w:pPr>
        <w:spacing w:after="0" w:line="303" w:lineRule="exact"/>
        <w:rPr>
          <w:sz w:val="20"/>
          <w:szCs w:val="20"/>
          <w:color w:val="auto"/>
        </w:rPr>
      </w:pPr>
    </w:p>
    <w:p>
      <w:pPr>
        <w:ind w:firstLine="656"/>
        <w:spacing w:after="0" w:line="275" w:lineRule="auto"/>
        <w:tabs>
          <w:tab w:leader="none" w:pos="117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Participant Acceptance</w:t>
      </w:r>
      <w:r>
        <w:rPr>
          <w:rFonts w:ascii="Times New Roman" w:cs="Times New Roman" w:eastAsia="Times New Roman" w:hAnsi="Times New Roman"/>
          <w:sz w:val="22"/>
          <w:szCs w:val="22"/>
          <w:color w:val="auto"/>
        </w:rPr>
        <w:t>. Participant must accept the terms and conditions of this Agreement by electronic signature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by signing in the space below and returning a signed copy to the Company.</w:t>
      </w:r>
    </w:p>
    <w:p>
      <w:pPr>
        <w:spacing w:after="0" w:line="190" w:lineRule="exact"/>
        <w:rPr>
          <w:rFonts w:ascii="Times New Roman" w:cs="Times New Roman" w:eastAsia="Times New Roman" w:hAnsi="Times New Roman"/>
          <w:sz w:val="22"/>
          <w:szCs w:val="22"/>
          <w:color w:val="auto"/>
        </w:rPr>
      </w:pPr>
    </w:p>
    <w:p>
      <w:pPr>
        <w:ind w:firstLine="656"/>
        <w:spacing w:after="0" w:line="275" w:lineRule="auto"/>
        <w:tabs>
          <w:tab w:leader="none" w:pos="124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No-Waiver. </w:t>
      </w:r>
      <w:r>
        <w:rPr>
          <w:rFonts w:ascii="Times New Roman" w:cs="Times New Roman" w:eastAsia="Times New Roman" w:hAnsi="Times New Roman"/>
          <w:sz w:val="22"/>
          <w:szCs w:val="22"/>
          <w:color w:val="auto"/>
        </w:rPr>
        <w:t>Any waiver by the Company of a breach of any provision of this Agreement will not operate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as waiver of any subsequent breach.</w:t>
      </w:r>
    </w:p>
    <w:p>
      <w:pPr>
        <w:spacing w:after="0" w:line="190" w:lineRule="exact"/>
        <w:rPr>
          <w:rFonts w:ascii="Times New Roman" w:cs="Times New Roman" w:eastAsia="Times New Roman" w:hAnsi="Times New Roman"/>
          <w:sz w:val="22"/>
          <w:szCs w:val="22"/>
          <w:color w:val="auto"/>
        </w:rPr>
      </w:pPr>
    </w:p>
    <w:p>
      <w:pPr>
        <w:jc w:val="both"/>
        <w:ind w:firstLine="656"/>
        <w:spacing w:after="0" w:line="248" w:lineRule="auto"/>
        <w:tabs>
          <w:tab w:leader="none" w:pos="133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Entities Protected</w:t>
      </w:r>
      <w:r>
        <w:rPr>
          <w:rFonts w:ascii="Times New Roman" w:cs="Times New Roman" w:eastAsia="Times New Roman" w:hAnsi="Times New Roman"/>
          <w:sz w:val="22"/>
          <w:szCs w:val="22"/>
          <w:color w:val="auto"/>
        </w:rPr>
        <w:t>. This Agreement, including the restrictions on Participant’s activities apply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subsidiary, affiliate, successor and assign of LII to which Participant provides services or about which Participant receives Confidential Information. LII has the right to assign this Agreement at its sole election without the need for further notice to or consent by Participant. Accordingly, this Agreement will inure to the benefit of, and may be enforced by, any and all successors and assigns of LII, including without limitation by asset assignment, stock sale, merger, consolidation or other corporate reorganization, and will be binding on Participant, Participant’s executors, administrators, personal representatives or other successors in interest. Participant further agrees that Participant’s rights are personal and may not be assigned or transferred.</w:t>
      </w:r>
    </w:p>
    <w:p>
      <w:pPr>
        <w:spacing w:after="0" w:line="2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ACCEPTED:</w:t>
      </w:r>
    </w:p>
    <w:p>
      <w:pPr>
        <w:spacing w:after="0" w:line="26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Signed: _________________________________________</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«First» «Last»</w:t>
      </w:r>
    </w:p>
    <w:p>
      <w:pPr>
        <w:spacing w:after="0" w:line="23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Date: _________________________________________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2" w:right="239" w:bottom="1440" w:gutter="0" w:footer="0" w:header="0"/>
        </w:sectPr>
      </w:pPr>
    </w:p>
    <w:bookmarkStart w:id="112" w:name="page113"/>
    <w:bookmarkEnd w:id="112"/>
    <w:p>
      <w:pPr>
        <w:ind w:left="10200"/>
        <w:spacing w:after="0"/>
        <w:rPr>
          <w:sz w:val="20"/>
          <w:szCs w:val="20"/>
          <w:color w:val="auto"/>
        </w:rPr>
      </w:pPr>
      <w:r>
        <w:rPr>
          <w:rFonts w:ascii="Times New Roman" w:cs="Times New Roman" w:eastAsia="Times New Roman" w:hAnsi="Times New Roman"/>
          <w:sz w:val="21"/>
          <w:szCs w:val="21"/>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LENNOX INTERNATIONAL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Directors</w:t>
      </w:r>
    </w:p>
    <w:p>
      <w:pPr>
        <w:spacing w:after="0" w:line="232"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2"/>
          <w:szCs w:val="22"/>
          <w:color w:val="auto"/>
        </w:rPr>
        <w:t>THIS AGREEMENT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is made as of December 7, 2018 (the “</w:t>
      </w:r>
      <w:r>
        <w:rPr>
          <w:rFonts w:ascii="Times New Roman" w:cs="Times New Roman" w:eastAsia="Times New Roman" w:hAnsi="Times New Roman"/>
          <w:sz w:val="22"/>
          <w:szCs w:val="22"/>
          <w:b w:val="1"/>
          <w:bCs w:val="1"/>
          <w:u w:val="single" w:color="auto"/>
          <w:color w:val="auto"/>
        </w:rPr>
        <w:t>Award Date</w:t>
      </w:r>
      <w:r>
        <w:rPr>
          <w:rFonts w:ascii="Times New Roman" w:cs="Times New Roman" w:eastAsia="Times New Roman" w:hAnsi="Times New Roman"/>
          <w:sz w:val="22"/>
          <w:szCs w:val="22"/>
          <w:color w:val="auto"/>
        </w:rPr>
        <w:t>”), by and between Lennox International Inc., a Delaware corporation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and __________ (“</w:t>
      </w: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color w:val="auto"/>
        </w:rPr>
        <w:t>The Company has adopted the Lennox International Inc. 2010 Incentive Plan, as amended and restated (the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the terms of which are incorporated by reference and made a part of this Agreement, for the benefit of eligible employees, directors, consultants or advisors of the Company and its Subsidiaries. Capitalized terms used and not otherwise defined herein have the meanings set forth in the Plan.</w:t>
      </w:r>
    </w:p>
    <w:p>
      <w:pPr>
        <w:spacing w:after="0" w:line="216"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21"/>
          <w:szCs w:val="21"/>
          <w:color w:val="auto"/>
        </w:rPr>
        <w:t>Pursuant to the Plan, the Committee, which has responsibility for administering the Plan, has determined that it is in the interest of the Company and its stockholders to make this award in order to increase Participant's personal interest in the continued success and progress of the Company, to foster and enhance the long-term profitability of the Company for the benefit of its shareholders by offering the incentive of long-term rewards, and to encourage Participant to remain a director of the Company.</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Company and Participant therefore agree as follows:</w:t>
      </w:r>
    </w:p>
    <w:p>
      <w:pPr>
        <w:spacing w:after="0" w:line="256" w:lineRule="exact"/>
        <w:rPr>
          <w:sz w:val="20"/>
          <w:szCs w:val="20"/>
          <w:color w:val="auto"/>
        </w:rPr>
      </w:pPr>
    </w:p>
    <w:p>
      <w:pPr>
        <w:jc w:val="both"/>
        <w:ind w:firstLine="656"/>
        <w:spacing w:after="0" w:line="249" w:lineRule="auto"/>
        <w:tabs>
          <w:tab w:leader="none" w:pos="110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 of Award</w:t>
      </w:r>
      <w:r>
        <w:rPr>
          <w:rFonts w:ascii="Times New Roman" w:cs="Times New Roman" w:eastAsia="Times New Roman" w:hAnsi="Times New Roman"/>
          <w:sz w:val="22"/>
          <w:szCs w:val="22"/>
          <w:color w:val="auto"/>
        </w:rPr>
        <w:t>. Subject to the terms and conditions of this Agreement, the Company grants to Participant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Date for the period beginning on December 7, 2018 and ending on December 7, 2021 (except as provided below, the “</w:t>
      </w:r>
      <w:r>
        <w:rPr>
          <w:rFonts w:ascii="Times New Roman" w:cs="Times New Roman" w:eastAsia="Times New Roman" w:hAnsi="Times New Roman"/>
          <w:sz w:val="22"/>
          <w:szCs w:val="22"/>
          <w:b w:val="1"/>
          <w:bCs w:val="1"/>
          <w:u w:val="single" w:color="auto"/>
          <w:color w:val="auto"/>
        </w:rPr>
        <w:t>Retention Period</w:t>
      </w:r>
      <w:r>
        <w:rPr>
          <w:rFonts w:ascii="Times New Roman" w:cs="Times New Roman" w:eastAsia="Times New Roman" w:hAnsi="Times New Roman"/>
          <w:sz w:val="22"/>
          <w:szCs w:val="22"/>
          <w:color w:val="auto"/>
        </w:rPr>
        <w:t>”), an award of __________ Restricted Stock Units (“</w:t>
      </w:r>
      <w:r>
        <w:rPr>
          <w:rFonts w:ascii="Times New Roman" w:cs="Times New Roman" w:eastAsia="Times New Roman" w:hAnsi="Times New Roman"/>
          <w:sz w:val="22"/>
          <w:szCs w:val="22"/>
          <w:b w:val="1"/>
          <w:bCs w:val="1"/>
          <w:u w:val="single" w:color="auto"/>
          <w:color w:val="auto"/>
        </w:rPr>
        <w:t>RSUs</w:t>
      </w:r>
      <w:r>
        <w:rPr>
          <w:rFonts w:ascii="Times New Roman" w:cs="Times New Roman" w:eastAsia="Times New Roman" w:hAnsi="Times New Roman"/>
          <w:sz w:val="22"/>
          <w:szCs w:val="22"/>
          <w:color w:val="auto"/>
        </w:rPr>
        <w:t>” and such award, the “</w:t>
      </w:r>
      <w:r>
        <w:rPr>
          <w:rFonts w:ascii="Times New Roman" w:cs="Times New Roman" w:eastAsia="Times New Roman" w:hAnsi="Times New Roman"/>
          <w:sz w:val="22"/>
          <w:szCs w:val="22"/>
          <w:b w:val="1"/>
          <w:bCs w:val="1"/>
          <w:u w:val="single" w:color="auto"/>
          <w:color w:val="auto"/>
        </w:rPr>
        <w:t>RSU Award</w:t>
      </w:r>
      <w:r>
        <w:rPr>
          <w:rFonts w:ascii="Times New Roman" w:cs="Times New Roman" w:eastAsia="Times New Roman" w:hAnsi="Times New Roman"/>
          <w:sz w:val="22"/>
          <w:szCs w:val="22"/>
          <w:color w:val="auto"/>
        </w:rPr>
        <w:t>”). If the last day of the Retention Period is not a day on which shares of Common Stock are traded on a U.S. national securities exchange or quoted in an inter-dealer quotation system, then the Retention Period will end on the last preceding day preceding on which sales of shares of Common Stock were reported.</w:t>
      </w:r>
    </w:p>
    <w:p>
      <w:pPr>
        <w:spacing w:after="0" w:line="221" w:lineRule="exact"/>
        <w:rPr>
          <w:rFonts w:ascii="Times New Roman" w:cs="Times New Roman" w:eastAsia="Times New Roman" w:hAnsi="Times New Roman"/>
          <w:sz w:val="22"/>
          <w:szCs w:val="22"/>
          <w:color w:val="auto"/>
        </w:rPr>
      </w:pPr>
    </w:p>
    <w:p>
      <w:pPr>
        <w:ind w:firstLine="656"/>
        <w:spacing w:after="0" w:line="275" w:lineRule="auto"/>
        <w:tabs>
          <w:tab w:leader="none" w:pos="145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 for Vesting</w:t>
      </w:r>
      <w:r>
        <w:rPr>
          <w:rFonts w:ascii="Times New Roman" w:cs="Times New Roman" w:eastAsia="Times New Roman" w:hAnsi="Times New Roman"/>
          <w:sz w:val="22"/>
          <w:szCs w:val="22"/>
          <w:color w:val="auto"/>
        </w:rPr>
        <w:t>. Subject to Section 5 of this Agreement, at the end of the Retention Period, the RSU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will vest and be distributed to Participant (the “</w:t>
      </w:r>
      <w:r>
        <w:rPr>
          <w:rFonts w:ascii="Times New Roman" w:cs="Times New Roman" w:eastAsia="Times New Roman" w:hAnsi="Times New Roman"/>
          <w:sz w:val="22"/>
          <w:szCs w:val="22"/>
          <w:b w:val="1"/>
          <w:bCs w:val="1"/>
          <w:u w:val="single" w:color="auto"/>
          <w:color w:val="auto"/>
        </w:rPr>
        <w:t>Earned RSUs</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2"/>
          <w:szCs w:val="22"/>
          <w:color w:val="auto"/>
        </w:rPr>
      </w:pPr>
    </w:p>
    <w:p>
      <w:pPr>
        <w:jc w:val="both"/>
        <w:ind w:firstLine="656"/>
        <w:spacing w:after="0" w:line="259" w:lineRule="auto"/>
        <w:tabs>
          <w:tab w:leader="none" w:pos="105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Method and Time of Payment</w:t>
      </w:r>
      <w:r>
        <w:rPr>
          <w:rFonts w:ascii="Times New Roman" w:cs="Times New Roman" w:eastAsia="Times New Roman" w:hAnsi="Times New Roman"/>
          <w:sz w:val="22"/>
          <w:szCs w:val="22"/>
          <w:color w:val="auto"/>
        </w:rPr>
        <w:t>. Except as otherwise provided in Section 5, Earned RSUs will be paid within 30 days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the end of the Retention Period by the Company delivering to Participant a number of whole shares of Common Stock equal to the number of Earned RSUs, minus any shares of Common Stock withheld for taxes pursuant to Section 4 below.</w:t>
      </w:r>
    </w:p>
    <w:p>
      <w:pPr>
        <w:spacing w:after="0" w:line="207" w:lineRule="exact"/>
        <w:rPr>
          <w:rFonts w:ascii="Times New Roman" w:cs="Times New Roman" w:eastAsia="Times New Roman" w:hAnsi="Times New Roman"/>
          <w:sz w:val="22"/>
          <w:szCs w:val="22"/>
          <w:color w:val="auto"/>
        </w:rPr>
      </w:pPr>
    </w:p>
    <w:p>
      <w:pPr>
        <w:jc w:val="both"/>
        <w:ind w:firstLine="656"/>
        <w:spacing w:after="0" w:line="259" w:lineRule="auto"/>
        <w:tabs>
          <w:tab w:leader="none" w:pos="117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Withholding for Taxes</w:t>
      </w:r>
      <w:r>
        <w:rPr>
          <w:rFonts w:ascii="Times New Roman" w:cs="Times New Roman" w:eastAsia="Times New Roman" w:hAnsi="Times New Roman"/>
          <w:sz w:val="22"/>
          <w:szCs w:val="22"/>
          <w:color w:val="auto"/>
        </w:rPr>
        <w:t>. Participant acknowledges and agrees that the Company may deduct from the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otherwise deliverable in connection with the Earned RSUs a number of whole shares of Common Stock (valued at their Fair Market Value on the date</w:t>
      </w:r>
    </w:p>
    <w:p>
      <w:pPr>
        <w:spacing w:after="0" w:line="1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420"/>
          </w:cols>
          <w:pgMar w:left="240" w:top="122" w:right="2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200" w:lineRule="exact"/>
        <w:rPr>
          <w:sz w:val="20"/>
          <w:szCs w:val="20"/>
          <w:color w:val="auto"/>
        </w:rPr>
      </w:pPr>
    </w:p>
    <w:p>
      <w:pPr>
        <w:spacing w:after="0" w:line="3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of distribution of the Earned RSUs) that is equal to no more than the minimum statutory amount of all Federal, state and local taxes required to be withheld by the Company in connection with such delivery, as determined by the Company.</w:t>
      </w:r>
    </w:p>
    <w:p>
      <w:pPr>
        <w:spacing w:after="0" w:line="194" w:lineRule="exact"/>
        <w:rPr>
          <w:sz w:val="20"/>
          <w:szCs w:val="20"/>
          <w:color w:val="auto"/>
        </w:rPr>
      </w:pPr>
    </w:p>
    <w:p>
      <w:pPr>
        <w:jc w:val="both"/>
        <w:ind w:firstLine="656"/>
        <w:spacing w:after="0" w:line="246" w:lineRule="auto"/>
        <w:tabs>
          <w:tab w:leader="none" w:pos="106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Directorship</w:t>
      </w:r>
      <w:r>
        <w:rPr>
          <w:rFonts w:ascii="Times New Roman" w:cs="Times New Roman" w:eastAsia="Times New Roman" w:hAnsi="Times New Roman"/>
          <w:sz w:val="22"/>
          <w:szCs w:val="22"/>
          <w:color w:val="auto"/>
        </w:rPr>
        <w:t>. If Participant’s directorship with the Company is terminated for any reason (other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Cause” or performance as determined by a majority of the remaining directors) prior to the expiration of the Retention Period, the RSU Award will become fully vested and be distributed to Participant within 30 days of termination. “For Cause” as used in this Agreement means (a) any violation by Participant of the Company’s written policies as they may exist or be created or modified from time to time in the future; (b) any state or federal criminal conviction, including, but not limited to, entry of a plea of nolo contendere or deferred adjudication upon a felony or misdemeanor charge; (c) the commission by Participant of any material act of misconduct or dishonesty; (d) any intentional or grossly negligent action or omission to act that breaches any covenant, agreement, condition or obligation contained in any written Agreement with the Company; or (e) acts that in any way have a direct, substantial, and adverse effect on the Company’s reputation. If Participant’s directorship with the Company is terminated “For Cause” or performance as determined by a majority of the remaining directors prior to the expiration of the Retention Period, then, immediately after termination of Participant’s directorship, the RSU Award will be cancelled.</w:t>
      </w:r>
    </w:p>
    <w:p>
      <w:pPr>
        <w:spacing w:after="0" w:line="226" w:lineRule="exact"/>
        <w:rPr>
          <w:rFonts w:ascii="Times New Roman" w:cs="Times New Roman" w:eastAsia="Times New Roman" w:hAnsi="Times New Roman"/>
          <w:sz w:val="22"/>
          <w:szCs w:val="22"/>
          <w:color w:val="auto"/>
        </w:rPr>
      </w:pPr>
    </w:p>
    <w:p>
      <w:pPr>
        <w:jc w:val="both"/>
        <w:ind w:firstLine="656"/>
        <w:spacing w:after="0" w:line="254" w:lineRule="auto"/>
        <w:tabs>
          <w:tab w:leader="none" w:pos="113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Stockholder Rights</w:t>
      </w:r>
      <w:r>
        <w:rPr>
          <w:rFonts w:ascii="Times New Roman" w:cs="Times New Roman" w:eastAsia="Times New Roman" w:hAnsi="Times New Roman"/>
          <w:sz w:val="22"/>
          <w:szCs w:val="22"/>
          <w:color w:val="auto"/>
        </w:rPr>
        <w:t>. Participant will not be deemed for any purpose, including voting rights and dividends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 equivalents, to be, or to have any of the rights of, a stockholder of the Company with respect to any shares of Common Stock as to which the RSU Award relates until such shares are issued to Participant by the Company. The existence of this Agreement will not affect the right or power of the Company or its stockholders to accomplish any corporate act.</w:t>
      </w:r>
    </w:p>
    <w:p>
      <w:pPr>
        <w:spacing w:after="0" w:line="212" w:lineRule="exact"/>
        <w:rPr>
          <w:rFonts w:ascii="Times New Roman" w:cs="Times New Roman" w:eastAsia="Times New Roman" w:hAnsi="Times New Roman"/>
          <w:sz w:val="22"/>
          <w:szCs w:val="22"/>
          <w:color w:val="auto"/>
        </w:rPr>
      </w:pPr>
    </w:p>
    <w:p>
      <w:pPr>
        <w:jc w:val="both"/>
        <w:ind w:firstLine="656"/>
        <w:spacing w:after="0" w:line="251" w:lineRule="auto"/>
        <w:tabs>
          <w:tab w:leader="none" w:pos="112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 Imposed by Law</w:t>
      </w:r>
      <w:r>
        <w:rPr>
          <w:rFonts w:ascii="Times New Roman" w:cs="Times New Roman" w:eastAsia="Times New Roman" w:hAnsi="Times New Roman"/>
          <w:sz w:val="22"/>
          <w:szCs w:val="22"/>
          <w:color w:val="auto"/>
        </w:rPr>
        <w:t>. Participant agrees that the Company will not be obligated to deliver any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if counsel to the Company determines that such delivery would violate any applicable law or any rule or regulation of any governmental authority or any rule or regulation of, or agreement of the Company with, any securities exchange or association upon which the Common Stock may be listed or quoted. The Company will not be obligated to take any affirmative action to cause the delivery of shares of Common Stock to comply with any such law, rule, regulation or agreement.</w:t>
      </w:r>
    </w:p>
    <w:p>
      <w:pPr>
        <w:spacing w:after="0" w:line="216" w:lineRule="exact"/>
        <w:rPr>
          <w:rFonts w:ascii="Times New Roman" w:cs="Times New Roman" w:eastAsia="Times New Roman" w:hAnsi="Times New Roman"/>
          <w:sz w:val="22"/>
          <w:szCs w:val="22"/>
          <w:color w:val="auto"/>
        </w:rPr>
      </w:pPr>
    </w:p>
    <w:p>
      <w:pPr>
        <w:jc w:val="both"/>
        <w:ind w:firstLine="656"/>
        <w:spacing w:after="0" w:line="259" w:lineRule="auto"/>
        <w:tabs>
          <w:tab w:leader="none" w:pos="10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Unless the Company notifies Participant in writing of a different procedure, any notice or other communication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Company with respect to this Agreement must be in writing and delivered personally or by first class mail, postage prepaid, to the following address:</w:t>
      </w:r>
    </w:p>
    <w:p>
      <w:pPr>
        <w:spacing w:after="0" w:line="21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Lennox International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c/o Corporate Secretary</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2140 Lake Park Boulevard</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Richardson, Texas 75080</w:t>
      </w:r>
    </w:p>
    <w:p>
      <w:pPr>
        <w:spacing w:after="0" w:line="23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Any notice or other communication to Participant with respect to this Agreement must be in writing and delivered personally, or sent electronically to Participant or by first class mail, postage prepaid,</w:t>
      </w:r>
    </w:p>
    <w:p>
      <w:pPr>
        <w:spacing w:after="0" w:line="16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200" w:lineRule="exact"/>
        <w:rPr>
          <w:sz w:val="20"/>
          <w:szCs w:val="20"/>
          <w:color w:val="auto"/>
        </w:rPr>
      </w:pPr>
    </w:p>
    <w:p>
      <w:pPr>
        <w:spacing w:after="0" w:line="3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to Participant's address as listed in the records of the Company on the Award Date, unless the Company has received written notification from Participant of a change of address.</w:t>
      </w:r>
    </w:p>
    <w:p>
      <w:pPr>
        <w:spacing w:after="0" w:line="194" w:lineRule="exact"/>
        <w:rPr>
          <w:sz w:val="20"/>
          <w:szCs w:val="20"/>
          <w:color w:val="auto"/>
        </w:rPr>
      </w:pPr>
    </w:p>
    <w:p>
      <w:pPr>
        <w:ind w:firstLine="656"/>
        <w:spacing w:after="0" w:line="275" w:lineRule="auto"/>
        <w:tabs>
          <w:tab w:leader="none" w:pos="106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This Agreement may be supplemented or amended from time to time as approved by the Committee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by the Plan.</w:t>
      </w:r>
    </w:p>
    <w:p>
      <w:pPr>
        <w:spacing w:after="0" w:line="190"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is governed by Delaware law.</w:t>
      </w:r>
    </w:p>
    <w:p>
      <w:pPr>
        <w:spacing w:after="0" w:line="260" w:lineRule="exact"/>
        <w:rPr>
          <w:rFonts w:ascii="Times New Roman" w:cs="Times New Roman" w:eastAsia="Times New Roman" w:hAnsi="Times New Roman"/>
          <w:sz w:val="22"/>
          <w:szCs w:val="22"/>
          <w:color w:val="auto"/>
        </w:rPr>
      </w:pPr>
    </w:p>
    <w:p>
      <w:pPr>
        <w:jc w:val="both"/>
        <w:ind w:firstLine="656"/>
        <w:spacing w:after="0" w:line="259" w:lineRule="auto"/>
        <w:tabs>
          <w:tab w:leader="none" w:pos="116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This Agreement is entered into, and the RSU Award is granted, pursuant to the Plan and governed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construed in accordance with the Plan and the administrative interpretations adopted under the Plan. In the event of any inconsistency between the terms of the Plan and this Agreement, the terms of the Plan will control.</w:t>
      </w:r>
    </w:p>
    <w:p>
      <w:pPr>
        <w:spacing w:after="0" w:line="207" w:lineRule="exact"/>
        <w:rPr>
          <w:rFonts w:ascii="Times New Roman" w:cs="Times New Roman" w:eastAsia="Times New Roman" w:hAnsi="Times New Roman"/>
          <w:sz w:val="22"/>
          <w:szCs w:val="22"/>
          <w:color w:val="auto"/>
        </w:rPr>
      </w:pPr>
    </w:p>
    <w:p>
      <w:pPr>
        <w:jc w:val="both"/>
        <w:ind w:firstLine="656"/>
        <w:spacing w:after="0" w:line="259" w:lineRule="auto"/>
        <w:tabs>
          <w:tab w:leader="none" w:pos="114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contains the entire agreement between the parties to this Agreement with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RSU Award and replaces and makes null and void any prior agreements, oral or written, between Participant and the Company regarding the RSU Award.</w:t>
      </w:r>
    </w:p>
    <w:p>
      <w:pPr>
        <w:spacing w:after="0" w:line="207" w:lineRule="exact"/>
        <w:rPr>
          <w:rFonts w:ascii="Times New Roman" w:cs="Times New Roman" w:eastAsia="Times New Roman" w:hAnsi="Times New Roman"/>
          <w:sz w:val="22"/>
          <w:szCs w:val="22"/>
          <w:color w:val="auto"/>
        </w:rPr>
      </w:pPr>
    </w:p>
    <w:p>
      <w:pPr>
        <w:ind w:firstLine="656"/>
        <w:spacing w:after="0" w:line="275" w:lineRule="auto"/>
        <w:tabs>
          <w:tab w:leader="none" w:pos="117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Participant Acceptance</w:t>
      </w:r>
      <w:r>
        <w:rPr>
          <w:rFonts w:ascii="Times New Roman" w:cs="Times New Roman" w:eastAsia="Times New Roman" w:hAnsi="Times New Roman"/>
          <w:sz w:val="22"/>
          <w:szCs w:val="22"/>
          <w:color w:val="auto"/>
        </w:rPr>
        <w:t>. Participant must accept the terms and conditions of this Agreement by electronic signature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by signing in the space below and returning a signed copy to the Company.</w:t>
      </w:r>
    </w:p>
    <w:p>
      <w:pPr>
        <w:spacing w:after="0" w:line="19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ACCEPTED:</w:t>
      </w:r>
    </w:p>
    <w:p>
      <w:pPr>
        <w:spacing w:after="0" w:line="26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Signed: ________________________________________</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«First» «Last»</w:t>
      </w:r>
    </w:p>
    <w:p>
      <w:pPr>
        <w:spacing w:after="0" w:line="23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Date: ________________________________________</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420"/>
          </w:cols>
          <w:pgMar w:left="240" w:top="122" w:right="2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85"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2"/>
          <w:szCs w:val="22"/>
          <w:b w:val="1"/>
          <w:bCs w:val="1"/>
          <w:color w:val="auto"/>
        </w:rPr>
        <w:t>SHORT-TERM INCENTIVE PROGRAM</w:t>
      </w:r>
    </w:p>
    <w:p>
      <w:pPr>
        <w:spacing w:after="0" w:line="32" w:lineRule="exact"/>
        <w:rPr>
          <w:sz w:val="20"/>
          <w:szCs w:val="20"/>
          <w:color w:val="auto"/>
        </w:rPr>
      </w:pPr>
    </w:p>
    <w:p>
      <w:pPr>
        <w:ind w:left="3004"/>
        <w:spacing w:after="0"/>
        <w:rPr>
          <w:sz w:val="20"/>
          <w:szCs w:val="20"/>
          <w:color w:val="auto"/>
        </w:rPr>
      </w:pPr>
      <w:r>
        <w:rPr>
          <w:rFonts w:ascii="Times New Roman" w:cs="Times New Roman" w:eastAsia="Times New Roman" w:hAnsi="Times New Roman"/>
          <w:sz w:val="22"/>
          <w:szCs w:val="22"/>
          <w:b w:val="1"/>
          <w:bCs w:val="1"/>
          <w:color w:val="auto"/>
        </w:rPr>
        <w:t>FOR LENNOX INTERNATIONAL INC. AND ITS SUBSIDIARIES</w:t>
      </w:r>
    </w:p>
    <w:p>
      <w:pPr>
        <w:spacing w:after="0" w:line="200" w:lineRule="exact"/>
        <w:rPr>
          <w:sz w:val="20"/>
          <w:szCs w:val="20"/>
          <w:color w:val="auto"/>
        </w:rPr>
      </w:pPr>
    </w:p>
    <w:p>
      <w:pPr>
        <w:spacing w:after="0" w:line="243" w:lineRule="exact"/>
        <w:rPr>
          <w:sz w:val="20"/>
          <w:szCs w:val="20"/>
          <w:color w:val="auto"/>
        </w:rPr>
      </w:pPr>
    </w:p>
    <w:p>
      <w:pPr>
        <w:ind w:left="324" w:hanging="324"/>
        <w:spacing w:after="0"/>
        <w:tabs>
          <w:tab w:leader="none" w:pos="32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 and Structure</w:t>
      </w:r>
    </w:p>
    <w:p>
      <w:pPr>
        <w:spacing w:after="0" w:line="216" w:lineRule="exact"/>
        <w:rPr>
          <w:sz w:val="20"/>
          <w:szCs w:val="20"/>
          <w:color w:val="auto"/>
        </w:rPr>
      </w:pPr>
    </w:p>
    <w:p>
      <w:pPr>
        <w:jc w:val="both"/>
        <w:ind w:left="384"/>
        <w:spacing w:after="0" w:line="254" w:lineRule="auto"/>
        <w:rPr>
          <w:sz w:val="20"/>
          <w:szCs w:val="20"/>
          <w:color w:val="auto"/>
        </w:rPr>
      </w:pPr>
      <w:r>
        <w:rPr>
          <w:rFonts w:ascii="Times New Roman" w:cs="Times New Roman" w:eastAsia="Times New Roman" w:hAnsi="Times New Roman"/>
          <w:sz w:val="20"/>
          <w:szCs w:val="20"/>
          <w:color w:val="auto"/>
        </w:rPr>
        <w:t>The purpose of the Short-Term Incentive Program ("STI Program") is to provide competitive Performance Cash compensation under the Incentive Plan to those executives and other selected key employees who contribute significantly to the growth and success of the Company and to strengthen the link between pay and performance.</w:t>
      </w:r>
    </w:p>
    <w:p>
      <w:pPr>
        <w:spacing w:after="0" w:line="188" w:lineRule="exact"/>
        <w:rPr>
          <w:sz w:val="20"/>
          <w:szCs w:val="20"/>
          <w:color w:val="auto"/>
        </w:rPr>
      </w:pPr>
    </w:p>
    <w:p>
      <w:pPr>
        <w:ind w:left="324" w:hanging="324"/>
        <w:spacing w:after="0"/>
        <w:tabs>
          <w:tab w:leader="none" w:pos="32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p>
    <w:p>
      <w:pPr>
        <w:spacing w:after="0" w:line="216"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20"/>
          <w:szCs w:val="20"/>
          <w:color w:val="auto"/>
        </w:rPr>
        <w:t>"Company" means Lennox International Inc. and its subsidiaries.</w:t>
      </w:r>
    </w:p>
    <w:p>
      <w:pPr>
        <w:spacing w:after="0" w:line="229"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20"/>
          <w:szCs w:val="20"/>
          <w:color w:val="auto"/>
        </w:rPr>
        <w:t>“Committee” means the Compensation and Human Resources Committee of the Board of Directors of the Company.</w:t>
      </w:r>
    </w:p>
    <w:p>
      <w:pPr>
        <w:spacing w:after="0" w:line="229" w:lineRule="exact"/>
        <w:rPr>
          <w:sz w:val="20"/>
          <w:szCs w:val="20"/>
          <w:color w:val="auto"/>
        </w:rPr>
      </w:pPr>
    </w:p>
    <w:p>
      <w:pPr>
        <w:jc w:val="both"/>
        <w:ind w:left="404"/>
        <w:spacing w:after="0" w:line="249" w:lineRule="auto"/>
        <w:rPr>
          <w:sz w:val="20"/>
          <w:szCs w:val="20"/>
          <w:color w:val="auto"/>
        </w:rPr>
      </w:pPr>
      <w:r>
        <w:rPr>
          <w:rFonts w:ascii="Times New Roman" w:cs="Times New Roman" w:eastAsia="Times New Roman" w:hAnsi="Times New Roman"/>
          <w:sz w:val="20"/>
          <w:szCs w:val="20"/>
          <w:color w:val="auto"/>
        </w:rPr>
        <w:t>"Eligible Earnings" means the actual base salary paid during the Plan Year to a Participant during the period in which he or she was a Participant as shown in the payroll records of the Company. Eligible Earnings include the Participant’s regular compensation or rate of pay without regard to any commission, bonus, or other non-periodic compensation. Eligible Earnings exclude any income received while on short-term disability.</w:t>
      </w:r>
    </w:p>
    <w:p>
      <w:pPr>
        <w:spacing w:after="0" w:line="194" w:lineRule="exact"/>
        <w:rPr>
          <w:sz w:val="20"/>
          <w:szCs w:val="20"/>
          <w:color w:val="auto"/>
        </w:rPr>
      </w:pPr>
    </w:p>
    <w:p>
      <w:pPr>
        <w:jc w:val="both"/>
        <w:ind w:left="404" w:right="20"/>
        <w:spacing w:after="0" w:line="269" w:lineRule="auto"/>
        <w:rPr>
          <w:sz w:val="20"/>
          <w:szCs w:val="20"/>
          <w:color w:val="auto"/>
        </w:rPr>
      </w:pPr>
      <w:r>
        <w:rPr>
          <w:rFonts w:ascii="Times New Roman" w:cs="Times New Roman" w:eastAsia="Times New Roman" w:hAnsi="Times New Roman"/>
          <w:sz w:val="20"/>
          <w:szCs w:val="20"/>
          <w:color w:val="auto"/>
        </w:rPr>
        <w:t>“Incentive Plan” means the Lennox International Inc. 2010 Incentive Plan, as amended, modified and supplemented from time to time, or any successor plan.</w:t>
      </w:r>
    </w:p>
    <w:p>
      <w:pPr>
        <w:spacing w:after="0" w:line="173" w:lineRule="exact"/>
        <w:rPr>
          <w:sz w:val="20"/>
          <w:szCs w:val="20"/>
          <w:color w:val="auto"/>
        </w:rPr>
      </w:pPr>
    </w:p>
    <w:p>
      <w:pPr>
        <w:jc w:val="both"/>
        <w:ind w:left="404"/>
        <w:spacing w:after="0" w:line="269" w:lineRule="auto"/>
        <w:rPr>
          <w:sz w:val="20"/>
          <w:szCs w:val="20"/>
          <w:color w:val="auto"/>
        </w:rPr>
      </w:pPr>
      <w:r>
        <w:rPr>
          <w:rFonts w:ascii="Times New Roman" w:cs="Times New Roman" w:eastAsia="Times New Roman" w:hAnsi="Times New Roman"/>
          <w:sz w:val="20"/>
          <w:szCs w:val="20"/>
          <w:color w:val="auto"/>
        </w:rPr>
        <w:t>"Participant" means any executive or key employee of the Company selected to receive a Payout Opportunity of Performance Cash under the STI Program.</w:t>
      </w:r>
    </w:p>
    <w:p>
      <w:pPr>
        <w:spacing w:after="0" w:line="173"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20"/>
          <w:szCs w:val="20"/>
          <w:color w:val="auto"/>
        </w:rPr>
        <w:t>"Payout Opportunity" means the target incentive amount for each Participant, expressed as a percentage of Eligible Earnings.</w:t>
      </w:r>
    </w:p>
    <w:p>
      <w:pPr>
        <w:spacing w:after="0" w:line="229" w:lineRule="exact"/>
        <w:rPr>
          <w:sz w:val="20"/>
          <w:szCs w:val="20"/>
          <w:color w:val="auto"/>
        </w:rPr>
      </w:pPr>
    </w:p>
    <w:p>
      <w:pPr>
        <w:jc w:val="both"/>
        <w:ind w:left="404"/>
        <w:spacing w:after="0" w:line="254" w:lineRule="auto"/>
        <w:rPr>
          <w:sz w:val="20"/>
          <w:szCs w:val="20"/>
          <w:color w:val="auto"/>
        </w:rPr>
      </w:pPr>
      <w:r>
        <w:rPr>
          <w:rFonts w:ascii="Times New Roman" w:cs="Times New Roman" w:eastAsia="Times New Roman" w:hAnsi="Times New Roman"/>
          <w:sz w:val="20"/>
          <w:szCs w:val="20"/>
          <w:color w:val="auto"/>
        </w:rPr>
        <w:t>"Performance Criteria" means those financial or operational measures that are selected each Plan Year to determine Performance Cash payments under the STI Program. Separate Performance Criteria are established for each business unit, business segment and/or the Company.</w:t>
      </w:r>
    </w:p>
    <w:p>
      <w:pPr>
        <w:spacing w:after="0" w:line="188" w:lineRule="exact"/>
        <w:rPr>
          <w:sz w:val="20"/>
          <w:szCs w:val="20"/>
          <w:color w:val="auto"/>
        </w:rPr>
      </w:pPr>
    </w:p>
    <w:p>
      <w:pPr>
        <w:jc w:val="both"/>
        <w:ind w:left="404"/>
        <w:spacing w:after="0" w:line="269" w:lineRule="auto"/>
        <w:rPr>
          <w:sz w:val="20"/>
          <w:szCs w:val="20"/>
          <w:color w:val="auto"/>
        </w:rPr>
      </w:pPr>
      <w:r>
        <w:rPr>
          <w:rFonts w:ascii="Times New Roman" w:cs="Times New Roman" w:eastAsia="Times New Roman" w:hAnsi="Times New Roman"/>
          <w:sz w:val="20"/>
          <w:szCs w:val="20"/>
          <w:color w:val="auto"/>
        </w:rPr>
        <w:t>“Performance Cash” means any cash incentives granted pursuant to Article 9 of the Incentive Plan payable upon the achievement of such performance goals as the Committee established.</w:t>
      </w:r>
    </w:p>
    <w:p>
      <w:pPr>
        <w:spacing w:after="0" w:line="173"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20"/>
          <w:szCs w:val="20"/>
          <w:color w:val="auto"/>
        </w:rPr>
        <w:t>"Plan Year" means the fiscal year of the Company.</w:t>
      </w:r>
    </w:p>
    <w:p>
      <w:pPr>
        <w:spacing w:after="0" w:line="229" w:lineRule="exact"/>
        <w:rPr>
          <w:sz w:val="20"/>
          <w:szCs w:val="20"/>
          <w:color w:val="auto"/>
        </w:rPr>
      </w:pPr>
    </w:p>
    <w:p>
      <w:pPr>
        <w:jc w:val="both"/>
        <w:ind w:left="404"/>
        <w:spacing w:after="0" w:line="249" w:lineRule="auto"/>
        <w:rPr>
          <w:sz w:val="20"/>
          <w:szCs w:val="20"/>
          <w:color w:val="auto"/>
        </w:rPr>
      </w:pPr>
      <w:r>
        <w:rPr>
          <w:rFonts w:ascii="Times New Roman" w:cs="Times New Roman" w:eastAsia="Times New Roman" w:hAnsi="Times New Roman"/>
          <w:sz w:val="20"/>
          <w:szCs w:val="20"/>
          <w:color w:val="auto"/>
        </w:rPr>
        <w:t>“Retirement” means a Participant who terminates for any reason, other than for cause, and who (i) is at least 65 years of age, (ii) is at least 62 years of age and has achieved at least 10 years of service with the Company or (iii) has met the “Rule of 80” defined as the number of whole years of service the Participant has achieved with the Company plus the Participant’s age as of the most recent birthday equals at least 80.</w:t>
      </w:r>
    </w:p>
    <w:p>
      <w:pPr>
        <w:sectPr>
          <w:pgSz w:w="11900" w:h="16838" w:orient="portrait"/>
          <w:cols w:equalWidth="0" w:num="1">
            <w:col w:w="11304"/>
          </w:cols>
          <w:pgMar w:left="356" w:top="446" w:right="239" w:bottom="1440" w:gutter="0" w:footer="0" w:header="0"/>
        </w:sectPr>
      </w:pPr>
    </w:p>
    <w:bookmarkStart w:id="116" w:name="page117"/>
    <w:bookmarkEnd w:id="116"/>
    <w:p>
      <w:pPr>
        <w:ind w:left="404"/>
        <w:spacing w:after="0"/>
        <w:rPr>
          <w:sz w:val="20"/>
          <w:szCs w:val="20"/>
          <w:color w:val="auto"/>
        </w:rPr>
      </w:pPr>
      <w:r>
        <w:rPr>
          <w:rFonts w:ascii="Times New Roman" w:cs="Times New Roman" w:eastAsia="Times New Roman" w:hAnsi="Times New Roman"/>
          <w:sz w:val="20"/>
          <w:szCs w:val="20"/>
          <w:color w:val="auto"/>
        </w:rPr>
        <w:t>Other terms capitalized but not defined in this STI Program are used as defined in the Incentive Plan.</w:t>
      </w:r>
    </w:p>
    <w:p>
      <w:pPr>
        <w:spacing w:after="0" w:line="391" w:lineRule="exact"/>
        <w:rPr>
          <w:sz w:val="20"/>
          <w:szCs w:val="20"/>
          <w:color w:val="auto"/>
        </w:rPr>
      </w:pPr>
    </w:p>
    <w:p>
      <w:pPr>
        <w:ind w:left="324" w:hanging="324"/>
        <w:spacing w:after="0"/>
        <w:tabs>
          <w:tab w:leader="none" w:pos="32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p>
    <w:p>
      <w:pPr>
        <w:spacing w:after="0" w:line="216" w:lineRule="exact"/>
        <w:rPr>
          <w:sz w:val="20"/>
          <w:szCs w:val="20"/>
          <w:color w:val="auto"/>
        </w:rPr>
      </w:pPr>
    </w:p>
    <w:p>
      <w:pPr>
        <w:ind w:left="384" w:right="500"/>
        <w:spacing w:after="0" w:line="269" w:lineRule="auto"/>
        <w:rPr>
          <w:sz w:val="20"/>
          <w:szCs w:val="20"/>
          <w:color w:val="auto"/>
        </w:rPr>
      </w:pPr>
      <w:r>
        <w:rPr>
          <w:rFonts w:ascii="Times New Roman" w:cs="Times New Roman" w:eastAsia="Times New Roman" w:hAnsi="Times New Roman"/>
          <w:sz w:val="20"/>
          <w:szCs w:val="20"/>
          <w:color w:val="auto"/>
        </w:rPr>
        <w:t>The STI Program is administered by the Committee, which shall have the authority to amend, modify, suspend or terminate the STI Program at any time.</w:t>
      </w:r>
    </w:p>
    <w:p>
      <w:pPr>
        <w:spacing w:after="0" w:line="173" w:lineRule="exact"/>
        <w:rPr>
          <w:sz w:val="20"/>
          <w:szCs w:val="20"/>
          <w:color w:val="auto"/>
        </w:rPr>
      </w:pPr>
    </w:p>
    <w:p>
      <w:pPr>
        <w:ind w:left="324" w:hanging="324"/>
        <w:spacing w:after="0"/>
        <w:tabs>
          <w:tab w:leader="none" w:pos="32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Post-Employment Restrictions</w:t>
      </w:r>
    </w:p>
    <w:p>
      <w:pPr>
        <w:spacing w:after="0" w:line="215" w:lineRule="exact"/>
        <w:rPr>
          <w:rFonts w:ascii="Times New Roman" w:cs="Times New Roman" w:eastAsia="Times New Roman" w:hAnsi="Times New Roman"/>
          <w:sz w:val="20"/>
          <w:szCs w:val="20"/>
          <w:color w:val="auto"/>
        </w:rPr>
      </w:pPr>
    </w:p>
    <w:p>
      <w:pPr>
        <w:jc w:val="both"/>
        <w:ind w:left="324"/>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STI Program is an LII Non-Executive Incentive Compensation Plan for the purposes of Section 1 of the Employee’s Non-executive Incentive Compensation and Non-Solicitation Agreement (the “Agreement”). In order to qualify for payments under the STI Program, Participants must sign and abide by the terms of the Agreement.</w:t>
      </w:r>
    </w:p>
    <w:p>
      <w:pPr>
        <w:spacing w:after="0" w:line="188" w:lineRule="exact"/>
        <w:rPr>
          <w:rFonts w:ascii="Times New Roman" w:cs="Times New Roman" w:eastAsia="Times New Roman" w:hAnsi="Times New Roman"/>
          <w:sz w:val="20"/>
          <w:szCs w:val="20"/>
          <w:color w:val="auto"/>
        </w:rPr>
      </w:pPr>
    </w:p>
    <w:p>
      <w:pPr>
        <w:ind w:left="324" w:hanging="324"/>
        <w:spacing w:after="0"/>
        <w:tabs>
          <w:tab w:leader="none" w:pos="32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Criteria and Payout Opportunity</w:t>
      </w:r>
    </w:p>
    <w:p>
      <w:pPr>
        <w:spacing w:after="0" w:line="216" w:lineRule="exact"/>
        <w:rPr>
          <w:sz w:val="20"/>
          <w:szCs w:val="20"/>
          <w:color w:val="auto"/>
        </w:rPr>
      </w:pPr>
    </w:p>
    <w:p>
      <w:pPr>
        <w:jc w:val="both"/>
        <w:ind w:left="384"/>
        <w:spacing w:after="0" w:line="254" w:lineRule="auto"/>
        <w:rPr>
          <w:sz w:val="20"/>
          <w:szCs w:val="20"/>
          <w:color w:val="auto"/>
        </w:rPr>
      </w:pPr>
      <w:r>
        <w:rPr>
          <w:rFonts w:ascii="Times New Roman" w:cs="Times New Roman" w:eastAsia="Times New Roman" w:hAnsi="Times New Roman"/>
          <w:sz w:val="20"/>
          <w:szCs w:val="20"/>
          <w:color w:val="auto"/>
        </w:rPr>
        <w:t>The Performance Criteria, including the applicable metrics and financial goals, and the Payout Opportunity will be set at the beginning of the Plan Year and will be communicated to all Participants on their STI opportunity statements (also considered to be Award Agreements under the Incentive Plan).</w:t>
      </w:r>
    </w:p>
    <w:p>
      <w:pPr>
        <w:spacing w:after="0" w:line="188" w:lineRule="exact"/>
        <w:rPr>
          <w:sz w:val="20"/>
          <w:szCs w:val="20"/>
          <w:color w:val="auto"/>
        </w:rPr>
      </w:pPr>
    </w:p>
    <w:p>
      <w:pPr>
        <w:ind w:left="324" w:hanging="324"/>
        <w:spacing w:after="0"/>
        <w:tabs>
          <w:tab w:leader="none" w:pos="32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 of Performance Cash Payment</w:t>
      </w:r>
    </w:p>
    <w:p>
      <w:pPr>
        <w:spacing w:after="0" w:line="216" w:lineRule="exact"/>
        <w:rPr>
          <w:sz w:val="20"/>
          <w:szCs w:val="20"/>
          <w:color w:val="auto"/>
        </w:rPr>
      </w:pPr>
    </w:p>
    <w:p>
      <w:pPr>
        <w:jc w:val="both"/>
        <w:ind w:left="384"/>
        <w:spacing w:after="0" w:line="243" w:lineRule="auto"/>
        <w:rPr>
          <w:sz w:val="20"/>
          <w:szCs w:val="20"/>
          <w:color w:val="auto"/>
        </w:rPr>
      </w:pPr>
      <w:r>
        <w:rPr>
          <w:rFonts w:ascii="Times New Roman" w:cs="Times New Roman" w:eastAsia="Times New Roman" w:hAnsi="Times New Roman"/>
          <w:sz w:val="20"/>
          <w:szCs w:val="20"/>
          <w:color w:val="auto"/>
        </w:rPr>
        <w:t>As soon as practicable after the end of each Plan Year, the Company will determine the actual level of performance against the Performance Criteria. An STI pool will fund based on performance against the financial goals set forth in the Performance Criteria, subject to adjustment as appropriate based upon performance and overall market conditions. Once the STI pool is determined, the final Performance Cash payments will be paid to Participants based on their Payout Opportunity. 75% of the payments will be based on Company performance and 25% on each Participant's individual performance. The Company, in its sole discretion, shall determine the payment amount, if any, associated with the Participant’s individual performance. No Performance Cash payments (Company or individual) are payable if actual performance falls below the established threshold levels of performance. The actual payout details will be presented to Participants on their STI payout statements.</w:t>
      </w:r>
    </w:p>
    <w:p>
      <w:pPr>
        <w:spacing w:after="0" w:line="203" w:lineRule="exact"/>
        <w:rPr>
          <w:sz w:val="20"/>
          <w:szCs w:val="20"/>
          <w:color w:val="auto"/>
        </w:rPr>
      </w:pPr>
    </w:p>
    <w:p>
      <w:pPr>
        <w:ind w:left="324" w:hanging="324"/>
        <w:spacing w:after="0"/>
        <w:tabs>
          <w:tab w:leader="none" w:pos="32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Revised Payout Opportunity and Performance Criteria</w:t>
      </w:r>
    </w:p>
    <w:p>
      <w:pPr>
        <w:spacing w:after="0" w:line="216" w:lineRule="exact"/>
        <w:rPr>
          <w:sz w:val="20"/>
          <w:szCs w:val="20"/>
          <w:color w:val="auto"/>
        </w:rPr>
      </w:pPr>
    </w:p>
    <w:p>
      <w:pPr>
        <w:jc w:val="both"/>
        <w:ind w:left="404" w:hanging="26"/>
        <w:spacing w:after="0" w:line="249" w:lineRule="auto"/>
        <w:rPr>
          <w:sz w:val="20"/>
          <w:szCs w:val="20"/>
          <w:color w:val="auto"/>
        </w:rPr>
      </w:pPr>
      <w:r>
        <w:rPr>
          <w:rFonts w:ascii="Times New Roman" w:cs="Times New Roman" w:eastAsia="Times New Roman" w:hAnsi="Times New Roman"/>
          <w:sz w:val="20"/>
          <w:szCs w:val="20"/>
          <w:color w:val="auto"/>
        </w:rPr>
        <w:t>At any time, the Company may establish a revised Payout Opportunity and/or Performance Criteria for Participants who are assigned to a different position during the Plan Year. Participants may only participate in one incentive plan at a time. A prorated Performance Cash payment may be given at the end of the Plan Year to Participants who are assigned to a non-STI Program eligible position during the Plan Year.</w:t>
      </w:r>
    </w:p>
    <w:p>
      <w:pPr>
        <w:spacing w:after="0" w:line="194" w:lineRule="exact"/>
        <w:rPr>
          <w:sz w:val="20"/>
          <w:szCs w:val="20"/>
          <w:color w:val="auto"/>
        </w:rPr>
      </w:pPr>
    </w:p>
    <w:p>
      <w:pPr>
        <w:ind w:left="324" w:hanging="324"/>
        <w:spacing w:after="0"/>
        <w:tabs>
          <w:tab w:leader="none" w:pos="32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of Payment</w:t>
      </w:r>
    </w:p>
    <w:p>
      <w:pPr>
        <w:spacing w:after="0" w:line="216" w:lineRule="exact"/>
        <w:rPr>
          <w:sz w:val="20"/>
          <w:szCs w:val="20"/>
          <w:color w:val="auto"/>
        </w:rPr>
      </w:pPr>
    </w:p>
    <w:p>
      <w:pPr>
        <w:ind w:left="404" w:right="280"/>
        <w:spacing w:after="0" w:line="269" w:lineRule="auto"/>
        <w:rPr>
          <w:sz w:val="20"/>
          <w:szCs w:val="20"/>
          <w:color w:val="auto"/>
        </w:rPr>
      </w:pPr>
      <w:r>
        <w:rPr>
          <w:rFonts w:ascii="Times New Roman" w:cs="Times New Roman" w:eastAsia="Times New Roman" w:hAnsi="Times New Roman"/>
          <w:sz w:val="20"/>
          <w:szCs w:val="20"/>
          <w:color w:val="auto"/>
        </w:rPr>
        <w:t>All Performance Cash payments under this STI Program will be paid in cash, in one lump sum, subject to such payroll taxes and other deductions, if any, as may be in effect at the time of payment.</w:t>
      </w:r>
    </w:p>
    <w:p>
      <w:pPr>
        <w:spacing w:after="0" w:line="173" w:lineRule="exact"/>
        <w:rPr>
          <w:sz w:val="20"/>
          <w:szCs w:val="20"/>
          <w:color w:val="auto"/>
        </w:rPr>
      </w:pPr>
    </w:p>
    <w:p>
      <w:pPr>
        <w:ind w:left="324" w:hanging="324"/>
        <w:spacing w:after="0"/>
        <w:tabs>
          <w:tab w:leader="none" w:pos="3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Timing of Payment</w:t>
      </w:r>
    </w:p>
    <w:p>
      <w:pPr>
        <w:spacing w:after="0" w:line="216" w:lineRule="exact"/>
        <w:rPr>
          <w:sz w:val="20"/>
          <w:szCs w:val="20"/>
          <w:color w:val="auto"/>
        </w:rPr>
      </w:pPr>
    </w:p>
    <w:p>
      <w:pPr>
        <w:jc w:val="both"/>
        <w:ind w:left="384"/>
        <w:spacing w:after="0" w:line="254" w:lineRule="auto"/>
        <w:rPr>
          <w:sz w:val="20"/>
          <w:szCs w:val="20"/>
          <w:color w:val="auto"/>
        </w:rPr>
      </w:pPr>
      <w:r>
        <w:rPr>
          <w:rFonts w:ascii="Times New Roman" w:cs="Times New Roman" w:eastAsia="Times New Roman" w:hAnsi="Times New Roman"/>
          <w:sz w:val="20"/>
          <w:szCs w:val="20"/>
          <w:color w:val="auto"/>
        </w:rPr>
        <w:t>All Performance Cash payments under this STI Program will be paid as soon as practicable after the end of the Plan Year, but in no event later than the fifteenth day of the third month following the end of the Plan Year. The payments made under this STI Program are intended to fall within the short-term deferral exemption under Section 409A of the Internal Revenue Code.</w:t>
      </w:r>
    </w:p>
    <w:p>
      <w:pPr>
        <w:spacing w:after="0" w:line="350" w:lineRule="exact"/>
        <w:rPr>
          <w:sz w:val="20"/>
          <w:szCs w:val="20"/>
          <w:color w:val="auto"/>
        </w:rPr>
      </w:pPr>
    </w:p>
    <w:p>
      <w:pPr>
        <w:ind w:left="324" w:hanging="324"/>
        <w:spacing w:after="0"/>
        <w:tabs>
          <w:tab w:leader="none" w:pos="32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Death, Disability or Retirement</w:t>
      </w:r>
    </w:p>
    <w:p>
      <w:pPr>
        <w:spacing w:after="0" w:line="216" w:lineRule="exact"/>
        <w:rPr>
          <w:sz w:val="20"/>
          <w:szCs w:val="20"/>
          <w:color w:val="auto"/>
        </w:rPr>
      </w:pPr>
    </w:p>
    <w:p>
      <w:pPr>
        <w:jc w:val="both"/>
        <w:ind w:left="384"/>
        <w:spacing w:after="0" w:line="243" w:lineRule="auto"/>
        <w:rPr>
          <w:sz w:val="20"/>
          <w:szCs w:val="20"/>
          <w:color w:val="auto"/>
        </w:rPr>
      </w:pPr>
      <w:r>
        <w:rPr>
          <w:rFonts w:ascii="Times New Roman" w:cs="Times New Roman" w:eastAsia="Times New Roman" w:hAnsi="Times New Roman"/>
          <w:sz w:val="20"/>
          <w:szCs w:val="20"/>
          <w:color w:val="auto"/>
        </w:rPr>
        <w:t>Except as otherwise expressly provided in this STI Program, Performance Cash payments will be paid only to Participants who are actually employed with the Company on the last day of the Plan Year. All Participants whose employment terminates prior to the end of the Plan Year shall forfeit any and all Performance Cash payments from the STI Program, whether terminated by the Company or voluntarily, except a Participant whose employment terminates due to death, Disability or Retirement will be paid a pro rata portion of any Performance Cash payment based on the date of death, Disability or Retirement. Such prorated payments will be made at the time and in the form that all payments are normally made to all other Participants. If a Participant is terminated by the Company for cause, as determined in the sole discretion of the Company, then, immediately after Participant’s termination, the Performance Cash payment may be cancelled in full prior to any payment being made.</w:t>
      </w:r>
    </w:p>
    <w:p>
      <w:pPr>
        <w:spacing w:after="0" w:line="203" w:lineRule="exact"/>
        <w:rPr>
          <w:sz w:val="20"/>
          <w:szCs w:val="20"/>
          <w:color w:val="auto"/>
        </w:rPr>
      </w:pPr>
    </w:p>
    <w:p>
      <w:pPr>
        <w:ind w:left="324" w:hanging="324"/>
        <w:spacing w:after="0"/>
        <w:tabs>
          <w:tab w:leader="none" w:pos="32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Participants</w:t>
      </w:r>
    </w:p>
    <w:p>
      <w:pPr>
        <w:spacing w:after="0" w:line="216" w:lineRule="exact"/>
        <w:rPr>
          <w:sz w:val="20"/>
          <w:szCs w:val="20"/>
          <w:color w:val="auto"/>
        </w:rPr>
      </w:pPr>
    </w:p>
    <w:p>
      <w:pPr>
        <w:jc w:val="both"/>
        <w:ind w:left="384"/>
        <w:spacing w:after="0" w:line="254" w:lineRule="auto"/>
        <w:rPr>
          <w:sz w:val="20"/>
          <w:szCs w:val="20"/>
          <w:color w:val="auto"/>
        </w:rPr>
      </w:pPr>
      <w:r>
        <w:rPr>
          <w:rFonts w:ascii="Times New Roman" w:cs="Times New Roman" w:eastAsia="Times New Roman" w:hAnsi="Times New Roman"/>
          <w:sz w:val="20"/>
          <w:szCs w:val="20"/>
          <w:color w:val="auto"/>
        </w:rPr>
        <w:t>Performance Cash payments for new Participants will generally be prorated from either the date of hire or the date the Participant became eligible for the STI Program. Any person joining the Company on or after November 1 of a Plan Year will be excluded from participating in the STI Program for that Plan Year.</w:t>
      </w:r>
    </w:p>
    <w:p>
      <w:pPr>
        <w:spacing w:after="0" w:line="188" w:lineRule="exact"/>
        <w:rPr>
          <w:sz w:val="20"/>
          <w:szCs w:val="20"/>
          <w:color w:val="auto"/>
        </w:rPr>
      </w:pPr>
    </w:p>
    <w:p>
      <w:pPr>
        <w:ind w:left="324" w:hanging="324"/>
        <w:spacing w:after="0"/>
        <w:tabs>
          <w:tab w:leader="none" w:pos="32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16" w:lineRule="exact"/>
        <w:rPr>
          <w:sz w:val="20"/>
          <w:szCs w:val="20"/>
          <w:color w:val="auto"/>
        </w:rPr>
      </w:pPr>
    </w:p>
    <w:p>
      <w:pPr>
        <w:ind w:left="384"/>
        <w:spacing w:after="0" w:line="269" w:lineRule="auto"/>
        <w:rPr>
          <w:sz w:val="20"/>
          <w:szCs w:val="20"/>
          <w:color w:val="auto"/>
        </w:rPr>
      </w:pPr>
      <w:r>
        <w:rPr>
          <w:rFonts w:ascii="Times New Roman" w:cs="Times New Roman" w:eastAsia="Times New Roman" w:hAnsi="Times New Roman"/>
          <w:sz w:val="20"/>
          <w:szCs w:val="20"/>
          <w:color w:val="auto"/>
        </w:rPr>
        <w:t>No Participant shall have any lien on any assets of the Company by reason of any Payout Opportunity or Performance Cash payment made under the STI Program.</w:t>
      </w:r>
    </w:p>
    <w:p>
      <w:pPr>
        <w:sectPr>
          <w:pgSz w:w="11900" w:h="16838" w:orient="portrait"/>
          <w:cols w:equalWidth="0" w:num="1">
            <w:col w:w="11304"/>
          </w:cols>
          <w:pgMar w:left="356" w:top="360" w:right="239" w:bottom="0" w:gutter="0" w:footer="0" w:header="0"/>
        </w:sectPr>
      </w:pPr>
    </w:p>
    <w:bookmarkStart w:id="117" w:name="page118"/>
    <w:bookmarkEnd w:id="117"/>
    <w:p>
      <w:pPr>
        <w:jc w:val="both"/>
        <w:spacing w:after="0" w:line="253" w:lineRule="auto"/>
        <w:rPr>
          <w:sz w:val="20"/>
          <w:szCs w:val="20"/>
          <w:color w:val="auto"/>
        </w:rPr>
      </w:pPr>
      <w:r>
        <w:rPr>
          <w:rFonts w:ascii="Times New Roman" w:cs="Times New Roman" w:eastAsia="Times New Roman" w:hAnsi="Times New Roman"/>
          <w:sz w:val="20"/>
          <w:szCs w:val="20"/>
          <w:color w:val="auto"/>
        </w:rPr>
        <w:t>The adoption of the STI Program does not imply any commitment to continue the plan, or any other plan for incentive compensation for any succeeding year. Neither the STI Program, Performance Cash payment, nor Payout Opportunity made under the STI Program shall create an employment contract or relationship between the Company and any Participant.</w:t>
      </w:r>
    </w:p>
    <w:p>
      <w:pPr>
        <w:spacing w:after="0" w:line="19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STI Program is meant to be “performance-based” and exempt from the limitations imposed by Section 162(m) of the Internal Revenue Code.</w:t>
      </w:r>
    </w:p>
    <w:p>
      <w:pPr>
        <w:sectPr>
          <w:pgSz w:w="11900" w:h="16838" w:orient="portrait"/>
          <w:cols w:equalWidth="0" w:num="1">
            <w:col w:w="10920"/>
          </w:cols>
          <w:pgMar w:left="740" w:top="118" w:right="2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10.23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NUMBER ONE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LENNOX INTERNATIONAL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SUPPLEMENTAL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and Restated as of January 1, 2009)</w:t>
      </w:r>
    </w:p>
    <w:p>
      <w:pPr>
        <w:spacing w:after="0" w:line="236"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WHEREAS, Lennox International Inc., a Delaware corporation (the “Company”) maintains the Lennox International Inc. Supplemental Retirement Plan (the “Plan”), which Plan was last amended and restated effective as of January 1, 2009;</w:t>
      </w:r>
    </w:p>
    <w:p>
      <w:pPr>
        <w:spacing w:after="0" w:line="198"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reserves the right pursuant to Section 8.2 of the Plan to amend the Plan with the approval of the Company’s Board of Directors or its Compensation and Human Resources Committee; and</w:t>
      </w:r>
    </w:p>
    <w:p>
      <w:pPr>
        <w:spacing w:after="0" w:line="198"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WHEREAS, the Compensation and Human Resources Committee of the Company’s Board of Directors has approved the amendment of the Plan to close it to new participants effective January 1, 2019.</w:t>
      </w:r>
    </w:p>
    <w:p>
      <w:pPr>
        <w:spacing w:after="0" w:line="198"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NOW, THEREFORE, the Company hereby amends the Plan, effective January 1, 2019, unless otherwise provided,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Section 2.1 (Participation) is amended by restatement in its entirety to read as follows:</w:t>
      </w:r>
    </w:p>
    <w:p>
      <w:pPr>
        <w:spacing w:after="0" w:line="2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 Effective January 1, 2019, this Plan is closed to new Participants. Notwithstanding any contrary Plan provision, no employee who is hired or promoted into an Executive position on or after January 1, 2019 may participate in this Plan, and no such employee who has a vested accrued benefit under this Plan from a prior period of employment and becomes reemployed on or after January 1, 2019 will accrue any new benefits under the Plan. Prior to January 1, 2019, an Executive became a Participant in this Plan on the later of January 1, 1991 or the date he or she became an Executive, and shall continue to accrue benefits in accordance with the terms of the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A new Section 5.4 is added as follows:</w:t>
      </w:r>
    </w:p>
    <w:p>
      <w:pPr>
        <w:spacing w:after="0" w:line="26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Non-Duplication of Benefits</w:t>
      </w:r>
      <w:r>
        <w:rPr>
          <w:rFonts w:ascii="Times New Roman" w:cs="Times New Roman" w:eastAsia="Times New Roman" w:hAnsi="Times New Roman"/>
          <w:sz w:val="22"/>
          <w:szCs w:val="22"/>
          <w:color w:val="auto"/>
        </w:rPr>
        <w:t>. Notwithstanding any contrary Plan provision, no Participant shall accrue a benefit under this Plan with respect to periods during which the Participant is eligible to participate in the Lennox International, Inc. Supplemental Restoration Retirement Plan.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- 1 -</w:t>
      </w:r>
    </w:p>
    <w:p>
      <w:pPr>
        <w:sectPr>
          <w:pgSz w:w="11900" w:h="16838" w:orient="portrait"/>
          <w:cols w:equalWidth="0" w:num="1">
            <w:col w:w="11420"/>
          </w:cols>
          <w:pgMar w:left="240" w:top="621"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1"/>
          <w:szCs w:val="21"/>
          <w:color w:val="auto"/>
        </w:rPr>
        <w:t>IN WITNESS WHEREOF, the Company has caused this Amendment Number One to be executed this 28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December, 2018.</w:t>
      </w:r>
    </w:p>
    <w:p>
      <w:pPr>
        <w:sectPr>
          <w:pgSz w:w="11900" w:h="16838" w:orient="portrait"/>
          <w:cols w:equalWidth="0" w:num="1">
            <w:col w:w="11400"/>
          </w:cols>
          <w:pgMar w:left="240" w:top="76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LENNOX INTERNATIONAL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By:/s/ Daniel M. Sessa</w:t>
      </w:r>
    </w:p>
    <w:p>
      <w:pPr>
        <w:spacing w:after="0" w:line="28" w:lineRule="exact"/>
        <w:rPr>
          <w:sz w:val="20"/>
          <w:szCs w:val="20"/>
          <w:color w:val="auto"/>
        </w:rPr>
      </w:pPr>
    </w:p>
    <w:p>
      <w:pPr>
        <w:ind w:left="4880"/>
        <w:spacing w:after="0"/>
        <w:tabs>
          <w:tab w:leader="none" w:pos="5580" w:val="left"/>
        </w:tabs>
        <w:rPr>
          <w:sz w:val="20"/>
          <w:szCs w:val="20"/>
          <w:color w:val="auto"/>
        </w:rPr>
      </w:pPr>
      <w:r>
        <w:rPr>
          <w:rFonts w:ascii="Times New Roman" w:cs="Times New Roman" w:eastAsia="Times New Roman" w:hAnsi="Times New Roman"/>
          <w:sz w:val="22"/>
          <w:szCs w:val="22"/>
          <w:color w:val="auto"/>
        </w:rPr>
        <w:t>Title:</w:t>
        <w:tab/>
        <w:t>Executive Vice President and</w:t>
      </w:r>
    </w:p>
    <w:p>
      <w:pPr>
        <w:spacing w:after="0" w:line="4" w:lineRule="exact"/>
        <w:rPr>
          <w:sz w:val="20"/>
          <w:szCs w:val="20"/>
          <w:color w:val="auto"/>
        </w:rPr>
      </w:pPr>
    </w:p>
    <w:p>
      <w:pPr>
        <w:jc w:val="right"/>
        <w:ind w:right="318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400"/>
          </w:cols>
          <w:pgMar w:left="240" w:top="765" w:right="259" w:bottom="1440" w:gutter="0" w:footer="0" w:header="0"/>
          <w:type w:val="continuous"/>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LENNOX INTERNATIONAL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SUPPLEMENTAL RESTORATION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as of January 1, 2019</w:t>
      </w:r>
      <w:r>
        <w:rPr>
          <w:rFonts w:ascii="Times New Roman" w:cs="Times New Roman" w:eastAsia="Times New Roman" w:hAnsi="Times New Roman"/>
          <w:sz w:val="22"/>
          <w:szCs w:val="22"/>
          <w:color w:val="auto"/>
        </w:rPr>
        <w:t>)</w:t>
      </w:r>
    </w:p>
    <w:p>
      <w:pPr>
        <w:spacing w:after="0" w:line="2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SUPPLEMENTAL RESTORATION RETIREMENT PLAN (the “Plan”), made and executed in Richardson, Texas, by Lennox International Inc., a Delaware corporation (the “Company”), is hereby established for the purpose of providing unfunded benefits for certain executives who participate in the Lennox International Inc. Merged Profit Sharing and 401(k) Retirement Plan for Salaried Employees that are in excess of the limitations on contributions to a defined contribution plan imposed by Sections 401(a)(17) and 415 of the Internal Revenue Code of 1986.</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1. Definitions</w:t>
      </w:r>
    </w:p>
    <w:p>
      <w:pPr>
        <w:spacing w:after="0" w:line="26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Whenever used in the Plan, the following terms shall have the respective meanings set forth below unless otherwise expressly provided herein, and when the defined meaning is intended the term is capitalized:</w:t>
      </w:r>
    </w:p>
    <w:p>
      <w:pPr>
        <w:spacing w:after="0" w:line="198" w:lineRule="exact"/>
        <w:rPr>
          <w:sz w:val="20"/>
          <w:szCs w:val="20"/>
          <w:color w:val="auto"/>
        </w:rPr>
      </w:pPr>
    </w:p>
    <w:p>
      <w:pPr>
        <w:jc w:val="both"/>
        <w:ind w:left="1300" w:hanging="644"/>
        <w:spacing w:after="0" w:line="270" w:lineRule="auto"/>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 means the account maintained on the Company’s books as a bookkeeping entry for each Participant reflecting such Participant’s Restoration Benefit amounts under Article 3 and adjustments thereon under Article 4 and distributions under Article 5.</w:t>
      </w:r>
    </w:p>
    <w:p>
      <w:pPr>
        <w:spacing w:after="0" w:line="172" w:lineRule="exact"/>
        <w:rPr>
          <w:rFonts w:ascii="Times New Roman" w:cs="Times New Roman" w:eastAsia="Times New Roman" w:hAnsi="Times New Roman"/>
          <w:sz w:val="22"/>
          <w:szCs w:val="22"/>
          <w:color w:val="auto"/>
        </w:rPr>
      </w:pPr>
    </w:p>
    <w:p>
      <w:pPr>
        <w:jc w:val="both"/>
        <w:ind w:left="1300" w:hanging="644"/>
        <w:spacing w:after="0" w:line="270" w:lineRule="auto"/>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means a change in ownership of the Company (as hereinafter defined), a change in effective control of the Company or a change in the ownership of a substantial portion of the assets of the Company, in each case within the meaning of Section 409A of the Code. Subject to the foregoing:</w:t>
      </w:r>
    </w:p>
    <w:p>
      <w:pPr>
        <w:spacing w:after="0" w:line="173" w:lineRule="exact"/>
        <w:rPr>
          <w:sz w:val="20"/>
          <w:szCs w:val="20"/>
          <w:color w:val="auto"/>
        </w:rPr>
      </w:pPr>
    </w:p>
    <w:p>
      <w:pPr>
        <w:jc w:val="both"/>
        <w:ind w:left="2000" w:hanging="215"/>
        <w:spacing w:after="0" w:line="288" w:lineRule="auto"/>
        <w:rPr>
          <w:sz w:val="20"/>
          <w:szCs w:val="20"/>
          <w:color w:val="auto"/>
        </w:rPr>
      </w:pPr>
      <w:r>
        <w:rPr>
          <w:rFonts w:ascii="Times New Roman" w:cs="Times New Roman" w:eastAsia="Times New Roman" w:hAnsi="Times New Roman"/>
          <w:sz w:val="21"/>
          <w:szCs w:val="21"/>
          <w:color w:val="auto"/>
        </w:rPr>
        <w:t>(i)a change in ownership of the Company will occur on the date that any one person or persons acting as a group acquires ownership of stock of the Company that together with stock held by such person or persons constitutes more than 50% of the total fair market value or total voting power of the stock of the Company;</w:t>
      </w:r>
    </w:p>
    <w:p>
      <w:pPr>
        <w:spacing w:after="0" w:line="157" w:lineRule="exact"/>
        <w:rPr>
          <w:sz w:val="20"/>
          <w:szCs w:val="20"/>
          <w:color w:val="auto"/>
        </w:rPr>
      </w:pPr>
    </w:p>
    <w:p>
      <w:pPr>
        <w:jc w:val="both"/>
        <w:ind w:left="2060" w:hanging="269"/>
        <w:spacing w:after="0" w:line="260" w:lineRule="auto"/>
        <w:rPr>
          <w:sz w:val="20"/>
          <w:szCs w:val="20"/>
          <w:color w:val="auto"/>
        </w:rPr>
      </w:pPr>
      <w:r>
        <w:rPr>
          <w:rFonts w:ascii="Times New Roman" w:cs="Times New Roman" w:eastAsia="Times New Roman" w:hAnsi="Times New Roman"/>
          <w:sz w:val="22"/>
          <w:szCs w:val="22"/>
          <w:color w:val="auto"/>
        </w:rPr>
        <w:t>(ii)a change in effective control of the Company will occur on the date that (A) any one person or persons acting as a group acquires (or has acquired during the 12-month period ending on the date of the most recent acquisition by such person or persons) ownership of the stock of the Company possessing 30% or more of the total voting power of the stock of the Company or (B) a majority of members of the Board of Directors of the Company is replaced during any 12-month period by directors whose appointment or election is not endorsed by a majority of the members of such Board prior to the date of such appointment or election; and</w:t>
      </w:r>
    </w:p>
    <w:p>
      <w:pPr>
        <w:spacing w:after="0" w:line="188" w:lineRule="exact"/>
        <w:rPr>
          <w:sz w:val="20"/>
          <w:szCs w:val="20"/>
          <w:color w:val="auto"/>
        </w:rPr>
      </w:pPr>
    </w:p>
    <w:p>
      <w:pPr>
        <w:jc w:val="both"/>
        <w:ind w:left="2120" w:right="20" w:hanging="323"/>
        <w:spacing w:after="0" w:line="284" w:lineRule="auto"/>
        <w:rPr>
          <w:sz w:val="20"/>
          <w:szCs w:val="20"/>
          <w:color w:val="auto"/>
        </w:rPr>
      </w:pPr>
      <w:r>
        <w:rPr>
          <w:rFonts w:ascii="Times New Roman" w:cs="Times New Roman" w:eastAsia="Times New Roman" w:hAnsi="Times New Roman"/>
          <w:sz w:val="22"/>
          <w:szCs w:val="22"/>
          <w:color w:val="auto"/>
        </w:rPr>
        <w:t>(iii)a change in the ownership of a substantial portion of the assets of the Company will occur on the date that any one person or persons acting as 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- 1 -</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399" w:lineRule="exact"/>
        <w:rPr>
          <w:sz w:val="20"/>
          <w:szCs w:val="20"/>
          <w:color w:val="auto"/>
        </w:rPr>
      </w:pPr>
    </w:p>
    <w:p>
      <w:pPr>
        <w:jc w:val="both"/>
        <w:ind w:left="1304" w:hanging="161"/>
        <w:spacing w:after="0" w:line="265" w:lineRule="auto"/>
        <w:rPr>
          <w:sz w:val="20"/>
          <w:szCs w:val="20"/>
          <w:color w:val="auto"/>
        </w:rPr>
      </w:pPr>
      <w:r>
        <w:rPr>
          <w:rFonts w:ascii="Times New Roman" w:cs="Times New Roman" w:eastAsia="Times New Roman" w:hAnsi="Times New Roman"/>
          <w:sz w:val="22"/>
          <w:szCs w:val="22"/>
          <w:color w:val="auto"/>
        </w:rPr>
        <w:t>group acquires (or has acquired during the 12-month period ending on the date of the most recent acquisition by such person or persons) assets from the Company that have a total gross fair market value equal to or more than 40% of the total gross fair market value of all of the assets of the Company, as applicable, immediately prior to such acquisition.</w:t>
      </w:r>
    </w:p>
    <w:p>
      <w:pPr>
        <w:spacing w:after="0" w:line="179" w:lineRule="exact"/>
        <w:rPr>
          <w:sz w:val="20"/>
          <w:szCs w:val="20"/>
          <w:color w:val="auto"/>
        </w:rPr>
      </w:pPr>
    </w:p>
    <w:p>
      <w:pPr>
        <w:jc w:val="both"/>
        <w:ind w:left="644" w:hanging="644"/>
        <w:spacing w:after="0" w:line="270" w:lineRule="auto"/>
        <w:tabs>
          <w:tab w:leader="none" w:pos="6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means the Internal Revenue Code of 1986, as amended and in effect from time to time, and includes any applicable regulations or other guidance relating to provisions of the Code published by the Internal Revenue Service or the U.S. Treasury Department.</w:t>
      </w:r>
    </w:p>
    <w:p>
      <w:pPr>
        <w:spacing w:after="0" w:line="17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Lennox International Inc., a Delaware corporation.</w:t>
      </w:r>
    </w:p>
    <w:p>
      <w:pPr>
        <w:spacing w:after="0" w:line="233" w:lineRule="exact"/>
        <w:rPr>
          <w:rFonts w:ascii="Times New Roman" w:cs="Times New Roman" w:eastAsia="Times New Roman" w:hAnsi="Times New Roman"/>
          <w:sz w:val="22"/>
          <w:szCs w:val="22"/>
          <w:color w:val="auto"/>
        </w:rPr>
      </w:pPr>
    </w:p>
    <w:p>
      <w:pPr>
        <w:jc w:val="both"/>
        <w:ind w:left="644" w:right="20" w:hanging="644"/>
        <w:spacing w:after="0" w:line="270" w:lineRule="auto"/>
        <w:tabs>
          <w:tab w:leader="none" w:pos="6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shall have the meaning assigned to the term under the Lennox International Inc. Merged Profit Sharing and 401(k) Retirement Plan for Salaried Employees, without regard to the limitation in Section 401(a)(17) of the Code for any given Plan Year.</w:t>
      </w:r>
    </w:p>
    <w:p>
      <w:pPr>
        <w:spacing w:after="0" w:line="172" w:lineRule="exact"/>
        <w:rPr>
          <w:rFonts w:ascii="Times New Roman" w:cs="Times New Roman" w:eastAsia="Times New Roman" w:hAnsi="Times New Roman"/>
          <w:sz w:val="22"/>
          <w:szCs w:val="22"/>
          <w:color w:val="auto"/>
        </w:rPr>
      </w:pPr>
    </w:p>
    <w:p>
      <w:pPr>
        <w:ind w:left="644" w:hanging="644"/>
        <w:spacing w:after="0" w:line="284" w:lineRule="auto"/>
        <w:tabs>
          <w:tab w:leader="none" w:pos="6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“Eligible Employee” means any Chief Executive Officer, Chief Operating Officer or Executive Vice President (EVP) of the Company who is hired or promoted into such position on or after January 1, 2019.</w:t>
      </w:r>
    </w:p>
    <w:p>
      <w:pPr>
        <w:spacing w:after="0" w:line="15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Committee” means the committee described in Section 9.1.</w:t>
      </w:r>
    </w:p>
    <w:p>
      <w:pPr>
        <w:spacing w:after="0" w:line="233" w:lineRule="exact"/>
        <w:rPr>
          <w:rFonts w:ascii="Times New Roman" w:cs="Times New Roman" w:eastAsia="Times New Roman" w:hAnsi="Times New Roman"/>
          <w:sz w:val="22"/>
          <w:szCs w:val="22"/>
          <w:color w:val="auto"/>
        </w:rPr>
      </w:pPr>
    </w:p>
    <w:p>
      <w:pPr>
        <w:ind w:left="644" w:hanging="644"/>
        <w:spacing w:after="0" w:line="309" w:lineRule="auto"/>
        <w:tabs>
          <w:tab w:leader="none" w:pos="644"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means an employee who is considered a Participant in the Plan under Article 2. The term “Participant” will include the beneficiary of a deceased Participant, unless the context clearly requires a different interpretation.</w:t>
      </w:r>
    </w:p>
    <w:p>
      <w:pPr>
        <w:spacing w:after="0" w:line="134" w:lineRule="exact"/>
        <w:rPr>
          <w:rFonts w:ascii="Times New Roman" w:cs="Times New Roman" w:eastAsia="Times New Roman" w:hAnsi="Times New Roman"/>
          <w:sz w:val="21"/>
          <w:szCs w:val="21"/>
          <w:color w:val="auto"/>
        </w:rPr>
      </w:pPr>
    </w:p>
    <w:p>
      <w:pPr>
        <w:ind w:left="644" w:right="20" w:hanging="644"/>
        <w:spacing w:after="0" w:line="284" w:lineRule="auto"/>
        <w:tabs>
          <w:tab w:leader="none" w:pos="6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“Participating Employer” means the Company and any other trade or business which may adopt this Plan with the consent of the Chief Executive Officer of the Company.</w:t>
      </w:r>
    </w:p>
    <w:p>
      <w:pPr>
        <w:spacing w:after="0" w:line="157" w:lineRule="exact"/>
        <w:rPr>
          <w:rFonts w:ascii="Times New Roman" w:cs="Times New Roman" w:eastAsia="Times New Roman" w:hAnsi="Times New Roman"/>
          <w:sz w:val="22"/>
          <w:szCs w:val="22"/>
          <w:color w:val="auto"/>
        </w:rPr>
      </w:pPr>
    </w:p>
    <w:p>
      <w:pPr>
        <w:ind w:left="644" w:hanging="644"/>
        <w:spacing w:after="0" w:line="284" w:lineRule="auto"/>
        <w:tabs>
          <w:tab w:leader="none" w:pos="6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means the Lennox International Inc. Supplemental Restoration Retirement Plan, as set forth herein and as amended from time to time.</w:t>
      </w:r>
    </w:p>
    <w:p>
      <w:pPr>
        <w:spacing w:after="0" w:line="15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Year” means the calendar year.</w:t>
      </w:r>
    </w:p>
    <w:p>
      <w:pPr>
        <w:spacing w:after="0" w:line="233"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“Restoration Benefit” means the benefit described in Article 3.</w:t>
      </w:r>
    </w:p>
    <w:p>
      <w:pPr>
        <w:spacing w:after="0" w:line="233" w:lineRule="exact"/>
        <w:rPr>
          <w:rFonts w:ascii="Times New Roman" w:cs="Times New Roman" w:eastAsia="Times New Roman" w:hAnsi="Times New Roman"/>
          <w:sz w:val="22"/>
          <w:szCs w:val="22"/>
          <w:color w:val="auto"/>
        </w:rPr>
      </w:pPr>
    </w:p>
    <w:p>
      <w:pPr>
        <w:jc w:val="both"/>
        <w:ind w:left="644" w:hanging="644"/>
        <w:spacing w:after="0" w:line="260" w:lineRule="auto"/>
        <w:tabs>
          <w:tab w:leader="none" w:pos="6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from Service” means with respect to Participant, such Participant’s separation from service (within the meaning of Section 409A of the Code and the regulations and other guidance issued thereunder) with the group of employers that includes the Company and each Affiliated Company (as hereinafter defined). A Participant’s Separation from Service shall be deemed to occur on the date as of which the Participant and his or her employer reasonably anticipate that no further services will be performed after such date or that the level of bona fide services the employee will perform after such date (whether as an employee or an independent contractor) will permanently decrease to no more than 20% of the</w:t>
      </w:r>
    </w:p>
    <w:p>
      <w:pPr>
        <w:spacing w:after="0" w:line="200" w:lineRule="exact"/>
        <w:rPr>
          <w:rFonts w:ascii="Times New Roman" w:cs="Times New Roman" w:eastAsia="Times New Roman" w:hAnsi="Times New Roman"/>
          <w:sz w:val="22"/>
          <w:szCs w:val="22"/>
          <w:color w:val="auto"/>
        </w:rPr>
      </w:pPr>
    </w:p>
    <w:p>
      <w:pPr>
        <w:spacing w:after="0" w:line="231" w:lineRule="exact"/>
        <w:rPr>
          <w:rFonts w:ascii="Times New Roman" w:cs="Times New Roman" w:eastAsia="Times New Roman" w:hAnsi="Times New Roman"/>
          <w:sz w:val="22"/>
          <w:szCs w:val="22"/>
          <w:color w:val="auto"/>
        </w:rPr>
      </w:pPr>
    </w:p>
    <w:p>
      <w:pPr>
        <w:ind w:left="5004" w:hanging="126"/>
        <w:spacing w:after="0"/>
        <w:tabs>
          <w:tab w:leader="none" w:pos="500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0764"/>
          </w:cols>
          <w:pgMar w:left="896" w:top="122" w:right="2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399" w:lineRule="exact"/>
        <w:rPr>
          <w:sz w:val="20"/>
          <w:szCs w:val="20"/>
          <w:color w:val="auto"/>
        </w:rPr>
      </w:pPr>
    </w:p>
    <w:p>
      <w:pPr>
        <w:jc w:val="both"/>
        <w:ind w:left="1300"/>
        <w:spacing w:after="0" w:line="263" w:lineRule="auto"/>
        <w:rPr>
          <w:sz w:val="20"/>
          <w:szCs w:val="20"/>
          <w:color w:val="auto"/>
        </w:rPr>
      </w:pPr>
      <w:r>
        <w:rPr>
          <w:rFonts w:ascii="Times New Roman" w:cs="Times New Roman" w:eastAsia="Times New Roman" w:hAnsi="Times New Roman"/>
          <w:sz w:val="22"/>
          <w:szCs w:val="22"/>
          <w:color w:val="auto"/>
        </w:rPr>
        <w:t>average level of bona fide services performed (whether as an employee or an independent contractor) over the immediately preceding 36-month period (or the full period of services to the employer if the employee has been providing services to the employer less than 36 months). For purposes of this definition, "Affiliated Company" shall mean any incorporated or unincorporated trade or business or other entity or person, other than the Company, that along with the Company is considered a single employer under Section 414(b) or Section 414(c) of the Code.</w:t>
      </w:r>
    </w:p>
    <w:p>
      <w:pPr>
        <w:spacing w:after="0" w:line="180" w:lineRule="exact"/>
        <w:rPr>
          <w:sz w:val="20"/>
          <w:szCs w:val="20"/>
          <w:color w:val="auto"/>
        </w:rPr>
      </w:pPr>
    </w:p>
    <w:p>
      <w:pPr>
        <w:jc w:val="both"/>
        <w:ind w:left="1300" w:hanging="644"/>
        <w:spacing w:after="0" w:line="270" w:lineRule="auto"/>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“Specified Employee” shall mean a “specified employee” with respect to the Company (or a controlled group member) determined pursuant to procedures adopted by the Company in compliance with Section 409A of the Code and Treasury Regulation Section 1.409A-1(i) or any successor provision.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2. Participation</w:t>
      </w:r>
    </w:p>
    <w:p>
      <w:pPr>
        <w:spacing w:after="0" w:line="2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 An Eligible Employee shall become a Participant in the Plan as of the date the Eligible Employee is first designated by the Company to receive a Restoration Benefit. An Eligible Employee who becomes a Participant will continue to be a Participant as long as an Account is being maintained (or is required to be maintained under the terms of the Plan) for such individual.</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3. Restoration Benefits</w:t>
      </w:r>
    </w:p>
    <w:p>
      <w:pPr>
        <w:spacing w:after="0" w:line="2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A Participant shall be credited with a Restoration Benefit for each Plan Year beginning on or after January 1, 2019 in which the Participant is an Eligible Employee who has been designated by the Company in its sole discretion to receive a Restoration Benefit allocation.</w:t>
      </w: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A Participant’s Restoration Benefit shall be an amount equal to six percent (6%) of the excess, if any, of the Participant’s Compensation for the Plan Year, over the applicable limitation amount under Section 401(a)(17) of the Code for such Plan Year.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4. Participant Accounts</w:t>
      </w:r>
    </w:p>
    <w:p>
      <w:pPr>
        <w:spacing w:after="0" w:line="2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Restoration Benefit Credits to Account</w:t>
      </w:r>
      <w:r>
        <w:rPr>
          <w:rFonts w:ascii="Times New Roman" w:cs="Times New Roman" w:eastAsia="Times New Roman" w:hAnsi="Times New Roman"/>
          <w:sz w:val="22"/>
          <w:szCs w:val="22"/>
          <w:color w:val="auto"/>
        </w:rPr>
        <w:t>. The amount of a Participant’s Restoration Benefit for any Plan Year will be credited as of a date or dates selected by the Company, but not later than the last day of the Plan Year, to an account established for the Participant under the Plan. A Participant’s Account will be a bookkeeping entry only and will be utilized solely as a means of measuring and determining the amounts to be paid to or in respect of the Participant.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Deemed Earnings</w:t>
      </w:r>
      <w:r>
        <w:rPr>
          <w:rFonts w:ascii="Times New Roman" w:cs="Times New Roman" w:eastAsia="Times New Roman" w:hAnsi="Times New Roman"/>
          <w:sz w:val="22"/>
          <w:szCs w:val="22"/>
          <w:color w:val="auto"/>
        </w:rPr>
        <w:t>. Amounts credited to the Participant’s Account deemed to be invested in the investment fund options that the Company has designated for this purpose and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420"/>
          </w:cols>
          <w:pgMar w:left="240" w:top="122"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3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which the Participant has elected in accordance with Section 4.3. The Company will determine, from time to time and in its discretion, the exact times and methods for crediting or charging each Participant’s Account with the earnings, gains or losses and changes in value of such investment funds.</w:t>
      </w:r>
    </w:p>
    <w:p>
      <w:pPr>
        <w:spacing w:after="0" w:line="21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Investment Funds</w:t>
      </w:r>
      <w:r>
        <w:rPr>
          <w:rFonts w:ascii="Times New Roman" w:cs="Times New Roman" w:eastAsia="Times New Roman" w:hAnsi="Times New Roman"/>
          <w:sz w:val="22"/>
          <w:szCs w:val="22"/>
          <w:color w:val="auto"/>
        </w:rPr>
        <w:t>. The Company will determine from time to time the investment fund or funds available for hypothetical investment of Participants’ Accounts. Each Participant may elect at such times and in the manner specified by the Company one or more investment funds in which the Participant’s Account, or any portion of the Account, will be deemed to be invested for purposes of determining the amount of earnings, gains or losses to be credited to his or her Account. If a Participant fails to elect an investment fund with respect to any portion of his or her Account, the Participant will be considered to have elected the default investment fund designated by the Company for this purpose.</w:t>
      </w:r>
    </w:p>
    <w:p>
      <w:pPr>
        <w:spacing w:after="0" w:line="22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Subject to the rights of general creditors set forth in Article 8 and the right of the Company to discontinue the Plan as provided in Article 11, a Participant will at all times have a 100% nonforfeitable interest in his or her Account.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5. Timing and Form of Benefit Distributions</w:t>
      </w:r>
    </w:p>
    <w:p>
      <w:pPr>
        <w:spacing w:after="0" w:line="2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Account Payments</w:t>
      </w:r>
      <w:r>
        <w:rPr>
          <w:rFonts w:ascii="Times New Roman" w:cs="Times New Roman" w:eastAsia="Times New Roman" w:hAnsi="Times New Roman"/>
          <w:sz w:val="22"/>
          <w:szCs w:val="22"/>
          <w:color w:val="auto"/>
        </w:rPr>
        <w:t>. Except as provided in Article 6, a Participant’s interest in his or her Account will be paid in a single lump sum as soon as administratively feasible following his or her Separation from Service, but in no event later than the time prescribed by Section 1.409A-3(d) of the Treasury Regulations.</w:t>
      </w:r>
    </w:p>
    <w:p>
      <w:pPr>
        <w:spacing w:after="0" w:line="21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Delay in Payments</w:t>
      </w:r>
      <w:r>
        <w:rPr>
          <w:rFonts w:ascii="Times New Roman" w:cs="Times New Roman" w:eastAsia="Times New Roman" w:hAnsi="Times New Roman"/>
          <w:sz w:val="22"/>
          <w:szCs w:val="22"/>
          <w:color w:val="auto"/>
        </w:rPr>
        <w:t>. Notwithstanding the foregoing provisions of this Article 5, if the Participant is a Specified Employee, then any payment on account of the Participant’s Separation from Service shall not be made until the date that is six months and two days after such Separation from Service (or, if earlier, the first day of the month after the Participant’s death). Any payment otherwise required to be made to a Participant may also be delayed to the extent permitted by Section 409A of the Code if the Company reasonably determines that the payment (A) will not be deductible for federal income tax purposes by reason of the application of Section 162(m) of the Code; (B) will violate federal securities law or other applicable law; or (C) may be delayed for any other reason permitted under Section 409A of the Code.</w:t>
      </w:r>
    </w:p>
    <w:p>
      <w:pPr>
        <w:spacing w:after="0" w:line="22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Benefit Payment Dates</w:t>
      </w:r>
      <w:r>
        <w:rPr>
          <w:rFonts w:ascii="Times New Roman" w:cs="Times New Roman" w:eastAsia="Times New Roman" w:hAnsi="Times New Roman"/>
          <w:sz w:val="22"/>
          <w:szCs w:val="22"/>
          <w:color w:val="auto"/>
        </w:rPr>
        <w:t>. The date on which a Participant’s benefit under the Plan is paid will be determined at the sole discretion of the Committee in accordance with the foregoing provisions of this Article 5 or the provisions of Article 6, whichever apply.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6. Death Benefits</w:t>
      </w:r>
    </w:p>
    <w:p>
      <w:pPr>
        <w:spacing w:after="0" w:line="2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Payments to Beneficiaries</w:t>
      </w:r>
      <w:r>
        <w:rPr>
          <w:rFonts w:ascii="Times New Roman" w:cs="Times New Roman" w:eastAsia="Times New Roman" w:hAnsi="Times New Roman"/>
          <w:sz w:val="22"/>
          <w:szCs w:val="22"/>
          <w:color w:val="auto"/>
        </w:rPr>
        <w:t>. If a Participant who is entitled to receive a payment of his or her benefit under the Plan dies before receiving such benefit, the amount of the Plan benefit will be paid to beneficiary or beneficiaries designated by the Participant in accordance</w:t>
      </w:r>
    </w:p>
    <w:p>
      <w:pPr>
        <w:jc w:val="both"/>
        <w:spacing w:after="0" w:line="248" w:lineRule="auto"/>
        <w:rPr>
          <w:sz w:val="20"/>
          <w:szCs w:val="20"/>
          <w:color w:val="auto"/>
        </w:rPr>
      </w:pPr>
      <w:r>
        <w:rPr>
          <w:rFonts w:ascii="Times New Roman" w:cs="Times New Roman" w:eastAsia="Times New Roman" w:hAnsi="Times New Roman"/>
          <w:sz w:val="22"/>
          <w:szCs w:val="22"/>
          <w:color w:val="auto"/>
        </w:rPr>
        <w:t>with rules and procedures established by the Company. If upon the death of the Participant there is, in the opinion of the Company, no designated beneficiary or beneficiaries, such benefit will be paid to the Participant’s estate.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420"/>
          </w:cols>
          <w:pgMar w:left="240" w:top="121" w:right="239" w:bottom="1440" w:gutter="0" w:footer="0" w:header="0"/>
        </w:sectPr>
      </w:pPr>
    </w:p>
    <w:bookmarkStart w:id="124" w:name="page125"/>
    <w:bookmarkEnd w:id="124"/>
    <w:p>
      <w:pPr>
        <w:ind w:left="10200"/>
        <w:spacing w:after="0"/>
        <w:rPr>
          <w:sz w:val="20"/>
          <w:szCs w:val="20"/>
          <w:color w:val="auto"/>
        </w:rPr>
      </w:pPr>
      <w:r>
        <w:rPr>
          <w:rFonts w:ascii="Times New Roman" w:cs="Times New Roman" w:eastAsia="Times New Roman" w:hAnsi="Times New Roman"/>
          <w:sz w:val="21"/>
          <w:szCs w:val="21"/>
          <w:b w:val="1"/>
          <w:bCs w:val="1"/>
          <w:color w:val="auto"/>
        </w:rPr>
        <w:t>Exhibit 10.24</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Payment of Death Benefit</w:t>
      </w:r>
      <w:r>
        <w:rPr>
          <w:rFonts w:ascii="Times New Roman" w:cs="Times New Roman" w:eastAsia="Times New Roman" w:hAnsi="Times New Roman"/>
          <w:sz w:val="22"/>
          <w:szCs w:val="22"/>
          <w:color w:val="auto"/>
        </w:rPr>
        <w:t>. Payments pursuant to this Article 6 will be made as soon as practicable after the Participant’s death. Prior to such payment, a copy of the death notice or other sufficient documentation must be filed with and approved by the Company.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7. Prohibition on Acceleration of Benefits</w:t>
      </w:r>
    </w:p>
    <w:p>
      <w:pPr>
        <w:spacing w:after="0" w:line="2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time or schedule of any payment to be made under the Plan may not be accelerated except to the extent permitted under Section 409A of the Code. Where Section 409A of the Code permits a payment to be accelerated but does not require the Plan to, and the Plan does not, expressly provide for such acceleration, the payment may be accelerated in the sole discretion of the Company.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the foregoing prohibition on acceleration of benefits, upon a Change in Control the Company will have the right, but not the obligation, to terminate the Plan and to distribute each Participant’s Plan benefit no earlier than 30 days before and no later than 12 months after the date of the Change in Control.</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8. Funding of Benefits</w:t>
      </w:r>
    </w:p>
    <w:p>
      <w:pPr>
        <w:spacing w:after="0" w:line="2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Unfunded Plan</w:t>
      </w:r>
      <w:r>
        <w:rPr>
          <w:rFonts w:ascii="Times New Roman" w:cs="Times New Roman" w:eastAsia="Times New Roman" w:hAnsi="Times New Roman"/>
          <w:sz w:val="22"/>
          <w:szCs w:val="22"/>
          <w:color w:val="auto"/>
        </w:rPr>
        <w:t>. The Plan will be unfunded. All benefits payable to a Participant under the Plan will be paid from the general assets of the Participating Employers that employed the Participant, and nothing contained in the Plan will require the Participating Employers to set aside or hold in trust any funds for the benefit of a Participant, who will have the status of a general unsecured creditor with respect to the obligation of the Participating Employers to make payments under the Plan. Any funds of the Participating Employers available to pay benefits under the Plan will be subject to the claims of general creditors of the Participating Employers and may be used for any purpose by the Participating Employers.</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Liability of Participating Employers</w:t>
      </w:r>
      <w:r>
        <w:rPr>
          <w:rFonts w:ascii="Times New Roman" w:cs="Times New Roman" w:eastAsia="Times New Roman" w:hAnsi="Times New Roman"/>
          <w:sz w:val="22"/>
          <w:szCs w:val="22"/>
          <w:color w:val="auto"/>
        </w:rPr>
        <w:t>. If the benefits payable under the Plan to a Participant are attributable to periods of employment with more than one Participating Employer, the Company may allocate liability for the payment of the benefit among the Participating Employers in any manner the Company, in its sole discretion, determines to be appropriate.</w:t>
      </w:r>
    </w:p>
    <w:p>
      <w:pPr>
        <w:spacing w:after="0" w:line="21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Establishment of Trust</w:t>
      </w:r>
      <w:r>
        <w:rPr>
          <w:rFonts w:ascii="Times New Roman" w:cs="Times New Roman" w:eastAsia="Times New Roman" w:hAnsi="Times New Roman"/>
          <w:sz w:val="22"/>
          <w:szCs w:val="22"/>
          <w:color w:val="auto"/>
        </w:rPr>
        <w:t>. Notwithstanding the provisions of Section 8.1, the Company may, at its discretion, transfer to the trustee of one or more trusts from which all or a portion of the benefits provided under the Plan will be satisfied, provided that such assets held in trust will at all times be subject to the claims of general unsecured creditors of the Participating Employers, and no Participant will at any time have a prior claim to such assets. To the extent that benefits under the Plan are paid from any such trust, the Participating Employers will be relieved of all liability for such benefits. This Section shall be subject to the terms of the Trust</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Agreement dated December 17, 2018, by and between the Company and Fidelity Management Trust Company, as from time to time in effect, but such terms shall not apply to the extent they would cause any benefits under the Plan to be subject to the tax imposed under Section 409A of the Code.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9. Administration of the Plan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420"/>
          </w:cols>
          <w:pgMar w:left="240" w:top="122"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39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Administration by the Company</w:t>
      </w:r>
      <w:r>
        <w:rPr>
          <w:rFonts w:ascii="Times New Roman" w:cs="Times New Roman" w:eastAsia="Times New Roman" w:hAnsi="Times New Roman"/>
          <w:sz w:val="22"/>
          <w:szCs w:val="22"/>
          <w:color w:val="auto"/>
        </w:rPr>
        <w:t>. This Plan shall be administered by the Company. The Company shall perform and exercise all of the duties and powers granted to it under the terms of this Plan. The Management Committee, which shall be appointed by and serve at the pleasure of the Chief Executive Officer of the Company, shall interpret the provisions of this Plan. The Company may adopt such rules and regulations for the administration of this Plan as are consistent with the terms hereof and shall keep adequate records of its proceedings and acts with respect to the Plan. All interpretations and decisions made and other action taken by the Management Committee shall be conclusive and binding upon all parties having or claiming to have an interest under this Plan. The Company may appoint one or more persons from members of management whose functions shall be to act for the Company in the administration of the Plan and to establish rules and regulations for such administration.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 The Plan is intended to provide compensation and benefits that are not subject to the tax imposed under Section 409A of the Code and shall be interpreted and administered to the extent possible in accordance with such intent.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10. Claims Procedure</w:t>
      </w:r>
    </w:p>
    <w:p>
      <w:pPr>
        <w:spacing w:after="0" w:line="260" w:lineRule="exact"/>
        <w:rPr>
          <w:sz w:val="20"/>
          <w:szCs w:val="20"/>
          <w:color w:val="auto"/>
        </w:rPr>
      </w:pPr>
    </w:p>
    <w:p>
      <w:pPr>
        <w:jc w:val="both"/>
        <w:ind w:left="1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Claims Procedure</w:t>
      </w:r>
      <w:r>
        <w:rPr>
          <w:rFonts w:ascii="Times New Roman" w:cs="Times New Roman" w:eastAsia="Times New Roman" w:hAnsi="Times New Roman"/>
          <w:sz w:val="22"/>
          <w:szCs w:val="22"/>
          <w:color w:val="auto"/>
        </w:rPr>
        <w:t>. If any person (hereinafter called the “Claimant”) feels that he or she is being denied a benefit to which he or she is entitled under this Plan, such Claimant may file a written claim for said benefit with the Management Committee. Within 60 days of the receipt of such claim (or within 120 days of the receipt of such claim if special circumstances require an extension of the time for processing the claim, in which event the Management Committee or its designated representative will furnish the Claimant with a written notice indicating the special circumstances and the time by which a determination with respect to the claim will be made), the Management Committee or its designated representative shall determine and notify the Claimant as to whether he or she is entitled to such benefit. Such notification shall be in writing and, if denying the claim for benefit, shall set forth the specific reason or reasons for the denial, make specific reference to the pertinent provisions of this Plan, and advise the Claimant that he or she may, within 60 days of the receipt of such notice, in writing request the Management Committee to review such denial. In connection with such request for review, the Claimant and/or his or her duly authorized representative may examine copies of any relevant documents and submit information and comments in writing to support the granting of the benefit being claimed. The final decision of the Management Committee with respect to the claim being reviewed shall be made within 60 days following the receipt of the Claimant's request for review unless special circumstances</w:t>
      </w:r>
    </w:p>
    <w:p>
      <w:pPr>
        <w:spacing w:after="0" w:line="19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1"/>
          <w:szCs w:val="21"/>
          <w:color w:val="auto"/>
        </w:rPr>
        <w:t>require an extension of time for reviewing the claim, in which event (i) the Management Committee or its designated representative will furnish a written notice of such extension to the Claimant, and (ii) the final decision of the Management Committee shall be made as soon as possible but in no event later than 120 days after the receipt of the Claimant's request for review. The Management Committee shall in writing notify the Claimant of its final decision, again specifying the reasons therefor and the pertinent provisions of this Plan upon which such decision is based. The final decision of the Management Committee with respect to a claim shall be conclusive and binding upon the Claimant and all other parties having or claiming to have an interest in such claim.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11. Miscellaneous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420"/>
          </w:cols>
          <w:pgMar w:left="240" w:top="121"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39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In no event shall a Participating Employer make any payment under the Plan to any assignee or creditor of a Participant or his or her spouse. Prior to the time of payment under the Plan, a Participant or his or her spouse shall have no rights by way or anticipation or otherwise to assign or otherwise dispose of any interest under the Plan, nor shall rights be assigned or transferred by operation of law (except pursuant to a qualified domestic relations order within the meaning of Section 414(q) of the Code).</w:t>
      </w:r>
    </w:p>
    <w:p>
      <w:pPr>
        <w:spacing w:after="0" w:line="22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The Board of Directors of the Company or the Compensation and Human Resources Committee of said Board of Directors shall have the right and power at any time and from time to time to amend this Plan, in whole or in part, on behalf of all Participating Employers, and at any time to terminate this Plan or any Participating Employer’s participation hereunder; provided, however, that no such amendment or termination shall reduce the amount actually credited to a Participant’s Account under this Plan on the date of such amendment or termination, or further defer the due date for the payment of such amount, without the consent of the affected Participant.</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Employment Noncontractual</w:t>
      </w:r>
      <w:r>
        <w:rPr>
          <w:rFonts w:ascii="Times New Roman" w:cs="Times New Roman" w:eastAsia="Times New Roman" w:hAnsi="Times New Roman"/>
          <w:sz w:val="22"/>
          <w:szCs w:val="22"/>
          <w:color w:val="auto"/>
        </w:rPr>
        <w:t>. The establishment of this Plan shall not enlarge or otherwise affect the terms of any Participant’s employment with his or her employer, and such employer may terminate the employment of such Participant as freely and with the same effect as if this Plan had not been established.</w:t>
      </w:r>
    </w:p>
    <w:p>
      <w:pPr>
        <w:spacing w:after="0" w:line="21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Plan shall be governed by and construed in accordance with the internal laws (and not the principles relating to conflicts of laws) of the State of Texas, except where superseded by federal law.</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420"/>
          </w:cols>
          <w:pgMar w:left="240" w:top="122"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this Plan has been executed this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December, 2018, to be effective as of January 1, 2019.</w:t>
      </w:r>
    </w:p>
    <w:p>
      <w:pPr>
        <w:spacing w:after="0" w:line="20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LENNOX INTERNATIONAL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By:/s/ Daniel M. Sessa</w:t>
      </w:r>
    </w:p>
    <w:p>
      <w:pPr>
        <w:spacing w:after="0" w:line="28" w:lineRule="exact"/>
        <w:rPr>
          <w:sz w:val="20"/>
          <w:szCs w:val="20"/>
          <w:color w:val="auto"/>
        </w:rPr>
      </w:pPr>
    </w:p>
    <w:p>
      <w:pPr>
        <w:ind w:left="4880"/>
        <w:spacing w:after="0"/>
        <w:tabs>
          <w:tab w:leader="none" w:pos="5580" w:val="left"/>
        </w:tabs>
        <w:rPr>
          <w:sz w:val="20"/>
          <w:szCs w:val="20"/>
          <w:color w:val="auto"/>
        </w:rPr>
      </w:pPr>
      <w:r>
        <w:rPr>
          <w:rFonts w:ascii="Times New Roman" w:cs="Times New Roman" w:eastAsia="Times New Roman" w:hAnsi="Times New Roman"/>
          <w:sz w:val="22"/>
          <w:szCs w:val="22"/>
          <w:color w:val="auto"/>
        </w:rPr>
        <w:t>Title:</w:t>
        <w:tab/>
        <w:t>Executive Vice President and</w:t>
      </w:r>
    </w:p>
    <w:p>
      <w:pPr>
        <w:spacing w:after="0" w:line="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420"/>
          </w:cols>
          <w:pgMar w:left="240" w:top="122" w:right="239" w:bottom="1440" w:gutter="0" w:footer="0" w:header="0"/>
        </w:sectPr>
      </w:pPr>
    </w:p>
    <w:bookmarkStart w:id="128" w:name="page129"/>
    <w:bookmarkEnd w:id="12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Lennox International Inc. Subsidiaries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are the subsidiaries of Lennox International Inc. , as of February 1, 2019, and the states or jurisdictions in which they are organized. Subsidiaries are indented below their immediate parent entity. The names of certain subsidiaries have been omitted because, considered in the aggregate as a single subsidiary, they would not constitute, as of the end of the year covered by this report, a “significant subsidiary” as that term is defined in Rule 1-02(w) of Regulation S-X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72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Lennox Industries Inc.</w:t>
            </w:r>
          </w:p>
        </w:tc>
        <w:tc>
          <w:tcPr>
            <w:tcW w:w="28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SEE ANNEX A</w:t>
            </w:r>
          </w:p>
        </w:tc>
        <w:tc>
          <w:tcPr>
            <w:tcW w:w="28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56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Heatcraft Inc.</w:t>
            </w:r>
          </w:p>
        </w:tc>
        <w:tc>
          <w:tcPr>
            <w:tcW w:w="28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Bohn de Mexico S.A. de C.V.</w:t>
            </w:r>
          </w:p>
        </w:tc>
        <w:tc>
          <w:tcPr>
            <w:tcW w:w="28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50%</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Frigus-Bohn S.A. de C.V.</w:t>
            </w:r>
          </w:p>
        </w:tc>
        <w:tc>
          <w:tcPr>
            <w:tcW w:w="28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50%</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Kysor/Warren de Mexico, S. de R.L. de C.V.</w:t>
            </w:r>
          </w:p>
        </w:tc>
        <w:tc>
          <w:tcPr>
            <w:tcW w:w="28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0.00005%</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Kysor/Warren Services, S. de R.L. de C.V.</w:t>
            </w:r>
          </w:p>
        </w:tc>
        <w:tc>
          <w:tcPr>
            <w:tcW w:w="28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Kysor-Warren Instalaciones, S. de R.L. de C.V.</w:t>
            </w:r>
          </w:p>
        </w:tc>
        <w:tc>
          <w:tcPr>
            <w:tcW w:w="28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Distributor Products LLC</w:t>
            </w:r>
          </w:p>
        </w:tc>
        <w:tc>
          <w:tcPr>
            <w:tcW w:w="28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Heatcraft Refrigeration Products LLC</w:t>
            </w:r>
          </w:p>
        </w:tc>
        <w:tc>
          <w:tcPr>
            <w:tcW w:w="28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Kysor/Warren de Mexico, S. de R.L. de C.V.</w:t>
            </w:r>
          </w:p>
        </w:tc>
        <w:tc>
          <w:tcPr>
            <w:tcW w:w="28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99.99995%</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Kysor/Warren Services, S. de R.L. de C.V.</w:t>
            </w:r>
          </w:p>
        </w:tc>
        <w:tc>
          <w:tcPr>
            <w:tcW w:w="28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99%</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Advanced Heat Transfer LLC</w:t>
            </w:r>
          </w:p>
        </w:tc>
        <w:tc>
          <w:tcPr>
            <w:tcW w:w="28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50%</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56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Heatcraft Technologies Inc.</w:t>
            </w:r>
          </w:p>
        </w:tc>
        <w:tc>
          <w:tcPr>
            <w:tcW w:w="28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Alliance Compressor LLC</w:t>
            </w:r>
          </w:p>
        </w:tc>
        <w:tc>
          <w:tcPr>
            <w:tcW w:w="28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24.5%</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891"/>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Lennox Procurement Company Inc.</w:t>
            </w:r>
          </w:p>
        </w:tc>
        <w:tc>
          <w:tcPr>
            <w:tcW w:w="28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320"/>
          </w:cols>
          <w:pgMar w:left="240" w:top="576" w:right="339" w:bottom="1440" w:gutter="0" w:footer="0" w:header="0"/>
        </w:sectPr>
      </w:pPr>
    </w:p>
    <w:bookmarkStart w:id="129" w:name="page130"/>
    <w:bookmarkEnd w:id="129"/>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t>Lennox Industries Inc. Subsidiaries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0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r>
      <w:tr>
        <w:trPr>
          <w:trHeight w:val="27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Allied Air Enterprises LLC</w:t>
            </w:r>
          </w:p>
        </w:tc>
        <w:tc>
          <w:tcPr>
            <w:tcW w:w="3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Lennox Global Ltd.</w:t>
            </w:r>
          </w:p>
        </w:tc>
        <w:tc>
          <w:tcPr>
            <w:tcW w:w="3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SEE ANNEX B</w:t>
            </w:r>
          </w:p>
        </w:tc>
        <w:tc>
          <w:tcPr>
            <w:tcW w:w="33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54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LPAC Corp.</w:t>
            </w:r>
          </w:p>
        </w:tc>
        <w:tc>
          <w:tcPr>
            <w:tcW w:w="3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Delaware</w:t>
            </w:r>
          </w:p>
        </w:tc>
      </w:tr>
      <w:tr>
        <w:trPr>
          <w:trHeight w:val="54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LGL Europe Holding Co</w:t>
            </w:r>
          </w:p>
        </w:tc>
        <w:tc>
          <w:tcPr>
            <w:tcW w:w="3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43.2%</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SEE ANNEX C</w:t>
            </w:r>
          </w:p>
        </w:tc>
        <w:tc>
          <w:tcPr>
            <w:tcW w:w="33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55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Lennox National Account Services Inc.</w:t>
            </w:r>
          </w:p>
        </w:tc>
        <w:tc>
          <w:tcPr>
            <w:tcW w:w="3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Lennox National Account Services LLC</w:t>
            </w:r>
          </w:p>
        </w:tc>
        <w:tc>
          <w:tcPr>
            <w:tcW w:w="3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Florida</w:t>
            </w:r>
          </w:p>
        </w:tc>
      </w:tr>
    </w:tbl>
    <w:p>
      <w:pPr>
        <w:sectPr>
          <w:pgSz w:w="11900" w:h="16838" w:orient="portrait"/>
          <w:cols w:equalWidth="0" w:num="1">
            <w:col w:w="9779"/>
          </w:cols>
          <w:pgMar w:left="680" w:top="576" w:right="1440"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Lennox Global Ltd. Subsidiaries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Lennox (Shanghai) Refrigeration Technology Consulting Co Ltd.</w:t>
            </w:r>
          </w:p>
        </w:tc>
        <w:tc>
          <w:tcPr>
            <w:tcW w:w="2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55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LGL Europe Holding Co.</w:t>
            </w:r>
          </w:p>
        </w:tc>
        <w:tc>
          <w:tcPr>
            <w:tcW w:w="2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56.8%</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SEE ANNEX C</w:t>
            </w:r>
          </w:p>
        </w:tc>
        <w:tc>
          <w:tcPr>
            <w:tcW w:w="23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54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LGL Australia (US) Inc.</w:t>
            </w:r>
          </w:p>
        </w:tc>
        <w:tc>
          <w:tcPr>
            <w:tcW w:w="2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82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LII Comercial de Mexico, S. de R.L. de C.V.</w:t>
            </w:r>
          </w:p>
        </w:tc>
        <w:tc>
          <w:tcPr>
            <w:tcW w:w="2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99.97%</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55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Lennox India Technology Centre Private Ltd.</w:t>
            </w:r>
          </w:p>
        </w:tc>
        <w:tc>
          <w:tcPr>
            <w:tcW w:w="2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0.0005%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w:t>
            </w:r>
          </w:p>
        </w:tc>
      </w:tr>
    </w:tbl>
    <w:p>
      <w:pPr>
        <w:sectPr>
          <w:pgSz w:w="11900" w:h="16838" w:orient="portrait"/>
          <w:cols w:equalWidth="0" w:num="1">
            <w:col w:w="9340"/>
          </w:cols>
          <w:pgMar w:left="1280" w:top="576" w:right="127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LGL Europe Holding Co. Subsidiaries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399"/>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7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LGL Holland B.V.</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Lennox Benelux N.V./S.A.</w:t>
            </w:r>
          </w:p>
        </w:tc>
        <w:tc>
          <w:tcPr>
            <w:tcW w:w="1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0.024%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Lennox Industries (Canada) Ltd.</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6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LII Mexico Holdings Ltd.</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r>
      <w:tr>
        <w:trPr>
          <w:trHeight w:val="270"/>
        </w:trPr>
        <w:tc>
          <w:tcPr>
            <w:tcW w:w="6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LII United Products, S. de R.L. de C.V.</w:t>
            </w:r>
          </w:p>
        </w:tc>
        <w:tc>
          <w:tcPr>
            <w:tcW w:w="1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99.99%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6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LII Comercial de Mexico,S. de R.L. de C.V.</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0.03%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640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Lennox Mexico Minority Holdings LLC</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00" w:type="dxa"/>
            <w:vAlign w:val="bottom"/>
            <w:gridSpan w:val="2"/>
          </w:tcPr>
          <w:p>
            <w:pPr>
              <w:jc w:val="right"/>
              <w:ind w:right="2610"/>
              <w:spacing w:after="0"/>
              <w:rPr>
                <w:sz w:val="20"/>
                <w:szCs w:val="20"/>
                <w:color w:val="auto"/>
              </w:rPr>
            </w:pPr>
            <w:r>
              <w:rPr>
                <w:rFonts w:ascii="Times New Roman" w:cs="Times New Roman" w:eastAsia="Times New Roman" w:hAnsi="Times New Roman"/>
                <w:sz w:val="18"/>
                <w:szCs w:val="18"/>
                <w:color w:val="auto"/>
              </w:rPr>
              <w:t>LII United Products, S. de R.L. de C.V.</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0.01%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567"/>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Lennox India Technology Centre Private Ltd.</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99.9995%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w:t>
            </w:r>
          </w:p>
        </w:tc>
      </w:tr>
      <w:tr>
        <w:trPr>
          <w:trHeight w:val="567"/>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Etablissements Brancher S.A.S.</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6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LGL France S.A.S.</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6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Hyfra Ind. GmbH</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0.1%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6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Lennox Refac, S.A.</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0.02%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r>
      <w:tr>
        <w:trPr>
          <w:trHeight w:val="567"/>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LGL Germany GmbH</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6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Hyfra Ind. GmbH</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99.9%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6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Lennox Deutschland GmbH</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6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LGL Deutschland GmbH</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554"/>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Lennox Global Spain S.L.</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6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LGL Refrigeration Spain S.A.</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6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Lennox Refac, S.A.</w:t>
            </w:r>
          </w:p>
        </w:tc>
        <w:tc>
          <w:tcPr>
            <w:tcW w:w="1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99.98%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6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Lennox Portugal Lda</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Portugal</w:t>
            </w:r>
          </w:p>
        </w:tc>
      </w:tr>
      <w:tr>
        <w:trPr>
          <w:trHeight w:val="540"/>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Lennox Polska sp. z.o.o.</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Poland</w:t>
            </w:r>
          </w:p>
        </w:tc>
      </w:tr>
      <w:tr>
        <w:trPr>
          <w:trHeight w:val="540"/>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Lennox Benelux B.V.</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Lennox Benelux N.V./S.A.</w:t>
            </w:r>
          </w:p>
        </w:tc>
        <w:tc>
          <w:tcPr>
            <w:tcW w:w="1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99.976%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Belgium</w:t>
            </w:r>
          </w:p>
        </w:tc>
      </w:tr>
      <w:tr>
        <w:trPr>
          <w:trHeight w:val="554"/>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HCF-Lennox Limited</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Lennox Industries</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540"/>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Lennox NAO</w:t>
            </w:r>
          </w:p>
        </w:tc>
        <w:tc>
          <w:tcPr>
            <w:tcW w:w="1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99.5%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Russia</w:t>
            </w:r>
          </w:p>
        </w:tc>
      </w:tr>
    </w:tbl>
    <w:p>
      <w:pPr>
        <w:sectPr>
          <w:pgSz w:w="11900" w:h="16838" w:orient="portrait"/>
          <w:cols w:equalWidth="0" w:num="1">
            <w:col w:w="9820"/>
          </w:cols>
          <w:pgMar w:left="1040" w:top="576" w:right="10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Lennox International Inc.:</w:t>
      </w:r>
    </w:p>
    <w:p>
      <w:pPr>
        <w:spacing w:after="0" w:line="200" w:lineRule="exact"/>
        <w:rPr>
          <w:sz w:val="20"/>
          <w:szCs w:val="20"/>
          <w:color w:val="auto"/>
        </w:rPr>
      </w:pPr>
    </w:p>
    <w:p>
      <w:pPr>
        <w:spacing w:after="0" w:line="3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 xml:space="preserve">We consent to the incorporation by reference in the registration statements (Nos. 333-181369, 333-127540, 333-91130, 333-91128, 333-71416, 333-60122, 333-52046, 333-86989, 333-83961, and 333-83959) on Form S-8 of Lennox International Inc. and subsidiaries of our report dated February 19, 2019, with respect to the consolidated balance sheets of Lennox International Inc. and subsidiaries as of December 31, 2018 and 2017, the related consolidated statements of operations, comprehensive (loss) income, stockholders’ (deficit) equity, and cash flows for each of the years in the three-year period ended December 31, 2018, and the related notes and schedule II - Valuation and Qualifying Accounts and Reserves (collectively, the "consolidated financial statements"), and the effectiveness of internal control over financial reporting as of December 31, 2018, which report appears in the December 31, 2018 annual report on Form 10-K of Lennox International Inc. Our report refers to the adoption of Accounting Standards Update No. 2014-09, </w:t>
      </w:r>
      <w:r>
        <w:rPr>
          <w:rFonts w:ascii="Times New Roman" w:cs="Times New Roman" w:eastAsia="Times New Roman" w:hAnsi="Times New Roman"/>
          <w:sz w:val="19"/>
          <w:szCs w:val="19"/>
          <w:i w:val="1"/>
          <w:iCs w:val="1"/>
          <w:color w:val="auto"/>
        </w:rPr>
        <w:t>Revenue from Contracts with Customers (Topic 606)</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(signed) KPMG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19, 2019</w:t>
      </w:r>
    </w:p>
    <w:p>
      <w:pPr>
        <w:sectPr>
          <w:pgSz w:w="11900" w:h="16838" w:orient="portrait"/>
          <w:cols w:equalWidth="0" w:num="1">
            <w:col w:w="11420"/>
          </w:cols>
          <w:pgMar w:left="240" w:top="657" w:right="2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M. Bluedorn, certify that:</w:t>
      </w:r>
    </w:p>
    <w:p>
      <w:pPr>
        <w:spacing w:after="0" w:line="117"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Lennox International Inc.;</w:t>
      </w:r>
    </w:p>
    <w:p>
      <w:pPr>
        <w:spacing w:after="0" w:line="117"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2019</w:t>
      </w:r>
    </w:p>
    <w:p>
      <w:pPr>
        <w:spacing w:after="0" w:line="17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Todd M. Bluedorn</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 Reitmeier, certify that:</w:t>
      </w:r>
    </w:p>
    <w:p>
      <w:pPr>
        <w:spacing w:after="0" w:line="117"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Lennox International Inc.;</w:t>
      </w:r>
    </w:p>
    <w:p>
      <w:pPr>
        <w:spacing w:after="0" w:line="117"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2019</w:t>
      </w:r>
    </w:p>
    <w:p>
      <w:pPr>
        <w:spacing w:after="0" w:line="17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Lennox International Inc. (the “Company”) on Form 10-K for the fiscal year ended December 31, 2018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3"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301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Todd M. Bluedorn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301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2019</w:t>
      </w:r>
    </w:p>
    <w:p>
      <w:pPr>
        <w:spacing w:after="0" w:line="171"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decimal"/>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
      <w:numFmt w:val="bullet"/>
      <w:start w:val="1"/>
    </w:lvl>
    <w:lvl w:ilvl="1">
      <w:lvlJc w:val="left"/>
      <w:lvlText w:val="•"/>
      <w:numFmt w:val="bullet"/>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1"/>
    </w:lvl>
    <w:lvl w:ilvl="1">
      <w:lvlJc w:val="left"/>
      <w:lvlText w:val="(%2)"/>
      <w:numFmt w:val="decimal"/>
      <w:start w:val="1"/>
    </w:lvl>
  </w:abstractNum>
  <w:abstractNum w:abstractNumId="11">
    <w:nsid w:val="580BD78F"/>
    <w:multiLevelType w:val="hybridMultilevel"/>
    <w:lvl w:ilvl="0">
      <w:lvlJc w:val="left"/>
      <w:lvlText w:val="%1."/>
      <w:numFmt w:val="decimal"/>
      <w:start w:val="10"/>
    </w:lvl>
    <w:lvl w:ilvl="1">
      <w:lvlJc w:val="left"/>
      <w:lvlText w:val="%2"/>
      <w:numFmt w:val="decimal"/>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6"/>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decimal"/>
      <w:start w:val="2"/>
    </w:lvl>
  </w:abstractNum>
  <w:abstractNum w:abstractNumId="23">
    <w:nsid w:val="542289EC"/>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4">
    <w:nsid w:val="6DE91B18"/>
    <w:multiLevelType w:val="hybridMultilevel"/>
    <w:lvl w:ilvl="0">
      <w:lvlJc w:val="left"/>
      <w:lvlText w:val="•"/>
      <w:numFmt w:val="bullet"/>
      <w:start w:val="1"/>
    </w:lvl>
    <w:lvl w:ilvl="1">
      <w:lvlJc w:val="left"/>
      <w:lvlText w:val="◦"/>
      <w:numFmt w:val="bullet"/>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decimal"/>
      <w:start w:val="3"/>
    </w:lvl>
  </w:abstractNum>
  <w:abstractNum w:abstractNumId="32">
    <w:nsid w:val="1BA026FA"/>
    <w:multiLevelType w:val="hybridMultilevel"/>
    <w:lvl w:ilvl="0">
      <w:lvlJc w:val="left"/>
      <w:lvlText w:val="%1."/>
      <w:numFmt w:val="decimal"/>
      <w:start w:val="1"/>
    </w:lvl>
    <w:lvl w:ilvl="1">
      <w:lvlJc w:val="left"/>
      <w:lvlText w:val="(%2)"/>
      <w:numFmt w:val="lowerLetter"/>
      <w:start w:val="1"/>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lowerLetter"/>
      <w:start w:val="2"/>
    </w:lvl>
  </w:abstractNum>
  <w:abstractNum w:abstractNumId="35">
    <w:nsid w:val="12E685FB"/>
    <w:multiLevelType w:val="hybridMultilevel"/>
    <w:lvl w:ilvl="0">
      <w:lvlJc w:val="left"/>
      <w:lvlText w:val="%1."/>
      <w:numFmt w:val="decimal"/>
      <w:start w:val="3"/>
    </w:lvl>
    <w:lvl w:ilvl="1">
      <w:lvlJc w:val="left"/>
      <w:lvlText w:val="(%2)"/>
      <w:numFmt w:val="lowerLetter"/>
      <w:start w:val="1"/>
    </w:lvl>
  </w:abstractNum>
  <w:abstractNum w:abstractNumId="36">
    <w:nsid w:val="70C6A529"/>
    <w:multiLevelType w:val="hybridMultilevel"/>
    <w:lvl w:ilvl="0">
      <w:lvlJc w:val="left"/>
      <w:lvlText w:val="%1"/>
      <w:numFmt w:val="decimal"/>
      <w:start w:val="1"/>
    </w:lvl>
    <w:lvl w:ilvl="1">
      <w:lvlJc w:val="left"/>
      <w:lvlText w:val="(%2)"/>
      <w:numFmt w:val="lowerLetter"/>
      <w:start w:val="2"/>
    </w:lvl>
  </w:abstractNum>
  <w:abstractNum w:abstractNumId="37">
    <w:nsid w:val="520EEDD1"/>
    <w:multiLevelType w:val="hybridMultilevel"/>
    <w:lvl w:ilvl="0">
      <w:lvlJc w:val="left"/>
      <w:lvlText w:val="%1."/>
      <w:numFmt w:val="decimal"/>
      <w:start w:val="4"/>
    </w:lvl>
    <w:lvl w:ilvl="1">
      <w:lvlJc w:val="left"/>
      <w:lvlText w:val="(%2)"/>
      <w:numFmt w:val="lowerLetter"/>
      <w:start w:val="1"/>
    </w:lvl>
  </w:abstractNum>
  <w:abstractNum w:abstractNumId="38">
    <w:nsid w:val="374A3FE6"/>
    <w:multiLevelType w:val="hybridMultilevel"/>
    <w:lvl w:ilvl="0">
      <w:lvlJc w:val="left"/>
      <w:lvlText w:val="%1"/>
      <w:numFmt w:val="lowerLetter"/>
      <w:start w:val="1"/>
    </w:lvl>
    <w:lvl w:ilvl="1">
      <w:lvlJc w:val="left"/>
      <w:lvlText w:val="(%2)"/>
      <w:numFmt w:val="lowerLetter"/>
      <w:start w:val="3"/>
    </w:lvl>
  </w:abstractNum>
  <w:abstractNum w:abstractNumId="39">
    <w:nsid w:val="4F4EF005"/>
    <w:multiLevelType w:val="hybridMultilevel"/>
    <w:lvl w:ilvl="0">
      <w:lvlJc w:val="left"/>
      <w:lvlText w:val="(%1)"/>
      <w:numFmt w:val="lowerLetter"/>
      <w:start w:val="61"/>
    </w:lvl>
    <w:lvl w:ilvl="1">
      <w:lvlJc w:val="left"/>
      <w:lvlText w:val="(%2)"/>
      <w:numFmt w:val="lowerLetter"/>
      <w:start w:val="5"/>
    </w:lvl>
  </w:abstractNum>
  <w:abstractNum w:abstractNumId="40">
    <w:nsid w:val="23F9C13C"/>
    <w:multiLevelType w:val="hybridMultilevel"/>
    <w:lvl w:ilvl="0">
      <w:lvlJc w:val="left"/>
      <w:lvlText w:val="%1."/>
      <w:numFmt w:val="decimal"/>
      <w:start w:val="6"/>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decimal"/>
      <w:start w:val="1"/>
    </w:lvl>
    <w:lvl w:ilvl="1">
      <w:lvlJc w:val="left"/>
      <w:lvlText w:val="(%2)"/>
      <w:numFmt w:val="lowerLetter"/>
      <w:start w:val="2"/>
    </w:lvl>
  </w:abstractNum>
  <w:abstractNum w:abstractNumId="43">
    <w:nsid w:val="39386575"/>
    <w:multiLevelType w:val="hybridMultilevel"/>
    <w:lvl w:ilvl="0">
      <w:lvlJc w:val="left"/>
      <w:lvlText w:val="(%1)"/>
      <w:numFmt w:val="decimal"/>
      <w:start w:val="1"/>
    </w:lvl>
    <w:lvl w:ilvl="1">
      <w:lvlJc w:val="left"/>
      <w:lvlText w:val="%2"/>
      <w:numFmt w:val="lowerLetter"/>
      <w:start w:val="1"/>
    </w:lvl>
  </w:abstractNum>
  <w:abstractNum w:abstractNumId="44">
    <w:nsid w:val="1CF10FD8"/>
    <w:multiLevelType w:val="hybridMultilevel"/>
    <w:lvl w:ilvl="0">
      <w:lvlJc w:val="left"/>
      <w:lvlText w:val="(%1)"/>
      <w:numFmt w:val="lowerLetter"/>
      <w:start w:val="3"/>
    </w:lvl>
  </w:abstractNum>
  <w:abstractNum w:abstractNumId="45">
    <w:nsid w:val="180115BE"/>
    <w:multiLevelType w:val="hybridMultilevel"/>
    <w:lvl w:ilvl="0">
      <w:lvlJc w:val="left"/>
      <w:lvlText w:val="%1."/>
      <w:numFmt w:val="decimal"/>
      <w:start w:val="7"/>
    </w:lvl>
  </w:abstractNum>
  <w:abstractNum w:abstractNumId="46">
    <w:nsid w:val="235BA861"/>
    <w:multiLevelType w:val="hybridMultilevel"/>
    <w:lvl w:ilvl="0">
      <w:lvlJc w:val="left"/>
      <w:lvlText w:val="%1."/>
      <w:numFmt w:val="decimal"/>
      <w:start w:val="9"/>
    </w:lvl>
  </w:abstractNum>
  <w:abstractNum w:abstractNumId="47">
    <w:nsid w:val="47398C89"/>
    <w:multiLevelType w:val="hybridMultilevel"/>
    <w:lvl w:ilvl="0">
      <w:lvlJc w:val="left"/>
      <w:lvlText w:val="%1."/>
      <w:numFmt w:val="decimal"/>
      <w:start w:val="10"/>
    </w:lvl>
  </w:abstractNum>
  <w:abstractNum w:abstractNumId="48">
    <w:nsid w:val="354FE9F9"/>
    <w:multiLevelType w:val="hybridMultilevel"/>
    <w:lvl w:ilvl="0">
      <w:lvlJc w:val="left"/>
      <w:lvlText w:val="%1."/>
      <w:numFmt w:val="decimal"/>
      <w:start w:val="16"/>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5"/>
    </w:lvl>
  </w:abstractNum>
  <w:abstractNum w:abstractNumId="51">
    <w:nsid w:val="D34B6A8"/>
    <w:multiLevelType w:val="hybridMultilevel"/>
    <w:lvl w:ilvl="0">
      <w:lvlJc w:val="left"/>
      <w:lvlText w:val="%1."/>
      <w:numFmt w:val="decimal"/>
      <w:start w:val="9"/>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2"/>
    </w:lvl>
  </w:abstractNum>
  <w:abstractNum w:abstractNumId="54">
    <w:nsid w:val="61574095"/>
    <w:multiLevelType w:val="hybridMultilevel"/>
    <w:lvl w:ilvl="0">
      <w:lvlJc w:val="left"/>
      <w:lvlText w:val="%1."/>
      <w:numFmt w:val="decimal"/>
      <w:start w:val="3"/>
    </w:lvl>
  </w:abstractNum>
  <w:abstractNum w:abstractNumId="55">
    <w:nsid w:val="7E0C57B1"/>
    <w:multiLevelType w:val="hybridMultilevel"/>
    <w:lvl w:ilvl="0">
      <w:lvlJc w:val="left"/>
      <w:lvlText w:val="%1."/>
      <w:numFmt w:val="decimal"/>
      <w:start w:val="4"/>
    </w:lvl>
  </w:abstractNum>
  <w:abstractNum w:abstractNumId="56">
    <w:nsid w:val="77AE35EB"/>
    <w:multiLevelType w:val="hybridMultilevel"/>
    <w:lvl w:ilvl="0">
      <w:lvlJc w:val="left"/>
      <w:lvlText w:val="%1."/>
      <w:numFmt w:val="decimal"/>
      <w:start w:val="6"/>
    </w:lvl>
  </w:abstractNum>
  <w:abstractNum w:abstractNumId="57">
    <w:nsid w:val="579BE4F1"/>
    <w:multiLevelType w:val="hybridMultilevel"/>
    <w:lvl w:ilvl="0">
      <w:lvlJc w:val="left"/>
      <w:lvlText w:val="%1."/>
      <w:numFmt w:val="decimal"/>
      <w:start w:val="7"/>
    </w:lvl>
  </w:abstractNum>
  <w:abstractNum w:abstractNumId="58">
    <w:nsid w:val="310C50B3"/>
    <w:multiLevelType w:val="hybridMultilevel"/>
    <w:lvl w:ilvl="0">
      <w:lvlJc w:val="left"/>
      <w:lvlText w:val="%1."/>
      <w:numFmt w:val="decimal"/>
      <w:start w:val="8"/>
    </w:lvl>
  </w:abstractNum>
  <w:abstractNum w:abstractNumId="59">
    <w:nsid w:val="5FF87E05"/>
    <w:multiLevelType w:val="hybridMultilevel"/>
    <w:lvl w:ilvl="0">
      <w:lvlJc w:val="left"/>
      <w:lvlText w:val="%1."/>
      <w:numFmt w:val="decimal"/>
      <w:start w:val="9"/>
    </w:lvl>
  </w:abstractNum>
  <w:abstractNum w:abstractNumId="60">
    <w:nsid w:val="2F305DEF"/>
    <w:multiLevelType w:val="hybridMultilevel"/>
    <w:lvl w:ilvl="0">
      <w:lvlJc w:val="left"/>
      <w:lvlText w:val="%1."/>
      <w:numFmt w:val="decimal"/>
      <w:start w:val="10"/>
    </w:lvl>
  </w:abstractNum>
  <w:abstractNum w:abstractNumId="61">
    <w:nsid w:val="25A70BF7"/>
    <w:multiLevelType w:val="hybridMultilevel"/>
    <w:lvl w:ilvl="0">
      <w:lvlJc w:val="left"/>
      <w:lvlText w:val="%1."/>
      <w:numFmt w:val="decimal"/>
      <w:start w:val="11"/>
    </w:lvl>
  </w:abstractNum>
  <w:abstractNum w:abstractNumId="62">
    <w:nsid w:val="1DBABF00"/>
    <w:multiLevelType w:val="hybridMultilevel"/>
    <w:lvl w:ilvl="0">
      <w:lvlJc w:val="left"/>
      <w:lvlText w:val="%1."/>
      <w:numFmt w:val="decimal"/>
      <w:start w:val="12"/>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lowerLetter"/>
      <w:start w:val="3"/>
    </w:lvl>
    <w:lvl w:ilvl="1">
      <w:lvlJc w:val="left"/>
      <w:lvlText w:val="-"/>
      <w:numFmt w:val="bullet"/>
      <w:start w:val="1"/>
    </w:lvl>
  </w:abstractNum>
  <w:abstractNum w:abstractNumId="65">
    <w:nsid w:val="1381823A"/>
    <w:multiLevelType w:val="hybridMultilevel"/>
    <w:lvl w:ilvl="0">
      <w:lvlJc w:val="left"/>
      <w:lvlText w:val="(%1)"/>
      <w:numFmt w:val="lowerLetter"/>
      <w:start w:val="14"/>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82" Type="http://schemas.openxmlformats.org/officeDocument/2006/relationships/hyperlink" Target="http://www.sec.gov/Archives/edgar/data/1069202/000119312513474576/d644537dex31.htm" TargetMode="External"/><Relationship Id="rId83" Type="http://schemas.openxmlformats.org/officeDocument/2006/relationships/hyperlink" Target="http://www.sec.gov/Archives/edgar/data/1017609/000095012310042399/d72548exv4w3.htm" TargetMode="External"/><Relationship Id="rId84" Type="http://schemas.openxmlformats.org/officeDocument/2006/relationships/hyperlink" Target="http://www.sec.gov/Archives/edgar/data/1017609/000095012310042399/d72548exv4w11.htm" TargetMode="External"/><Relationship Id="rId85" Type="http://schemas.openxmlformats.org/officeDocument/2006/relationships/hyperlink" Target="http://www.sec.gov/Archives/edgar/data/1069202/000119312516758285/d284193dex42.htm" TargetMode="External"/><Relationship Id="rId86" Type="http://schemas.openxmlformats.org/officeDocument/2006/relationships/hyperlink" Target="http://www.sec.gov/Archives/edgar/data/1069202/000119312516700842/d247473dex101.htm" TargetMode="External"/><Relationship Id="rId87" Type="http://schemas.openxmlformats.org/officeDocument/2006/relationships/hyperlink" Target="http://www.sec.gov/Archives/edgar/data/1069202/000106920217000013/lii-ex101_2017930x10qxfirs.htm" TargetMode="External"/><Relationship Id="rId88" Type="http://schemas.openxmlformats.org/officeDocument/2006/relationships/hyperlink" Target="http://www.sec.gov/Archives/edgar/data/1069202/000106920218000009/lii-ex102xsecondamendmentt.htm" TargetMode="External"/><Relationship Id="rId89" Type="http://schemas.openxmlformats.org/officeDocument/2006/relationships/hyperlink" Target="http://www.sec.gov/Archives/edgar/data/1069202/000106920219000002/exhibit10120188k.htm" TargetMode="External"/><Relationship Id="rId90" Type="http://schemas.openxmlformats.org/officeDocument/2006/relationships/hyperlink" Target="http://www.sec.gov/Archives/edgar/data/1069202/000119312513446894/d631191dex101.htm" TargetMode="External"/><Relationship Id="rId91" Type="http://schemas.openxmlformats.org/officeDocument/2006/relationships/hyperlink" Target="http://www.sec.gov/Archives/edgar/data/1069202/000119312514423340/d811279dex101.htm" TargetMode="External"/><Relationship Id="rId92" Type="http://schemas.openxmlformats.org/officeDocument/2006/relationships/hyperlink" Target="http://www.sec.gov/Archives/edgar/data/1069202/000119312514446884/d838484dex101.htm" TargetMode="External"/><Relationship Id="rId93" Type="http://schemas.openxmlformats.org/officeDocument/2006/relationships/hyperlink" Target="http://www.sec.gov/Archives/edgar/data/1069202/000119312515380409/d84922dex101.htm" TargetMode="External"/><Relationship Id="rId94" Type="http://schemas.openxmlformats.org/officeDocument/2006/relationships/hyperlink" Target="http://www.sec.gov/Archives/edgar/data/1069202/000119312516642453/d218961dex101.htm" TargetMode="External"/><Relationship Id="rId95" Type="http://schemas.openxmlformats.org/officeDocument/2006/relationships/hyperlink" Target="http://www.sec.gov/Archives/edgar/data/1069202/000119312517345550/d474880dex101.htm" TargetMode="External"/><Relationship Id="rId96" Type="http://schemas.openxmlformats.org/officeDocument/2006/relationships/hyperlink" Target="http://www.sec.gov/Archives/edgar/data/1069202/000106920218000009/lii-ex101xamendmentno7toam.htm" TargetMode="External"/><Relationship Id="rId97" Type="http://schemas.openxmlformats.org/officeDocument/2006/relationships/hyperlink" Target="http://www.sec.gov/Archives/edgar/data/1069202/000106920218000020/liiex101_2018930-10q.htm" TargetMode="External"/><Relationship Id="rId98" Type="http://schemas.openxmlformats.org/officeDocument/2006/relationships/hyperlink" Target="http://www.sec.gov/Archives/edgar/data/1069202/000119312513124282/d506512dex101.htm" TargetMode="External"/><Relationship Id="rId99" Type="http://schemas.openxmlformats.org/officeDocument/2006/relationships/hyperlink" Target="http://www.sec.gov/Archives/edgar/data/1069202/000119312513124282/d506512dex102.htm" TargetMode="External"/><Relationship Id="rId100" Type="http://schemas.openxmlformats.org/officeDocument/2006/relationships/hyperlink" Target="http://www.sec.gov/Archives/edgar/data/1069202/000119312513124282/d506512dex103.htm" TargetMode="External"/><Relationship Id="rId101" Type="http://schemas.openxmlformats.org/officeDocument/2006/relationships/hyperlink" Target="http://www.sec.gov/Archives/edgar/data/1069202/000095012310051306/c01426exv10w1.htm" TargetMode="External"/><Relationship Id="rId102" Type="http://schemas.openxmlformats.org/officeDocument/2006/relationships/hyperlink" Target="http://www.sec.gov/Archives/edgar/data/1069202/000136231008008300/c78431exv10w3.htm" TargetMode="External"/><Relationship Id="rId103" Type="http://schemas.openxmlformats.org/officeDocument/2006/relationships/hyperlink" Target="http://www.sec.gov/Archives/edgar/data/1069202/000136231008008300/c78431exv10w2.htm" TargetMode="External"/><Relationship Id="rId104" Type="http://schemas.openxmlformats.org/officeDocument/2006/relationships/hyperlink" Target="http://www.sec.gov/Archives/edgar/data/1069202/000095013407004266/d43577exv10w30.htm" TargetMode="External"/><Relationship Id="rId105" Type="http://schemas.openxmlformats.org/officeDocument/2006/relationships/hyperlink" Target="http://www.sec.gov/Archives/edgar/data/1069202/000136231007003352/c71756exv10w2.htm" TargetMode="External"/><Relationship Id="rId106" Type="http://schemas.openxmlformats.org/officeDocument/2006/relationships/hyperlink" Target="http://www.sec.gov/Archives/edgar/data/1069202/000119312512304640/d381083dex101.htm" TargetMode="External"/><Relationship Id="rId107" Type="http://schemas.openxmlformats.org/officeDocument/2006/relationships/hyperlink" Target="http://www.sec.gov/Archives/edgar/data/1069202/000136231008008300/c78431exv10w1.htm" TargetMode="External"/><Relationship Id="rId108" Type="http://schemas.openxmlformats.org/officeDocument/2006/relationships/hyperlink" Target="http://www.sec.gov/Archives/edgar/data/1069202/000095012309071289/c93749exv10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2019-12-28T16:31:08Z</dcterms:created>
  <dcterms:modified xsi:type="dcterms:W3CDTF">2019-12-28T16:31:08Z</dcterms:modified>
</cp:coreProperties>
</file>