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46"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Washington, D. C. 20549</w:t>
      </w:r>
    </w:p>
    <w:p>
      <w:pPr>
        <w:spacing w:after="0" w:line="5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7" w:lineRule="exact"/>
        <w:rPr>
          <w:sz w:val="24"/>
          <w:szCs w:val="24"/>
          <w:color w:val="auto"/>
        </w:rPr>
      </w:pPr>
    </w:p>
    <w:p>
      <w:pPr>
        <w:ind w:left="2280"/>
        <w:spacing w:after="0"/>
        <w:rPr>
          <w:sz w:val="20"/>
          <w:szCs w:val="20"/>
          <w:color w:val="auto"/>
        </w:rPr>
      </w:pPr>
      <w:r>
        <w:rPr>
          <w:rFonts w:ascii="Arial" w:cs="Arial" w:eastAsia="Arial" w:hAnsi="Arial"/>
          <w:sz w:val="25"/>
          <w:szCs w:val="25"/>
          <w:b w:val="1"/>
          <w:bCs w:val="1"/>
          <w:color w:val="auto"/>
        </w:rPr>
        <w:t>FOR THE QUARTERLY PERIOD ENDED March 31, 2018</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8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6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90"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 Exchange Act.</w:t>
      </w:r>
    </w:p>
    <w:p>
      <w:pPr>
        <w:spacing w:after="0" w:line="235"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jc w:val="center"/>
              <w:ind w:right="1370"/>
              <w:spacing w:after="0"/>
              <w:rPr>
                <w:sz w:val="20"/>
                <w:szCs w:val="20"/>
                <w:color w:val="auto"/>
              </w:rPr>
            </w:pPr>
            <w:r>
              <w:rPr>
                <w:rFonts w:ascii="Arial" w:cs="Arial" w:eastAsia="Arial" w:hAnsi="Arial"/>
                <w:sz w:val="18"/>
                <w:szCs w:val="18"/>
                <w:color w:val="auto"/>
              </w:rPr>
              <w:t>[X]</w:t>
            </w:r>
          </w:p>
        </w:tc>
        <w:tc>
          <w:tcPr>
            <w:tcW w:w="4380" w:type="dxa"/>
            <w:vAlign w:val="bottom"/>
          </w:tcPr>
          <w:p>
            <w:pPr>
              <w:ind w:left="20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jc w:val="right"/>
              <w:ind w:right="1950"/>
              <w:spacing w:after="0"/>
              <w:rPr>
                <w:sz w:val="20"/>
                <w:szCs w:val="20"/>
                <w:color w:val="auto"/>
              </w:rPr>
            </w:pPr>
            <w:r>
              <w:rPr>
                <w:rFonts w:ascii="Arial" w:cs="Arial" w:eastAsia="Arial" w:hAnsi="Arial"/>
                <w:sz w:val="18"/>
                <w:szCs w:val="18"/>
                <w:color w:val="auto"/>
              </w:rPr>
              <w:t>[ ]</w:t>
            </w:r>
          </w:p>
        </w:tc>
        <w:tc>
          <w:tcPr>
            <w:tcW w:w="438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38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 w:lineRule="exact"/>
        <w:rPr>
          <w:sz w:val="24"/>
          <w:szCs w:val="24"/>
          <w:color w:val="auto"/>
        </w:rPr>
      </w:pPr>
    </w:p>
    <w:p>
      <w:pPr>
        <w:ind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5" w:lineRule="exact"/>
        <w:rPr>
          <w:sz w:val="24"/>
          <w:szCs w:val="24"/>
          <w:color w:val="auto"/>
        </w:rPr>
      </w:pPr>
    </w:p>
    <w:p>
      <w:pPr>
        <w:ind w:left="260" w:right="15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 As of April 13, 2018, the number of shares outstanding of the registrant’s common stock, par value $.01 per share, was 41,242,755.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80" w:type="dxa"/>
            <w:vAlign w:val="bottom"/>
            <w:gridSpan w:val="5"/>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sz w:val="20"/>
                <w:szCs w:val="20"/>
                <w:color w:val="auto"/>
              </w:rPr>
            </w:pPr>
            <w:r>
              <w:rPr>
                <w:rFonts w:ascii="Arial" w:cs="Arial" w:eastAsia="Arial" w:hAnsi="Arial"/>
                <w:sz w:val="16"/>
                <w:szCs w:val="16"/>
                <w:color w:val="0000FF"/>
              </w:rPr>
              <w:t>Consolidated Balance Sheets - March 31, 2018 (Unaudited) and December 31, 2017</w:t>
            </w: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6"/>
          </w:tcPr>
          <w:p>
            <w:pPr>
              <w:spacing w:after="0"/>
              <w:rPr>
                <w:sz w:val="20"/>
                <w:szCs w:val="20"/>
                <w:color w:val="auto"/>
              </w:rPr>
            </w:pPr>
            <w:r>
              <w:rPr>
                <w:rFonts w:ascii="Arial" w:cs="Arial" w:eastAsia="Arial" w:hAnsi="Arial"/>
                <w:sz w:val="16"/>
                <w:szCs w:val="16"/>
                <w:color w:val="0000FF"/>
              </w:rPr>
              <w:t>Consolidated Statements of Operations (Unaudited) - Three Months Ended March 31, 2018 and 2017</w:t>
            </w: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20" w:type="dxa"/>
            <w:vAlign w:val="bottom"/>
            <w:gridSpan w:val="15"/>
            <w:shd w:val="clear" w:color="auto" w:fill="CCEEFF"/>
          </w:tcPr>
          <w:p>
            <w:pPr>
              <w:spacing w:after="0"/>
              <w:rPr>
                <w:sz w:val="20"/>
                <w:szCs w:val="20"/>
                <w:color w:val="auto"/>
              </w:rPr>
            </w:pPr>
            <w:r>
              <w:rPr>
                <w:rFonts w:ascii="Arial" w:cs="Arial" w:eastAsia="Arial" w:hAnsi="Arial"/>
                <w:sz w:val="16"/>
                <w:szCs w:val="16"/>
                <w:color w:val="0000FF"/>
                <w:w w:val="91"/>
              </w:rPr>
              <w:t>Consolidated Statements of Comprehensive Income (Unaudited) - Three Months Ended March 31, 2018 and 2017</w:t>
            </w:r>
          </w:p>
        </w:tc>
        <w:tc>
          <w:tcPr>
            <w:tcW w:w="224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gridSpan w:val="15"/>
          </w:tcPr>
          <w:p>
            <w:pPr>
              <w:spacing w:after="0"/>
              <w:rPr>
                <w:sz w:val="20"/>
                <w:szCs w:val="20"/>
                <w:color w:val="auto"/>
              </w:rPr>
            </w:pPr>
            <w:r>
              <w:rPr>
                <w:rFonts w:ascii="Arial" w:cs="Arial" w:eastAsia="Arial" w:hAnsi="Arial"/>
                <w:sz w:val="16"/>
                <w:szCs w:val="16"/>
                <w:color w:val="0000FF"/>
              </w:rPr>
              <w:t>Consolidated Statements of Cash Flows (Unaudited) - Three Months Ended March 31, 2018 and 2017</w:t>
            </w:r>
          </w:p>
        </w:tc>
        <w:tc>
          <w:tcPr>
            <w:tcW w:w="2240" w:type="dxa"/>
            <w:vAlign w:val="bottom"/>
          </w:tcPr>
          <w:p>
            <w:pPr>
              <w:spacing w:after="0"/>
              <w:rPr>
                <w:sz w:val="17"/>
                <w:szCs w:val="17"/>
                <w:color w:val="auto"/>
              </w:rPr>
            </w:pP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 (Unaudited)</w:t>
              </w:r>
            </w:hyperlink>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2. Management's Discussion and Analysis of Financial Condition and Results of Operations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3. Quantitative and Qualitative Disclosures About Market Risk</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38">
              <w:r>
                <w:rPr>
                  <w:rFonts w:ascii="Arial" w:cs="Arial" w:eastAsia="Arial" w:hAnsi="Arial"/>
                  <w:sz w:val="16"/>
                  <w:szCs w:val="16"/>
                  <w:color w:val="0000FF"/>
                  <w:w w:val="93"/>
                </w:rPr>
                <w:t>Item 4.</w:t>
              </w:r>
            </w:hyperlink>
          </w:p>
        </w:tc>
        <w:tc>
          <w:tcPr>
            <w:tcW w:w="3940" w:type="dxa"/>
            <w:vAlign w:val="bottom"/>
            <w:gridSpan w:val="9"/>
          </w:tcPr>
          <w:p>
            <w:pPr>
              <w:ind w:left="20"/>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5480" w:type="dxa"/>
            <w:vAlign w:val="bottom"/>
            <w:gridSpan w:val="6"/>
          </w:tcPr>
          <w:p>
            <w:pPr>
              <w:spacing w:after="0"/>
              <w:rPr>
                <w:sz w:val="17"/>
                <w:szCs w:val="17"/>
                <w:color w:val="auto"/>
              </w:rPr>
            </w:pPr>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Other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38">
              <w:r>
                <w:rPr>
                  <w:rFonts w:ascii="Arial" w:cs="Arial" w:eastAsia="Arial" w:hAnsi="Arial"/>
                  <w:sz w:val="16"/>
                  <w:szCs w:val="16"/>
                  <w:color w:val="0000FF"/>
                  <w:w w:val="93"/>
                </w:rPr>
                <w:t>Item 1.</w:t>
              </w:r>
            </w:hyperlink>
          </w:p>
        </w:tc>
        <w:tc>
          <w:tcPr>
            <w:tcW w:w="9420" w:type="dxa"/>
            <w:vAlign w:val="bottom"/>
            <w:gridSpan w:val="15"/>
          </w:tcPr>
          <w:p>
            <w:pPr>
              <w:ind w:left="20"/>
              <w:spacing w:after="0"/>
              <w:rPr>
                <w:rFonts w:ascii="Arial" w:cs="Arial" w:eastAsia="Arial" w:hAnsi="Arial"/>
                <w:sz w:val="16"/>
                <w:szCs w:val="16"/>
                <w:color w:val="0000FF"/>
              </w:rPr>
            </w:pPr>
            <w:hyperlink w:anchor="page38">
              <w:r>
                <w:rPr>
                  <w:rFonts w:ascii="Arial" w:cs="Arial" w:eastAsia="Arial" w:hAnsi="Arial"/>
                  <w:sz w:val="16"/>
                  <w:szCs w:val="16"/>
                  <w:color w:val="0000FF"/>
                </w:rPr>
                <w:t>Legal Proceedings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1440" w:type="dxa"/>
            <w:vAlign w:val="bottom"/>
            <w:gridSpan w:val="6"/>
            <w:shd w:val="clear" w:color="auto" w:fill="CCEEFF"/>
          </w:tcPr>
          <w:p>
            <w:pPr>
              <w:spacing w:after="0"/>
              <w:rPr>
                <w:rFonts w:ascii="Arial" w:cs="Arial" w:eastAsia="Arial" w:hAnsi="Arial"/>
                <w:sz w:val="16"/>
                <w:szCs w:val="16"/>
                <w:color w:val="0000FF"/>
                <w:w w:val="92"/>
              </w:rPr>
            </w:pPr>
            <w:hyperlink w:anchor="page39">
              <w:r>
                <w:rPr>
                  <w:rFonts w:ascii="Arial" w:cs="Arial" w:eastAsia="Arial" w:hAnsi="Arial"/>
                  <w:sz w:val="16"/>
                  <w:szCs w:val="16"/>
                  <w:color w:val="0000FF"/>
                  <w:w w:val="92"/>
                </w:rPr>
                <w:t>Item 1A. Risk Factors</w:t>
              </w:r>
            </w:hyperlink>
          </w:p>
        </w:tc>
        <w:tc>
          <w:tcPr>
            <w:tcW w:w="8460" w:type="dxa"/>
            <w:vAlign w:val="bottom"/>
            <w:gridSpan w:val="11"/>
            <w:shd w:val="clear" w:color="auto" w:fill="CCEEFF"/>
          </w:tcPr>
          <w:p>
            <w:pPr>
              <w:spacing w:after="0"/>
              <w:rPr>
                <w:sz w:val="17"/>
                <w:szCs w:val="17"/>
                <w:color w:val="auto"/>
              </w:rPr>
            </w:pPr>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39">
              <w:r>
                <w:rPr>
                  <w:rFonts w:ascii="Arial" w:cs="Arial" w:eastAsia="Arial" w:hAnsi="Arial"/>
                  <w:sz w:val="16"/>
                  <w:szCs w:val="16"/>
                  <w:color w:val="0000FF"/>
                  <w:w w:val="93"/>
                </w:rPr>
                <w:t>Item 2.</w:t>
              </w:r>
            </w:hyperlink>
          </w:p>
        </w:tc>
        <w:tc>
          <w:tcPr>
            <w:tcW w:w="9420" w:type="dxa"/>
            <w:vAlign w:val="bottom"/>
            <w:gridSpan w:val="15"/>
          </w:tcPr>
          <w:p>
            <w:pPr>
              <w:ind w:left="20"/>
              <w:spacing w:after="0"/>
              <w:rPr>
                <w:rFonts w:ascii="Arial" w:cs="Arial" w:eastAsia="Arial" w:hAnsi="Arial"/>
                <w:sz w:val="16"/>
                <w:szCs w:val="16"/>
                <w:color w:val="0000FF"/>
              </w:rPr>
            </w:pPr>
            <w:hyperlink w:anchor="page39">
              <w:r>
                <w:rPr>
                  <w:rFonts w:ascii="Arial" w:cs="Arial" w:eastAsia="Arial" w:hAnsi="Arial"/>
                  <w:sz w:val="16"/>
                  <w:szCs w:val="16"/>
                  <w:color w:val="0000FF"/>
                </w:rPr>
                <w:t>Unregistered Sales of Equity Securities and Use of Proceeds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0">
              <w:r>
                <w:rPr>
                  <w:rFonts w:ascii="Arial" w:cs="Arial" w:eastAsia="Arial" w:hAnsi="Arial"/>
                  <w:sz w:val="16"/>
                  <w:szCs w:val="16"/>
                  <w:color w:val="0000FF"/>
                  <w:w w:val="93"/>
                </w:rPr>
                <w:t>Item 6.</w:t>
              </w:r>
            </w:hyperlink>
          </w:p>
        </w:tc>
        <w:tc>
          <w:tcPr>
            <w:tcW w:w="9420" w:type="dxa"/>
            <w:vAlign w:val="bottom"/>
            <w:gridSpan w:val="15"/>
            <w:shd w:val="clear" w:color="auto" w:fill="CCEEFF"/>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Exhibits</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As of March 31, 2018</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2017</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8"/>
              </w:rPr>
              <w:t>Accounts and notes receivable, net of allowances of $6.0 and $5.9 in 2018 and 2017, respectively</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528.5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506.5</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Assets held for sale</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78.4</w:t>
            </w:r>
          </w:p>
        </w:tc>
      </w:tr>
      <w:tr>
        <w:trPr>
          <w:trHeight w:val="219"/>
        </w:trPr>
        <w:tc>
          <w:tcPr>
            <w:tcW w:w="744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1,346.8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1,137.3</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$763.9 and $774.2 in 2018 and 2017,</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397.8</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190.3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200.5</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61.5</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2,086.1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32.6</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348.6</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270.3</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shd w:val="clear" w:color="auto" w:fill="CCEEFF"/>
              </w:rPr>
              <w:t>Liabilities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654.5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1,258.3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970.5</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Post-retirement benefits, other than pensions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Pensions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84.5</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129.3</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2,188.7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1,841.4</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Stockholders' equity: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1,061.5</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1,609.6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1,575.9</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w:t>
            </w:r>
          </w:p>
        </w:tc>
      </w:tr>
      <w:tr>
        <w:trPr>
          <w:trHeight w:val="212"/>
        </w:trPr>
        <w:tc>
          <w:tcPr>
            <w:tcW w:w="7440" w:type="dxa"/>
            <w:vAlign w:val="bottom"/>
          </w:tcPr>
          <w:p>
            <w:pPr>
              <w:ind w:left="180"/>
              <w:spacing w:after="0"/>
              <w:rPr>
                <w:sz w:val="20"/>
                <w:szCs w:val="20"/>
                <w:color w:val="auto"/>
              </w:rPr>
            </w:pPr>
            <w:r>
              <w:rPr>
                <w:rFonts w:ascii="Arial" w:cs="Arial" w:eastAsia="Arial" w:hAnsi="Arial"/>
                <w:sz w:val="17"/>
                <w:szCs w:val="17"/>
                <w:color w:val="auto"/>
                <w:w w:val="89"/>
              </w:rPr>
              <w:t>Treasury stock, at cost, 45,852,186 shares and 45,361,145 shares as of March 31, 2018 and December 31,</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7"/>
                <w:szCs w:val="17"/>
                <w:color w:val="auto"/>
              </w:rPr>
              <w:t>2017, respectively</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(2,568.5)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(2,430.8)</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50.1</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2,086.1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793.4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Losses and other expenses, net</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on assets held for sale</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3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before income taxes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311"/>
        </w:trPr>
        <w:tc>
          <w:tcPr>
            <w:tcW w:w="514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3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0.43</w:t>
            </w:r>
          </w:p>
        </w:tc>
        <w:tc>
          <w:tcPr>
            <w:tcW w:w="0" w:type="dxa"/>
            <w:vAlign w:val="bottom"/>
          </w:tcPr>
          <w:p>
            <w:pPr>
              <w:spacing w:after="0"/>
              <w:rPr>
                <w:sz w:val="1"/>
                <w:szCs w:val="1"/>
                <w:color w:val="auto"/>
              </w:rPr>
            </w:pPr>
          </w:p>
        </w:tc>
      </w:tr>
      <w:tr>
        <w:trPr>
          <w:trHeight w:val="459"/>
        </w:trPr>
        <w:tc>
          <w:tcPr>
            <w:tcW w:w="9940" w:type="dxa"/>
            <w:vAlign w:val="bottom"/>
            <w:gridSpan w:val="5"/>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200" w:type="dxa"/>
            <w:vAlign w:val="bottom"/>
          </w:tcPr>
          <w:p>
            <w:pPr>
              <w:jc w:val="right"/>
              <w:ind w:right="249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00" w:type="dxa"/>
            <w:vAlign w:val="bottom"/>
          </w:tcPr>
          <w:p>
            <w:pPr>
              <w:spacing w:after="0"/>
              <w:rPr>
                <w:sz w:val="18"/>
                <w:szCs w:val="18"/>
                <w:color w:val="auto"/>
              </w:rPr>
            </w:pPr>
          </w:p>
        </w:tc>
        <w:tc>
          <w:tcPr>
            <w:tcW w:w="310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w w:val="95"/>
              </w:rPr>
              <w:t>For the Three Months Ended March 31,</w:t>
            </w: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Reclassification of cash flow hedge gains into earnings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62.1</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8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gridSpan w:val="4"/>
            <w:shd w:val="clear" w:color="auto" w:fill="CCEEFF"/>
          </w:tcPr>
          <w:p>
            <w:pPr>
              <w:jc w:val="right"/>
              <w:ind w:right="174"/>
              <w:spacing w:after="0"/>
              <w:rPr>
                <w:sz w:val="20"/>
                <w:szCs w:val="20"/>
                <w:color w:val="auto"/>
              </w:rPr>
            </w:pPr>
            <w:r>
              <w:rPr>
                <w:rFonts w:ascii="Arial" w:cs="Arial" w:eastAsia="Arial" w:hAnsi="Arial"/>
                <w:sz w:val="16"/>
                <w:szCs w:val="16"/>
                <w:b w:val="1"/>
                <w:bCs w:val="1"/>
                <w:color w:val="auto"/>
                <w:w w:val="96"/>
              </w:rPr>
              <w:t>For the Three Months Ended March 31,</w:t>
            </w:r>
          </w:p>
        </w:tc>
      </w:tr>
      <w:tr>
        <w:trPr>
          <w:trHeight w:val="217"/>
        </w:trPr>
        <w:tc>
          <w:tcPr>
            <w:tcW w:w="8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2017</w:t>
            </w:r>
          </w:p>
        </w:tc>
      </w:tr>
      <w:tr>
        <w:trPr>
          <w:trHeight w:val="47"/>
        </w:trPr>
        <w:tc>
          <w:tcPr>
            <w:tcW w:w="8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Income from equity method investments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Loss on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Restructuring charges, net of cash paid</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Provision for bad debts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Unrealized gains on derivative contracts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15.7</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Pension expense</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1.9</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Pension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Other items, net</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0.1</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assets and liabilities, net of effects of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Accounts and notes receivable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(40.9)</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47.3</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Income taxes payable and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31"/>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shd w:val="clear" w:color="auto" w:fill="CCEEFF"/>
              </w:rPr>
              <w:t>Net cash 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(107.6)</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shd w:val="clear" w:color="auto" w:fill="CCEEFF"/>
              </w:rPr>
              <w:t>Proceeds from the disposal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9"/>
        </w:trPr>
        <w:tc>
          <w:tcPr>
            <w:tcW w:w="8120" w:type="dxa"/>
            <w:vAlign w:val="bottom"/>
          </w:tcPr>
          <w:p>
            <w:pPr>
              <w:ind w:left="500"/>
              <w:spacing w:after="0"/>
              <w:rPr>
                <w:sz w:val="20"/>
                <w:szCs w:val="20"/>
                <w:color w:val="auto"/>
              </w:rPr>
            </w:pPr>
            <w:r>
              <w:rPr>
                <w:rFonts w:ascii="Arial" w:cs="Arial" w:eastAsia="Arial" w:hAnsi="Arial"/>
                <w:sz w:val="17"/>
                <w:szCs w:val="17"/>
                <w:color w:val="auto"/>
              </w:rPr>
              <w:t>Purchases of property, plant and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31"/>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shd w:val="clear" w:color="auto" w:fill="CCEEFF"/>
              </w:rPr>
              <w:t>Net cash used in 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(24.8)</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Short-term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Asset securitization borrowings</w:t>
            </w:r>
          </w:p>
        </w:tc>
        <w:tc>
          <w:tcPr>
            <w:tcW w:w="1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150.0</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securitization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Long-term debt payments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Borrowings from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583.0</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Payments on credit facility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(497.5)</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employee stock purchases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0.7</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Repurchases of common stock</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Cash dividends paid</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31"/>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128.4</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Increase in cash and cash equivalents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31"/>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w:t>
            </w:r>
          </w:p>
        </w:tc>
      </w:tr>
      <w:tr>
        <w:trPr>
          <w:trHeight w:val="239"/>
        </w:trPr>
        <w:tc>
          <w:tcPr>
            <w:tcW w:w="8120" w:type="dxa"/>
            <w:vAlign w:val="bottom"/>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50.2</w:t>
            </w:r>
          </w:p>
        </w:tc>
      </w:tr>
      <w:tr>
        <w:trPr>
          <w:trHeight w:val="31"/>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48.8</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30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Interest paid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2.4</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Income taxes paid (net of refunds)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36.7</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420"/>
          </w:cols>
          <w:pgMar w:left="240" w:top="769" w:right="239" w:bottom="476"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476"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accompanying unaudited Consolidated Balance Sheet as of March 31, 2018, the accompanying unaudited Consolidated Statements of Operations for the three months ended March 31, 2018 and 2017, the accompanying unaudited Consolidated Statements of Comprehensive Income for the three months ended March 31, 2018 and 2017, and the accompanying unaudited Consolidated Statements of Cash Flows for the three months ended March 31, 2018 and 2017 should be read in conjunction with our audited consolidated financial statements and footnotes included in our Annual Report on Form 10-K for the year ended December 31, 2017.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The amendments in this ASU clarify the classification for eight different types of activities, including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extinguishment costs, proceeds from insurance claims and distributions from equity method investees. For public business entities, the standard is effective for financial statements issued for fiscal years beginning after December 15, 2017. This standard did not have a material impact on our consolidated financial statements.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adopted other new accounting standards during the first quarter of 2018. The impact of these additional standards are discussed in their respective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Lessees will need to recognize almost all leases on their balance sheet as a right-of-use asset and a lease liability. It will be critical to identify leases embedded in a contract to avoid misstating the lessee’s balance sheet. For income statement purposes, the FASB retained a dual model, requiring leases to be classified as either operating or finance. Classification will be based on criteria that are largely similar to those applied in current lease accounting, but without explicit bright lines. ASU 2016-02 is effective for public companies for annual reporting periods beginning after December 15, 2018, and interim periods within those fiscal years. We will adopt the standard using the prospective approach and are still determining the effect of the standard on our ongoing financial reporting. As a result of the new standard, all of our leases greater than one year in duration will be recognized in our Consolidated Balance Sheets as both operating lease liabilities and right-of-use assets upon adoption of the standard.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January 1, 2018, we adopted the new accounting standard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and applied it to all contracts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cumulative effect of the changes made to our consolidated January 1, 2018 balance sheet for the adoption of the new revenue standard was as follows (in millions):</w:t>
      </w:r>
    </w:p>
    <w:p>
      <w:pPr>
        <w:spacing w:after="0" w:line="104"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203"/>
        </w:trPr>
        <w:tc>
          <w:tcPr>
            <w:tcW w:w="54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3"/>
              </w:rPr>
              <w:t>Due to ASC</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3"/>
              </w:rPr>
              <w:t>January 1,</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89"/>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33"/>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0" w:type="dxa"/>
            <w:vAlign w:val="bottom"/>
          </w:tcPr>
          <w:p>
            <w:pPr>
              <w:spacing w:after="0"/>
              <w:rPr>
                <w:sz w:val="1"/>
                <w:szCs w:val="1"/>
                <w:color w:val="auto"/>
              </w:rPr>
            </w:pPr>
          </w:p>
        </w:tc>
      </w:tr>
      <w:tr>
        <w:trPr>
          <w:trHeight w:val="239"/>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Balance Sheet and Consolidated Statement of Operations was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3"/>
              </w:rPr>
              <w:t>March 31, 2018</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r>
      <w:tr>
        <w:trPr>
          <w:trHeight w:val="209"/>
        </w:trPr>
        <w:tc>
          <w:tcPr>
            <w:tcW w:w="5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Balances Without</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Adoption of ASC 606</w:t>
            </w:r>
          </w:p>
        </w:tc>
        <w:tc>
          <w:tcPr>
            <w:tcW w:w="240" w:type="dxa"/>
            <w:vAlign w:val="bottom"/>
          </w:tcPr>
          <w:p>
            <w:pPr>
              <w:spacing w:after="0"/>
              <w:rPr>
                <w:sz w:val="18"/>
                <w:szCs w:val="18"/>
                <w:color w:val="auto"/>
              </w:rPr>
            </w:pPr>
          </w:p>
        </w:tc>
        <w:tc>
          <w:tcPr>
            <w:tcW w:w="164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1,609.6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1,611.2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980" w:type="dxa"/>
            <w:vAlign w:val="bottom"/>
            <w:gridSpan w:val="3"/>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560" w:type="dxa"/>
            <w:vAlign w:val="bottom"/>
            <w:tcBorders>
              <w:bottom w:val="single" w:sz="8" w:color="CCEEFF"/>
            </w:tcBorders>
            <w:gridSpan w:val="7"/>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93"/>
              </w:rPr>
              <w:t>For the Three Months Ended March 31, 2018</w:t>
            </w:r>
          </w:p>
        </w:tc>
      </w:tr>
      <w:tr>
        <w:trPr>
          <w:trHeight w:val="209"/>
        </w:trPr>
        <w:tc>
          <w:tcPr>
            <w:tcW w:w="5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5"/>
              </w:rPr>
              <w:t>Activity Without</w:t>
            </w: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Adoption of ASC 606</w:t>
            </w:r>
          </w:p>
        </w:tc>
        <w:tc>
          <w:tcPr>
            <w:tcW w:w="240" w:type="dxa"/>
            <w:vAlign w:val="bottom"/>
          </w:tcPr>
          <w:p>
            <w:pPr>
              <w:spacing w:after="0"/>
              <w:rPr>
                <w:sz w:val="18"/>
                <w:szCs w:val="18"/>
                <w:color w:val="auto"/>
              </w:rPr>
            </w:pPr>
          </w:p>
        </w:tc>
        <w:tc>
          <w:tcPr>
            <w:tcW w:w="1640" w:type="dxa"/>
            <w:vAlign w:val="bottom"/>
          </w:tcPr>
          <w:p>
            <w:pPr>
              <w:jc w:val="center"/>
              <w:ind w:right="159"/>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5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834.9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 of revenue. See Note 16 for additional description of our reportable business segments and the products and services being sold in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6"/>
                <w:szCs w:val="16"/>
                <w:b w:val="1"/>
                <w:bCs w:val="1"/>
                <w:color w:val="auto"/>
              </w:rPr>
              <w:t>For the Three Months Ended March 31,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742.6</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53.2</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453.7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205.5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175.6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834.8</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See Note 7 for more information on product warranties.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color w:val="auto"/>
        </w:rPr>
        <w:t xml:space="preserve">Residential Heating &amp; Cooling </w:t>
      </w:r>
      <w:r>
        <w:rPr>
          <w:rFonts w:ascii="Arial" w:cs="Arial" w:eastAsia="Arial" w:hAnsi="Arial"/>
          <w:sz w:val="18"/>
          <w:szCs w:val="18"/>
          <w:color w:val="auto"/>
        </w:rPr>
        <w:t>- We manufacture and market a broad range of furnaces, air conditioners, heat pumps, packaged heating and cooling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PartsPlus stores or to independent distributors. For the segment for the three months ended March 31, 2018, direct sales represent approximately $339.5 million of revenues and sales to independent distributors represent approximately $114.2 million of revenues. Given the nature of our business, customer product orders are fulfilled at a point in time and not over a period of time.</w:t>
      </w:r>
    </w:p>
    <w:p>
      <w:pPr>
        <w:spacing w:after="0" w:line="18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 provides installation, service and preventive maintenance for commercial HVAC national account customers in the United States and Canada. Revenue related to service contracts is recognized as the services are performed under the contract based on the relative fair value of the services provided. In Europe, we manufacture and sell unitary products and applied systems. For the segment, equipment sales represent approximately $177.9 million of revenues while $27.6 million of our revenue is generated from our service business.</w:t>
      </w:r>
    </w:p>
    <w:p>
      <w:pPr>
        <w:spacing w:after="0" w:line="17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Revenue for the products sold is $173.6 million and is recognized at a point in time when control transfers to the customer, which is generally at time of shipment. The remaining segment revenue relates to service revenues related to start-up and commissioning activities.</w:t>
      </w:r>
    </w:p>
    <w:p>
      <w:pPr>
        <w:spacing w:after="0" w:line="18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50" w:right="239" w:bottom="1440" w:gutter="0" w:footer="0" w:header="0"/>
        </w:sectPr>
      </w:pPr>
    </w:p>
    <w:bookmarkStart w:id="9" w:name="page10"/>
    <w:bookmarkEnd w:id="9"/>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are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w:t>
      </w:r>
    </w:p>
    <w:p>
      <w:pPr>
        <w:spacing w:after="0" w:line="180"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Accounts payable in our Consolidated Balance Sheet. The noncurrent portion of deferred revenue is included in Other liabilities in our Consolidated Balance Sheet.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March 31,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6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5"/>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606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For the three months ended March, 31, 2018, we recognized revenue of $1.6 million related to our contract liabilities at January 1, 2018. Impairment losses recognized in our receivables and contract assets were de minimis in the first quarter of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March 31, 2018</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2017</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2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614.1</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2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28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561.5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vMerge w:val="restart"/>
          </w:tcPr>
          <w:p>
            <w:pPr>
              <w:jc w:val="right"/>
              <w:ind w:right="15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right="700" w:firstLine="243"/>
        <w:spacing w:after="0" w:line="277" w:lineRule="auto"/>
        <w:rPr>
          <w:sz w:val="20"/>
          <w:szCs w:val="20"/>
          <w:color w:val="auto"/>
        </w:rPr>
      </w:pPr>
      <w:r>
        <w:rPr>
          <w:rFonts w:ascii="Arial" w:cs="Arial" w:eastAsia="Arial" w:hAnsi="Arial"/>
          <w:sz w:val="18"/>
          <w:szCs w:val="18"/>
          <w:color w:val="auto"/>
        </w:rPr>
        <w:t>The changes in the carrying amount of goodwill for the first three months of 2018, in total and by segment, are summarized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 to assets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Changes in foreign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Balance at March 31,</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held for sale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perform our annual goodwill impairment test in the fourth quarter of each year. We continue to monitor our reporting units for indicators of impairment throughout the year to determine if a change in facts or circumstances warrants a re-evaluation of our goodwill. In the current year, as a part of the planned sale of our Australia, New Zealand and Asia businesses (discussed further in Note 14 of the Notes to the Consolidated Financial Statements) we transferred $10.3 million of goodwill to assets held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8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August 2017, the FASB issued ASU 2017-12, Derivatives and Hedging (Topic 815),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ASU 2017-12 intends to simplify the application of hedge accounting guidance and better align an entity's risk management activities and financial reporting for hedging relationships through changes to both the designation and measurement guidance for qualifying hedging relationships and the presentation of hedge results. The amendments expand and refine hedge accounting for both nonfinancial and financial risk components and align the recognition and presentation of the effects of the hedging instrument and the hedged item in the financial statements. The Company early adopted ASU No. 2017-12 during the first quarter of 2018. The adoption of ASU No. 2017-12 did not have a material impact on our consolidated results of operations, cash flows, and statement of financial position. With the early adoption of ASU No. 2017-12 we began entering into commodity futures contracts designated as cash flow hedges related to aluminum purchases.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December 2018 and August 2019,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unsettled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Gains included in AOCL, net of tax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40" w:lineRule="exact"/>
        <w:rPr>
          <w:sz w:val="20"/>
          <w:szCs w:val="20"/>
          <w:color w:val="auto"/>
        </w:rPr>
      </w:pPr>
    </w:p>
    <w:p>
      <w:pPr>
        <w:ind w:left="500" w:hanging="168"/>
        <w:spacing w:after="0" w:line="216" w:lineRule="auto"/>
        <w:tabs>
          <w:tab w:leader="none" w:pos="543"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$2.3 million of derivative gains into earnings within the next 12 months.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commodity futures contracts designated as cash flow hedges (in millions of pounds):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Aluminum</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foreign exchange forward contracts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207.3</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27"/>
        </w:trPr>
        <w:tc>
          <w:tcPr>
            <w:tcW w:w="76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commodity derivatives not designated as cash flow hedges, we follow the same hedging strategy as derivatives designated as cash flow hedges, except that we elect not to designate them as cash flow hedges at the inception of the arrangement. We had the following outstanding commodity futures contracts not designated as cash flow hedges (in millions of pounds):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Aluminum</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had the following outstanding foreign currency forward contracts not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3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Chinese Yuan</w:t>
            </w:r>
          </w:p>
        </w:tc>
        <w:tc>
          <w:tcPr>
            <w:tcW w:w="5220" w:type="dxa"/>
            <w:vAlign w:val="bottom"/>
            <w:gridSpan w:val="2"/>
          </w:tcPr>
          <w:p>
            <w:pPr>
              <w:jc w:val="right"/>
              <w:ind w:right="33"/>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Mexican Peso</w:t>
            </w:r>
          </w:p>
        </w:tc>
        <w:tc>
          <w:tcPr>
            <w:tcW w:w="33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Euro</w:t>
            </w:r>
          </w:p>
        </w:tc>
        <w:tc>
          <w:tcPr>
            <w:tcW w:w="5220" w:type="dxa"/>
            <w:vAlign w:val="bottom"/>
            <w:gridSpan w:val="2"/>
          </w:tcPr>
          <w:p>
            <w:pPr>
              <w:jc w:val="right"/>
              <w:ind w:right="33"/>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Canadian Dollar</w:t>
            </w:r>
          </w:p>
        </w:tc>
        <w:tc>
          <w:tcPr>
            <w:tcW w:w="52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British Pound</w:t>
            </w:r>
          </w:p>
        </w:tc>
        <w:tc>
          <w:tcPr>
            <w:tcW w:w="5220" w:type="dxa"/>
            <w:vAlign w:val="bottom"/>
            <w:gridSpan w:val="2"/>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Singapore Dollar</w:t>
            </w:r>
          </w:p>
        </w:tc>
        <w:tc>
          <w:tcPr>
            <w:tcW w:w="52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5220" w:type="dxa"/>
            <w:vAlign w:val="bottom"/>
            <w:gridSpan w:val="2"/>
          </w:tcPr>
          <w:p>
            <w:pPr>
              <w:jc w:val="right"/>
              <w:ind w:right="33"/>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107.0</w:t>
            </w: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Zealand Dollar</w:t>
            </w:r>
          </w:p>
        </w:tc>
        <w:tc>
          <w:tcPr>
            <w:tcW w:w="52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Indian Rupee</w:t>
            </w:r>
          </w:p>
        </w:tc>
        <w:tc>
          <w:tcPr>
            <w:tcW w:w="3380" w:type="dxa"/>
            <w:vAlign w:val="bottom"/>
          </w:tcPr>
          <w:p>
            <w:pPr>
              <w:spacing w:after="0"/>
              <w:rPr>
                <w:sz w:val="21"/>
                <w:szCs w:val="21"/>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702"/>
        </w:trPr>
        <w:tc>
          <w:tcPr>
            <w:tcW w:w="4280" w:type="dxa"/>
            <w:vAlign w:val="bottom"/>
          </w:tcPr>
          <w:p>
            <w:pPr>
              <w:spacing w:after="0"/>
              <w:rPr>
                <w:sz w:val="24"/>
                <w:szCs w:val="24"/>
                <w:color w:val="auto"/>
              </w:rPr>
            </w:pPr>
          </w:p>
        </w:tc>
        <w:tc>
          <w:tcPr>
            <w:tcW w:w="3380" w:type="dxa"/>
            <w:vAlign w:val="bottom"/>
          </w:tcPr>
          <w:p>
            <w:pPr>
              <w:jc w:val="right"/>
              <w:ind w:right="1770"/>
              <w:spacing w:after="0"/>
              <w:rPr>
                <w:sz w:val="20"/>
                <w:szCs w:val="20"/>
                <w:color w:val="auto"/>
              </w:rPr>
            </w:pPr>
            <w:r>
              <w:rPr>
                <w:rFonts w:ascii="Arial" w:cs="Arial" w:eastAsia="Arial" w:hAnsi="Arial"/>
                <w:sz w:val="18"/>
                <w:szCs w:val="18"/>
                <w:color w:val="auto"/>
              </w:rPr>
              <w:t>10</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Information about the Locations and Amounts of Derivative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provide the locations and amounts of derivative fair values in the Consolidated Balance Sheets and derivative gains and losses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 xml:space="preserve">Fair Values of Derivative Instruments </w:t>
            </w:r>
            <w:r>
              <w:rPr>
                <w:rFonts w:ascii="Arial" w:cs="Arial" w:eastAsia="Arial" w:hAnsi="Arial"/>
                <w:sz w:val="21"/>
                <w:szCs w:val="21"/>
                <w:b w:val="1"/>
                <w:bCs w:val="1"/>
                <w:color w:val="auto"/>
                <w:vertAlign w:val="superscript"/>
              </w:rPr>
              <w:t>(1)</w:t>
            </w: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1"/>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gridSpan w:val="5"/>
          </w:tcPr>
          <w:p>
            <w:pPr>
              <w:ind w:left="120"/>
              <w:spacing w:after="0"/>
              <w:rPr>
                <w:sz w:val="20"/>
                <w:szCs w:val="20"/>
                <w:color w:val="auto"/>
              </w:rPr>
            </w:pPr>
            <w:r>
              <w:rPr>
                <w:rFonts w:ascii="Arial" w:cs="Arial" w:eastAsia="Arial" w:hAnsi="Arial"/>
                <w:sz w:val="16"/>
                <w:szCs w:val="16"/>
                <w:b w:val="1"/>
                <w:bCs w:val="1"/>
                <w:color w:val="auto"/>
                <w:w w:val="99"/>
              </w:rPr>
              <w:t>Derivatives Designated as Hedging Instruments</w:t>
            </w:r>
          </w:p>
        </w:tc>
        <w:tc>
          <w:tcPr>
            <w:tcW w:w="376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Derivatives Not Designated as Hedging Instruments</w:t>
            </w:r>
          </w:p>
        </w:tc>
      </w:tr>
      <w:tr>
        <w:trPr>
          <w:trHeight w:val="3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As of December 31, 2017</w:t>
            </w:r>
          </w:p>
        </w:tc>
        <w:tc>
          <w:tcPr>
            <w:tcW w:w="16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40" w:hanging="187"/>
        <w:spacing w:after="0"/>
        <w:tabs>
          <w:tab w:leader="none" w:pos="24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derivative instruments are classified as Level 2 within the fair value hierarchy. See Note 17 for more information.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 Hedges</w:t>
            </w: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r>
      <w:tr>
        <w:trPr>
          <w:trHeight w:val="33"/>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 xml:space="preserve">Amount of Gain reclassified from AOCL into Income (effective portion) </w:t>
            </w:r>
            <w:r>
              <w:rPr>
                <w:rFonts w:ascii="Arial" w:cs="Arial" w:eastAsia="Arial" w:hAnsi="Arial"/>
                <w:sz w:val="25"/>
                <w:szCs w:val="25"/>
                <w:color w:val="auto"/>
                <w:vertAlign w:val="superscript"/>
              </w:rPr>
              <w:t>(1)</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Amount of Loss recognized in Net income (ineffective portion) </w:t>
            </w:r>
            <w:r>
              <w:rPr>
                <w:rFonts w:ascii="Arial" w:cs="Arial" w:eastAsia="Arial" w:hAnsi="Arial"/>
                <w:sz w:val="25"/>
                <w:szCs w:val="25"/>
                <w:color w:val="auto"/>
                <w:vertAlign w:val="superscript"/>
              </w:rPr>
              <w:t>(2)(3)</w:t>
            </w:r>
          </w:p>
        </w:tc>
        <w:tc>
          <w:tcPr>
            <w:tcW w:w="9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534"/>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840" w:type="dxa"/>
            <w:vAlign w:val="bottom"/>
            <w:gridSpan w:val="5"/>
          </w:tcPr>
          <w:p>
            <w:pPr>
              <w:ind w:left="40"/>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Amount of (Gain)/Loss Recognized in Net Income:</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(2)</w:t>
            </w: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8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Foreign currency forward contracts </w:t>
            </w:r>
            <w:r>
              <w:rPr>
                <w:rFonts w:ascii="Arial" w:cs="Arial" w:eastAsia="Arial" w:hAnsi="Arial"/>
                <w:sz w:val="25"/>
                <w:szCs w:val="25"/>
                <w:color w:val="auto"/>
                <w:vertAlign w:val="superscript"/>
              </w:rPr>
              <w:t>(2)</w:t>
            </w: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360" w:hanging="190"/>
        <w:spacing w:after="0"/>
        <w:tabs>
          <w:tab w:leader="none" w:pos="3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gain was recorded in Cost of goods sold in the accompanying Consolidated Statements of Operations.</w:t>
      </w:r>
    </w:p>
    <w:p>
      <w:pPr>
        <w:spacing w:after="0" w:line="1" w:lineRule="exact"/>
        <w:rPr>
          <w:rFonts w:ascii="Arial" w:cs="Arial" w:eastAsia="Arial" w:hAnsi="Arial"/>
          <w:sz w:val="23"/>
          <w:szCs w:val="23"/>
          <w:color w:val="auto"/>
          <w:vertAlign w:val="superscript"/>
        </w:rPr>
      </w:pPr>
    </w:p>
    <w:p>
      <w:pPr>
        <w:ind w:left="360" w:hanging="190"/>
        <w:spacing w:after="0" w:line="194" w:lineRule="auto"/>
        <w:tabs>
          <w:tab w:leader="none" w:pos="36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(gain)/loss was recorded in Losses and other expenses, net in the accompanying Consolidated Statements of Operations.</w:t>
      </w:r>
    </w:p>
    <w:p>
      <w:pPr>
        <w:spacing w:after="0" w:line="2" w:lineRule="exact"/>
        <w:rPr>
          <w:rFonts w:ascii="Arial" w:cs="Arial" w:eastAsia="Arial" w:hAnsi="Arial"/>
          <w:sz w:val="23"/>
          <w:szCs w:val="23"/>
          <w:color w:val="auto"/>
          <w:vertAlign w:val="superscript"/>
        </w:rPr>
      </w:pPr>
    </w:p>
    <w:p>
      <w:pPr>
        <w:ind w:left="60" w:right="80" w:firstLine="164"/>
        <w:spacing w:after="0" w:line="224" w:lineRule="auto"/>
        <w:tabs>
          <w:tab w:leader="none" w:pos="414" w:val="left"/>
        </w:tabs>
        <w:numPr>
          <w:ilvl w:val="1"/>
          <w:numId w:val="3"/>
        </w:numPr>
        <w:rPr>
          <w:rFonts w:ascii="Arial" w:cs="Arial" w:eastAsia="Arial" w:hAnsi="Arial"/>
          <w:sz w:val="23"/>
          <w:szCs w:val="23"/>
          <w:color w:val="auto"/>
          <w:vertAlign w:val="superscript"/>
        </w:rPr>
      </w:pPr>
      <w:r>
        <w:rPr>
          <w:rFonts w:ascii="Arial" w:cs="Arial" w:eastAsia="Arial" w:hAnsi="Arial"/>
          <w:sz w:val="17"/>
          <w:szCs w:val="17"/>
          <w:color w:val="auto"/>
        </w:rPr>
        <w:t>The ASU 2017-12 eliminates the requirement to disclose the amount of hedge ineffectiveness prospectively because this amount is no longer separately measured and reported.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2018, we had no unrecognized tax benefits.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2017, 2016 and 2015 and are subject to examination by numerous other taxing authorities in the U.S. and in jurisdictions such as Australia, Belgium, France, Canada, and Germany. We are generally no longer subject to U.S. federal, state and local, or non-U.S. income tax examinations by taxing authorities for years prior to 2011.</w:t>
      </w:r>
    </w:p>
    <w:p>
      <w:pPr>
        <w:spacing w:after="0" w:line="18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2018, several states have enacted legislation effective for tax years beginning on or after January 1, 2018, including changes to tax rates and apportionment methods. The impact of these changes is immaterial.</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October 24, 2016, the FASB issued ASU No. 2016-16, </w:t>
      </w:r>
      <w:r>
        <w:rPr>
          <w:rFonts w:ascii="Arial" w:cs="Arial" w:eastAsia="Arial" w:hAnsi="Arial"/>
          <w:sz w:val="18"/>
          <w:szCs w:val="18"/>
          <w:i w:val="1"/>
          <w:iCs w:val="1"/>
          <w:color w:val="auto"/>
        </w:rPr>
        <w:t>Accounting for Income Taxes: Intra-Entity Asset Transfers of Assets Other than Inventory</w:t>
      </w:r>
      <w:r>
        <w:rPr>
          <w:rFonts w:ascii="Arial" w:cs="Arial" w:eastAsia="Arial" w:hAnsi="Arial"/>
          <w:sz w:val="18"/>
          <w:szCs w:val="18"/>
          <w:color w:val="auto"/>
        </w:rPr>
        <w:t>, which requires companies to recognize the income tax effects of intercompany sales and transfers of assets other than inventory in the period in which the transfer occurs. Prior to ASU 2016-16, companies were required to defer the income tax effects of intercompany transfers of assets until the asset had been sold to an outside party or otherwise recognized. The new guidance is effective for public business entities for annual periods beginning after December 15, 2017 and interim periods within those annual periods. The guidance requires companies to apply a modified retrospective approach with a cumulative catch-up adjustment to opening retained earnings in the period of adoption. Accordingly, we recorded a $5.1 million decrease to opening retained earnings in the period ending March 31, 2018.</w:t>
      </w:r>
    </w:p>
    <w:p>
      <w:pPr>
        <w:spacing w:after="0" w:line="189"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the new global intangible low-taxed income ("GILTI") tax rules. 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We are not currently able to reasonably estimate the effect of the new GILTI tax rules on future U.S. inclusions in taxable income as the expected future impact of this provision of the Tax Act depends on our current structure and business. Therefore, although we have considered the current effects of GILTI when estimating our annual effective tax rate, we have not made any adjustments related to potential GILTI tax in our deferred taxes and have not made a policy decision regarding whether to record deferred taxes on GILTI.</w:t>
      </w:r>
    </w:p>
    <w:p>
      <w:pPr>
        <w:spacing w:after="0" w:line="183"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 xml:space="preserve">On February 14, 2018, the FASB issued ASU No. 2018-02, </w:t>
      </w:r>
      <w:r>
        <w:rPr>
          <w:rFonts w:ascii="Arial" w:cs="Arial" w:eastAsia="Arial" w:hAnsi="Arial"/>
          <w:sz w:val="17"/>
          <w:szCs w:val="17"/>
          <w:i w:val="1"/>
          <w:iCs w:val="1"/>
          <w:color w:val="auto"/>
        </w:rPr>
        <w:t>Income Statement - 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Effects from Accumulated Other Comprehensive Income, </w:t>
      </w:r>
      <w:r>
        <w:rPr>
          <w:rFonts w:ascii="Arial" w:cs="Arial" w:eastAsia="Arial" w:hAnsi="Arial"/>
          <w:sz w:val="17"/>
          <w:szCs w:val="17"/>
          <w:color w:val="auto"/>
        </w:rPr>
        <w:t>which permits companies to reclassify stranded tax effects caused by 2017 tax reform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(“AOCI”) and retained earnings. We have elected to adopt ASU 2018-02 to reclassify the income tax effects of the 2017 Act from AOCI to retained earnings for the period ending March 31, 2018. Accordingly, we recorded a $22.7 million increase to opening retained earnings in the period ending March 31, 2018 to reclassify the effect of the change in the U.S. federal corporate income tax rate, including the reduction in the federal benefit associated with state taxes, on the gross deferred tax amounts and related valuation allowances at the date of enactment of the Tax Cuts and Jobs Act related to items remaining in AOCI.</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4" w:name="page15"/>
    <w:bookmarkEnd w:id="14"/>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9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As of December 31, 2017</w:t>
            </w: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product warranty liabilities related to continuing operations for the three months ended March 31, 2018 were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liability from assets held for sale</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Total warranty liability as of March 31,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108.8</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so we may have greater financial exposure for future settlements and judgments. For the three months ended March 31, 2018 and 2017, expense for asbestos-related litigation was $2.1 million and $1.7 million, respectively, net of probable insurance recoveries, for known and future asbestos-related litigation and is recorded in Losses and other expenses, net in the Consolidated Statements of Operations.</w:t>
      </w:r>
    </w:p>
    <w:p>
      <w:pPr>
        <w:spacing w:after="0" w:line="16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October 2016, we self-reported to the Securities and Exchange Commission ("SEC") and the Department of Justice ("DOJ") an alleged payment in the amount of 30,000 rubles (approximately US $475) to a Russian customs broker or official. Under the oversight of our Audit Committee, we initiated an investigation into this matter with the assistance of external legal counsel and external forensic accountants.The scope of the investigation was later expanded to include our operations in Poland and Ukraine. The investigation raised questions regarding possible irregularities with respect to non-compliance with customs documents and procedures related to these operations. We concluded our investigation and communicated our findings to the SEC and the DOJ. We fully cooperated with the SEC and the DOJ regarding this matter. The DOJ has declined to prosecute this matter.</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As of March 31, 2018</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Short-Term Debt:</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short-term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970.5</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1,004.0</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Through several of our foreign subsidiaries, we have facilities available to assist in financing seasonal borrowing needs for our foreign locations. We had $0.9 million and $0.9 million of foreign obligations outstanding as of March 31, 2018 and December 31, 2017, respectively, that were primarily borrowings under non-committed facilities. Proceeds on these facilities were $0.3 million and $0.3 million during the three months ended March 31, 2018 and 2017, respectively. Repayments on the facilities were $0.4 million and $1.1 million during the three months ended March 31, 2018 and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sold under the ASP. The fair values assigned to the retained and transferred interests are based on the sold accounts receivable carrying value given the short term to maturity and low credit risk. The sale of the beneficial interests in our trade accounts receivable are reflected as secured borrowings in the accompanying Consolidated Balance Sheets and proceeds received are included in Cash flows from financing activities in the accompanying Consolidated Statements of Cash Flows.</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of March 31, 2018</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2017</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Beneficial interest sold</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March 31, 2018 and December 31, 2017 were 2.63% and 2.60%, respectively. The unused fee is based on 101% of the maximum available amount less the beneficial interest sold and is calculated at a</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0.35% fixed rate throughout the term of the agreement. We recorded these fees in Interest expense, net in the accompanying Consolidated Statements of Operations.</w:t>
      </w:r>
    </w:p>
    <w:p>
      <w:pPr>
        <w:spacing w:after="0" w:line="1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We continue to evaluate their credit ratings and have no reason to believe they will not perform under the ASP. As of March 31, 2018, we believe we were in compliance with all covenant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August 30, 2016, we replaced an earlier credit facility with the Domestic Credit Facility, which consists of a $650.0 million unsecured revolving credit facility and a $250.0 million unsecured term loan and matures in August 2021 (the "Maturity Date"). Under our Domestic Credit Facility, we had outstanding borrowings of $705.5 million, of which $212.5 million was the term loan balance, as well as $2.9 million committed to standby letters of credit as of March 31, 2018. Subject to covenant limitations, $154.1 million was available for future borrowings. The unsecured term loan also matures on the Maturity Date and requires quarterly principal repayments of $7.5 million. The revolving credit facility includes a subfacility for swingline loans of up to $65.0 million. Additionally, at our request and subject to certain conditions, the commitments under the Domestic Credit Facility may be increased by a maximum of $350.0 million as long as existing or new lenders agree to provide such additional commitments.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6"/>
                <w:szCs w:val="16"/>
                <w:b w:val="1"/>
                <w:bCs w:val="1"/>
                <w:color w:val="auto"/>
              </w:rPr>
              <w:t>As of March 31, 2018</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60" w:right="239" w:bottom="1440" w:gutter="0" w:footer="0" w:header="0"/>
        </w:sectPr>
      </w:pPr>
    </w:p>
    <w:bookmarkStart w:id="17" w:name="page18"/>
    <w:bookmarkEnd w:id="17"/>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March 31, 2018,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2018,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On March 10, 2017, the FASB issued ASU 2017-07,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 ASU 2017-07 changes the income statement presentation of defined benefit plan expense by requiring separation between operating expense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were as follows (in millions):</w:t>
      </w:r>
    </w:p>
    <w:p>
      <w:pPr>
        <w:spacing w:after="0" w:line="185"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100"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52070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Benefits</w:t>
      </w:r>
    </w:p>
    <w:p>
      <w:pPr>
        <w:spacing w:after="0" w:line="39" w:lineRule="exact"/>
        <w:rPr>
          <w:sz w:val="20"/>
          <w:szCs w:val="20"/>
          <w:color w:val="auto"/>
        </w:rPr>
      </w:pPr>
    </w:p>
    <w:p>
      <w:pPr>
        <w:sectPr>
          <w:pgSz w:w="11900" w:h="16838" w:orient="portrait"/>
          <w:cols w:equalWidth="0" w:num="2">
            <w:col w:w="8900" w:space="720"/>
            <w:col w:w="18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$0.7 million increase in net periodic benefit cost for U.S. pension 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2010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25" w:lineRule="exact"/>
        <w:rPr>
          <w:sz w:val="20"/>
          <w:szCs w:val="20"/>
          <w:color w:val="auto"/>
        </w:rPr>
      </w:pPr>
    </w:p>
    <w:p>
      <w:pPr>
        <w:jc w:val="center"/>
        <w:ind w:left="848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45085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91" w:lineRule="exact"/>
        <w:rPr>
          <w:sz w:val="20"/>
          <w:szCs w:val="20"/>
          <w:color w:val="auto"/>
        </w:rPr>
      </w:pPr>
    </w:p>
    <w:p>
      <w:pPr>
        <w:ind w:left="9040"/>
        <w:spacing w:after="0"/>
        <w:tabs>
          <w:tab w:leader="none" w:pos="105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460" w:val="left"/>
          <w:tab w:leader="none" w:pos="9600" w:val="left"/>
          <w:tab w:leader="none" w:pos="10060" w:val="left"/>
          <w:tab w:leader="none" w:pos="11060" w:val="left"/>
        </w:tabs>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w:t>
        <w:tab/>
        <w:t>$</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All expense was recorded in our Corporate and Other business segment.</w:t>
      </w:r>
    </w:p>
    <w:p>
      <w:pPr>
        <w:spacing w:after="0" w:line="13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Our Board of Directors has authorized a total of $2.5 billion to repurchase shares of our common stock (collectively referred to as the "Share Repurchase</w:t>
      </w:r>
    </w:p>
    <w:p>
      <w:pPr>
        <w:spacing w:after="0" w:line="46"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Plans"), including a $500 million share repurchase authorization in March 2018. The Share Repurchase Plans authorize open market repurchase transactions and do not have a stated expiration date. As of March 31, 2018, $746 million of shares may yet be repurchased under the Share Repurchase Plans.</w:t>
      </w:r>
    </w:p>
    <w:p>
      <w:pPr>
        <w:spacing w:after="0" w:line="1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8, 2018, the Company entered into a Fixed Dollar Accelerated Share Repurchase Transaction (the “ASR Agreement”) with MUFG Securities EMEA plc ("MUFG"), to effect an accelerated stock buyback of our common stock. Under the ASR Agreement, on February 8, 2018, we paid MUFG an initial purchase price of $150 million, and MUFG delivered to us common stock, representing approximately 85% of the shares expected to be purchased under the ASR Agreement. The ASR was completed in April of 2018 and MUFG delivered additional shares for a total of 0.7 million shares of common stock repurchased as part of this ASR Agreement.</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also repurchased 0.1 million shares for $18.1 million during the three months ended March 31, 2018 from employees who surrendered their shares to satisfy minimum tax withholding obligations upon the exercise of long-term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Three Months Ended March</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690"/>
              <w:spacing w:after="0"/>
              <w:rPr>
                <w:sz w:val="20"/>
                <w:szCs w:val="20"/>
                <w:color w:val="auto"/>
              </w:rPr>
            </w:pPr>
            <w:r>
              <w:rPr>
                <w:rFonts w:ascii="Arial" w:cs="Arial" w:eastAsia="Arial" w:hAnsi="Arial"/>
                <w:sz w:val="16"/>
                <w:szCs w:val="16"/>
                <w:b w:val="1"/>
                <w:bCs w:val="1"/>
                <w:color w:val="auto"/>
                <w:w w:val="80"/>
              </w:rPr>
              <w:t>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840" w:type="dxa"/>
            <w:vAlign w:val="bottom"/>
          </w:tcPr>
          <w:p>
            <w:pPr>
              <w:ind w:left="460"/>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Commodity futures contracts</w:t>
            </w: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84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Selling, general and</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costs</w:t>
            </w:r>
          </w:p>
        </w:tc>
        <w:tc>
          <w:tcPr>
            <w:tcW w:w="84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w:t>
            </w:r>
          </w:p>
        </w:tc>
        <w:tc>
          <w:tcPr>
            <w:tcW w:w="980" w:type="dxa"/>
            <w:vAlign w:val="bottom"/>
            <w:tcBorders>
              <w:bottom w:val="single" w:sz="8" w:color="CCEEFF"/>
            </w:tcBorders>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84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w:t>
            </w:r>
          </w:p>
        </w:tc>
        <w:tc>
          <w:tcPr>
            <w:tcW w:w="980" w:type="dxa"/>
            <w:vAlign w:val="bottom"/>
            <w:tcBorders>
              <w:bottom w:val="single" w:sz="8" w:color="CCEEFF"/>
            </w:tcBorders>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 from AOCL</w:t>
            </w:r>
          </w:p>
        </w:tc>
        <w:tc>
          <w:tcPr>
            <w:tcW w:w="840" w:type="dxa"/>
            <w:vAlign w:val="bottom"/>
            <w:shd w:val="clear" w:color="auto" w:fill="CCEEFF"/>
          </w:tcPr>
          <w:p>
            <w:pPr>
              <w:jc w:val="right"/>
              <w:ind w:right="632"/>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8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22"/>
                <w:szCs w:val="22"/>
                <w:color w:val="auto"/>
              </w:rPr>
            </w:pPr>
          </w:p>
        </w:tc>
        <w:tc>
          <w:tcPr>
            <w:tcW w:w="3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three months ended March 31, 2018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Unrealized Gains on</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Cash Flow</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Available-for-Sale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14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6"/>
                <w:szCs w:val="16"/>
                <w:b w:val="1"/>
                <w:bCs w:val="1"/>
                <w:color w:val="auto"/>
                <w:w w:val="95"/>
              </w:rPr>
              <w:t>Total AOCL</w:t>
            </w:r>
          </w:p>
        </w:tc>
      </w:tr>
      <w:tr>
        <w:trPr>
          <w:trHeight w:val="33"/>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when we reorganize or remove duplicative headcount and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ongoing activities is presented in the following table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Severance and related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Lease termination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restructuring charges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31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1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jc w:val="both"/>
        <w:ind w:firstLine="243"/>
        <w:spacing w:after="0" w:line="277" w:lineRule="auto"/>
        <w:rPr>
          <w:sz w:val="20"/>
          <w:szCs w:val="20"/>
          <w:color w:val="auto"/>
        </w:rPr>
      </w:pPr>
      <w:r>
        <w:rPr>
          <w:rFonts w:ascii="Arial" w:cs="Arial" w:eastAsia="Arial" w:hAnsi="Arial"/>
          <w:sz w:val="18"/>
          <w:szCs w:val="18"/>
          <w:color w:val="auto"/>
        </w:rPr>
        <w:t>Restructuring accruals are included in Accrued expenses in the accompanying Consolidated Balance Sheets. The table below details the activity in 2018 within the restructuring accruals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Included in</w:t>
            </w:r>
          </w:p>
        </w:tc>
        <w:tc>
          <w:tcPr>
            <w:tcW w:w="16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Non-Cash Utilization</w:t>
            </w:r>
          </w:p>
        </w:tc>
        <w:tc>
          <w:tcPr>
            <w:tcW w:w="14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Balance as of</w:t>
            </w:r>
          </w:p>
        </w:tc>
      </w:tr>
      <w:tr>
        <w:trPr>
          <w:trHeight w:val="192"/>
        </w:trPr>
        <w:tc>
          <w:tcPr>
            <w:tcW w:w="49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Utilization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March 31,2018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accruals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Assets Held for Sale:</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assets held for sale as it relates to our Australia, New Zealand and Asia businesses. During the first quarter of 2018, we obtained board approval and signed an agreement with Beijer Ref AB, a Stockholm Stock Exchange-listed company, for the sale of our Australia, New Zealand and Asia businesses. The sale is expected to close in the second quarter of 2018.</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assets and liabilities associated with our Australia, New Zealand and Asia businesses classified as held for sale as of March 31, 2018.</w:t>
      </w:r>
    </w:p>
    <w:p>
      <w:pPr>
        <w:spacing w:after="0" w:line="84" w:lineRule="exact"/>
        <w:rPr>
          <w:sz w:val="20"/>
          <w:szCs w:val="20"/>
          <w:color w:val="auto"/>
        </w:rPr>
      </w:pPr>
    </w:p>
    <w:tbl>
      <w:tblPr>
        <w:tblLayout w:type="fixed"/>
        <w:tblInd w:w="320" w:type="dxa"/>
        <w:tblCellMar>
          <w:top w:w="0" w:type="dxa"/>
          <w:left w:w="0" w:type="dxa"/>
          <w:bottom w:w="0" w:type="dxa"/>
          <w:right w:w="0" w:type="dxa"/>
        </w:tblCellMar>
      </w:tblPr>
      <w:tr>
        <w:trPr>
          <w:trHeight w:val="275"/>
        </w:trPr>
        <w:tc>
          <w:tcPr>
            <w:tcW w:w="8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2020" w:type="dxa"/>
            <w:vAlign w:val="bottom"/>
            <w:tcBorders>
              <w:top w:val="single" w:sz="8" w:color="auto"/>
              <w:bottom w:val="single" w:sz="8" w:color="CCEEFF"/>
            </w:tcBorders>
            <w:shd w:val="clear" w:color="auto" w:fill="CCEEFF"/>
          </w:tcPr>
          <w:p>
            <w:pPr>
              <w:jc w:val="right"/>
              <w:ind w:right="335"/>
              <w:spacing w:after="0"/>
              <w:rPr>
                <w:sz w:val="20"/>
                <w:szCs w:val="20"/>
                <w:color w:val="auto"/>
              </w:rPr>
            </w:pPr>
            <w:r>
              <w:rPr>
                <w:rFonts w:ascii="Arial" w:cs="Arial" w:eastAsia="Arial" w:hAnsi="Arial"/>
                <w:sz w:val="16"/>
                <w:szCs w:val="16"/>
                <w:b w:val="1"/>
                <w:bCs w:val="1"/>
                <w:color w:val="auto"/>
                <w:w w:val="99"/>
              </w:rPr>
              <w:t>As of March 31, 2018</w:t>
            </w:r>
          </w:p>
        </w:tc>
      </w:tr>
      <w:tr>
        <w:trPr>
          <w:trHeight w:val="233"/>
        </w:trPr>
        <w:tc>
          <w:tcPr>
            <w:tcW w:w="85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Assets held for sale</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Accounts and notes receivable, net of allowances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22.1</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Inventories, net</w:t>
            </w:r>
          </w:p>
        </w:tc>
        <w:tc>
          <w:tcPr>
            <w:tcW w:w="260" w:type="dxa"/>
            <w:vAlign w:val="bottom"/>
          </w:tcPr>
          <w:p>
            <w:pPr>
              <w:spacing w:after="0"/>
              <w:rPr>
                <w:sz w:val="19"/>
                <w:szCs w:val="19"/>
                <w:color w:val="auto"/>
              </w:rPr>
            </w:pP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46.9</w:t>
            </w: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Property, plant and equipment, net of accumulated depreciation</w:t>
            </w:r>
          </w:p>
        </w:tc>
        <w:tc>
          <w:tcPr>
            <w:tcW w:w="260" w:type="dxa"/>
            <w:vAlign w:val="bottom"/>
          </w:tcPr>
          <w:p>
            <w:pPr>
              <w:spacing w:after="0"/>
              <w:rPr>
                <w:sz w:val="19"/>
                <w:szCs w:val="19"/>
                <w:color w:val="auto"/>
              </w:rPr>
            </w:pP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12.2</w:t>
            </w: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Other assets, net</w:t>
            </w:r>
          </w:p>
        </w:tc>
        <w:tc>
          <w:tcPr>
            <w:tcW w:w="260" w:type="dxa"/>
            <w:vAlign w:val="bottom"/>
          </w:tcPr>
          <w:p>
            <w:pPr>
              <w:spacing w:after="0"/>
              <w:rPr>
                <w:sz w:val="19"/>
                <w:szCs w:val="19"/>
                <w:color w:val="auto"/>
              </w:rPr>
            </w:pP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4.0</w:t>
            </w: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Loss on assets held for sale</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31"/>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 held for sale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93.3</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17.0</w:t>
            </w: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w:t>
            </w:r>
          </w:p>
        </w:tc>
      </w:tr>
      <w:tr>
        <w:trPr>
          <w:trHeight w:val="226"/>
        </w:trPr>
        <w:tc>
          <w:tcPr>
            <w:tcW w:w="8520" w:type="dxa"/>
            <w:vAlign w:val="bottom"/>
          </w:tcPr>
          <w:p>
            <w:pPr>
              <w:ind w:left="160"/>
              <w:spacing w:after="0"/>
              <w:rPr>
                <w:sz w:val="20"/>
                <w:szCs w:val="20"/>
                <w:color w:val="auto"/>
              </w:rPr>
            </w:pPr>
            <w:r>
              <w:rPr>
                <w:rFonts w:ascii="Arial" w:cs="Arial" w:eastAsia="Arial" w:hAnsi="Arial"/>
                <w:sz w:val="17"/>
                <w:szCs w:val="17"/>
                <w:color w:val="auto"/>
              </w:rPr>
              <w:t>Income taxes payable</w:t>
            </w:r>
          </w:p>
        </w:tc>
        <w:tc>
          <w:tcPr>
            <w:tcW w:w="260" w:type="dxa"/>
            <w:vAlign w:val="bottom"/>
          </w:tcPr>
          <w:p>
            <w:pPr>
              <w:spacing w:after="0"/>
              <w:rPr>
                <w:sz w:val="19"/>
                <w:szCs w:val="19"/>
                <w:color w:val="auto"/>
              </w:rPr>
            </w:pP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0.5</w:t>
            </w:r>
          </w:p>
        </w:tc>
      </w:tr>
      <w:tr>
        <w:trPr>
          <w:trHeight w:val="31"/>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0.5</w:t>
            </w:r>
          </w:p>
        </w:tc>
      </w:tr>
      <w:tr>
        <w:trPr>
          <w:trHeight w:val="244"/>
        </w:trPr>
        <w:tc>
          <w:tcPr>
            <w:tcW w:w="8520" w:type="dxa"/>
            <w:vAlign w:val="bottom"/>
          </w:tcPr>
          <w:p>
            <w:pPr>
              <w:ind w:left="20"/>
              <w:spacing w:after="0"/>
              <w:rPr>
                <w:sz w:val="20"/>
                <w:szCs w:val="20"/>
                <w:color w:val="auto"/>
              </w:rPr>
            </w:pPr>
            <w:r>
              <w:rPr>
                <w:rFonts w:ascii="Arial" w:cs="Arial" w:eastAsia="Arial" w:hAnsi="Arial"/>
                <w:sz w:val="17"/>
                <w:szCs w:val="17"/>
                <w:b w:val="1"/>
                <w:bCs w:val="1"/>
                <w:color w:val="auto"/>
              </w:rPr>
              <w:t>Total liabilities held for sale</w:t>
            </w: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2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28.7</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Based on the expected proceeds from the sale, net of selling costs, we recorded a loss on the assets held for sale of $10.3 million during the quarter ended March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9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0.91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0.91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r>
      <w:tr>
        <w:trPr>
          <w:trHeight w:val="284"/>
        </w:trPr>
        <w:tc>
          <w:tcPr>
            <w:tcW w:w="8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0.90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4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41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Price per share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156.94</w:t>
            </w:r>
          </w:p>
        </w:tc>
      </w:tr>
      <w:tr>
        <w:trPr>
          <w:trHeight w:val="702"/>
        </w:trPr>
        <w:tc>
          <w:tcPr>
            <w:tcW w:w="4100" w:type="dxa"/>
            <w:vAlign w:val="bottom"/>
          </w:tcPr>
          <w:p>
            <w:pPr>
              <w:spacing w:after="0"/>
              <w:rPr>
                <w:sz w:val="24"/>
                <w:szCs w:val="24"/>
                <w:color w:val="auto"/>
              </w:rPr>
            </w:pPr>
          </w:p>
        </w:tc>
        <w:tc>
          <w:tcPr>
            <w:tcW w:w="4200" w:type="dxa"/>
            <w:vAlign w:val="bottom"/>
          </w:tcPr>
          <w:p>
            <w:pPr>
              <w:jc w:val="right"/>
              <w:ind w:right="24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43"/>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453.7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419.8</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834.8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793.4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One time inventory write down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Items in Losses (Gains) and other expenses, net that are excluded from segment profit (loss)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60.8</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Contractor tax payments,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Acquisition costs,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One time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Loss on assets held for sale;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225" w:lineRule="exact"/>
        <w:rPr>
          <w:sz w:val="20"/>
          <w:szCs w:val="20"/>
          <w:color w:val="auto"/>
        </w:rPr>
      </w:pPr>
    </w:p>
    <w:p>
      <w:pPr>
        <w:jc w:val="both"/>
        <w:ind w:left="60" w:firstLine="243"/>
        <w:spacing w:after="0" w:line="286" w:lineRule="auto"/>
        <w:rPr>
          <w:sz w:val="20"/>
          <w:szCs w:val="20"/>
          <w:color w:val="auto"/>
        </w:rPr>
      </w:pPr>
      <w:r>
        <w:rPr>
          <w:rFonts w:ascii="Arial" w:cs="Arial" w:eastAsia="Arial" w:hAnsi="Arial"/>
          <w:sz w:val="17"/>
          <w:szCs w:val="17"/>
          <w:color w:val="auto"/>
        </w:rPr>
        <w:t>Except for the seasonal increase in total assets across all reportable segments, there have not been any material changes in the composition of total assets by segment since December 31, 2017; however, during the quarter we have reclassified assets and liabilities related to our Australia, New Zealand and Asia businesses as Assets held for sale in our Consolidated Balance Sheet. Refer to Note 14 for details regarding assets held for sale.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March 31, 2018 were the same as those used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Equity Securities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presents the fair value of an investment in marketable equity securities, classified as Level 1 and related to publicly traded stock of a non-U.S. company, recorded in Other assets, net in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marketable 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7"/>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senior unsecured notes are unconditionally guaranteed by certain of the Company’s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the investments in subsidiaries of the Company using the equity method of accounting. The principal elimination entries eliminate investments in subsidiaries and intercompany balances and transactions. Condensed consolidating financial statements of the Company, its Guarantor Subsidiaries and Non-Guarantor Subsidiaries as of March 31, 2018 and December 31, 2017 and for the three months ended March 31, 2018 and 2017 are shown on the following pages.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7"/>
                <w:szCs w:val="17"/>
                <w:color w:val="auto"/>
              </w:rPr>
              <w:t>Assets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(payables) receivables,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2,162.5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2,086.1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7"/>
                <w:szCs w:val="17"/>
                <w:color w:val="auto"/>
              </w:rPr>
              <w:t>Liabilities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(receivable)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985.7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2,162.5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2,086.1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1,841.4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March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March 31,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19. Subsequent Event:</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second quarter of 2018, we obtained board approval and signed an agreement with Elgin SA, a private Brazilian company, for the sale of our South America business. The sale is subject to Brazilian antitrust approval and is expected to close later this year. We expect to take a non-cash charge of approximately $30 million during the second quarter of 2018 related to the sale of this business.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2017,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first quarter of 2018, the Residential Heating &amp; Cooling segment led our overall operational performance in the first quarter of 2018 with a 8% increase in net sales and had $9 million in increased segment profit compared to the first quarter of 2017. This segment's profits were up largely due to higher volumes and favorable price and mix. Our Commercial Heating &amp;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Cooling segment had a 5% increase in net sales and relatively flat segment profit compared to the first quarter of 2017. The primary growth driver for this segment was volume gains. Sales in our Refrigeration segment decreased by 1% and segment profit was down $3 million compared to the the first quarter of 2017 due primarily to lower volumes, unfavorable mix, and factory inefficiencies.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sales increased $41 million, or 5%, to $835 million in the the first quarter of 2018 compared to the the first quarter of 2017.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in the the first quarter of 2018 decreased $8 million to $53 million.</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income for the the first quarter of 2018 decreased $6 million to $38 million, including the $10 million loss on assets held for sale in the the first quarter of 2018 partially offset by the benefit of $4 million of discrete tax benefits related to excess tax benefits from share-based compensation.</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$0.90 per share in the the first quarter of 2018 compared to $1.00 per share in the the first quarter of 2017.</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months ended March 31, 2018, we returned $21 million to shareholders through dividend payments and entered into an agreement to repurchase $150 million of common stock that was completed in April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2018 Compared to First Quarter of 2017 -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6"/>
          </w:tcPr>
          <w:p>
            <w:pPr>
              <w:ind w:left="440"/>
              <w:spacing w:after="0"/>
              <w:rPr>
                <w:sz w:val="20"/>
                <w:szCs w:val="20"/>
                <w:color w:val="auto"/>
              </w:rPr>
            </w:pPr>
            <w:r>
              <w:rPr>
                <w:rFonts w:ascii="Arial" w:cs="Arial" w:eastAsia="Arial" w:hAnsi="Arial"/>
                <w:sz w:val="16"/>
                <w:szCs w:val="16"/>
                <w:b w:val="1"/>
                <w:bCs w:val="1"/>
                <w:color w:val="auto"/>
              </w:rPr>
              <w:t>For the Three Months Ended March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180" w:type="dxa"/>
            <w:vAlign w:val="bottom"/>
            <w:gridSpan w:val="5"/>
            <w:vMerge w:val="continue"/>
          </w:tcPr>
          <w:p>
            <w:pPr>
              <w:spacing w:after="0"/>
              <w:rPr>
                <w:sz w:val="6"/>
                <w:szCs w:val="6"/>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Fav/(Unfav)</w:t>
            </w:r>
          </w:p>
        </w:tc>
        <w:tc>
          <w:tcPr>
            <w:tcW w:w="12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Net sales increased 5% in the the first quarter of 2018 compared to the the first quarter of 2017, primarily from 3% higher sales volumes, 1% from favorable price and 1% from favorable foreign currency exchange rates. The Residential Heating &amp; Cooling segment delivered higher volume from increased replacement equipment and increased parts and supplies sales. The Commercial Heating &amp; Cooling segment delivered higher volume from our North American equipment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Gross profit margin in the the first quarter of 2018 increased to 26.7% compared to 26.6% in the the first quarter of 2017. We saw positive margin increases of 100 basis points ("bps") from favorable price, 100 bps from lower material costs, 40 bps from total other product costs, 20 bps from product warranties, and 10 bps from favorable foreign currency exchange rates. Partially offsetting these increases were decreases of 120 bps from higher freight and distribution costs, 110 bps from higher commodity prices, and 30 bps from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or SG&amp;A, was $155 million in the the first quarter of 2018 compared to $152 million in the the first quarter of 2017, and as a percentage of net sales decreased 60 bps to 18.6%. SG&amp;A increased primarily due to wage inflation.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the first quarter of 2018 and 2017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5"/>
          <w:szCs w:val="15"/>
          <w:b w:val="1"/>
          <w:bCs w:val="1"/>
          <w:color w:val="auto"/>
        </w:rPr>
        <w:t>For the Three Months Ended March</w:t>
      </w:r>
    </w:p>
    <w:p>
      <w:pPr>
        <w:spacing w:after="0" w:line="3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on settled future contracts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losses (gains)</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on unsettled futures contracts</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Divestiture costs</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7"/>
                <w:szCs w:val="17"/>
                <w:color w:val="auto"/>
              </w:rPr>
              <w:t>—</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Losses and other expenses, net (pre-tax)</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Restructuring charges were $1 million in the the first quarter of 2018. The charges in 2018 were primarily for projects to realign resources and enhance distribution capabilities. For additional information on our restructuring activities, refer to Note 13 in the Notes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$4 million in the the first quarter of 2018 was down $2 million when compared to the the first quarter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$8 million in the the first quarter of 2018 was up from $7 million in the first quarter of 2017 due to an increase in our average net borrowings and increasing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our annual effective tax rate to be between 22% and 24%, excluding the impact of excess tax benefits recorded as a reduction of income taxes under ASU No. 2016-09.</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effective tax rate was 13.9% for the first quarter of 2018, after the impact of excess tax benefits, compared to 18.5% for the first quarter of 2017, after the impact of excess tax benefits. The rate for the first quarter of 2018 is lower as compared to the first quarter of 2017 primarily due to the reduced U.S. federal corporate tax rate from enactment of the Tax Cuts and Jobs Act on December 22,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First Quarter of 2018 Compared to First Quarter of 2017 -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the first quarter of 2018 and 2017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For the Three Months Ended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by 8% in the the first quarter of 2018 compared to the the first quarter of 2017. Sales volume increased 5%, price and mix combined increased sales by 3%.</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Segment profit in the the first quarter of 2018 increased $9 million compared to the the first quarter of 2017 due to $13 million from favorable price and mix, $6 million in higher sales volume, $5 million from sourcing and engineering-led cost reductions, $4 million from lower other product costs, and $1 million from improved factory productivity. Partially offsetting these increases was $9 million from higher freight and distribution costs, $6 million from higher commodity costs, $3 million from higher SG&amp;A expense, and $2 million lower income from equity method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Commercial Heating &amp; Cooling segment's net sales and profit for the first quarter of 2018 and 2017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March</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9"/>
              </w:rPr>
              <w:t>31,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2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205.5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19.5</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5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by 5% in the first quarter of 2018 compared to the first quarter of 2017. Sales volume increased by 3%, favorable foreign currency exchange rates contributed 2% and price and mix combined were flat.</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first quarter of 2018 was flat compared to the first quarter of 2017 due to $2 million from favorable price, $2 million from lower SG&amp;A, $1 million from higher sales volume, $1 million from sourcing and engineering-led cost reductions, and $1 million from lower other product costs. Offsetting these increases was $4 million from unfavorable mix, $2 million from higher commodity costs, and $1 million from higher freight and distribution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first quarter of 2018 and 2017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For the Three Months Ended March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Net sales decreased 1% in the first quarter of 2018 compared to the first quarter of 2017. Sales volume was lower by 4%, partially offset by 3% favorable foreign currency exchange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jc w:val="both"/>
        <w:ind w:right="300" w:firstLine="162"/>
        <w:spacing w:after="0" w:line="259" w:lineRule="auto"/>
        <w:rPr>
          <w:sz w:val="20"/>
          <w:szCs w:val="20"/>
          <w:color w:val="auto"/>
        </w:rPr>
      </w:pPr>
      <w:r>
        <w:rPr>
          <w:rFonts w:ascii="Arial" w:cs="Arial" w:eastAsia="Arial" w:hAnsi="Arial"/>
          <w:sz w:val="18"/>
          <w:szCs w:val="18"/>
          <w:color w:val="auto"/>
        </w:rPr>
        <w:t>Segment profit for the first quarter of 2018 decreased $3 million compared to the first quarter of 2017. The decrease was driven by $3 million of factory inefficiencies, $2 million from lower sales volume, $1 million from unfavorable mix, $1 million from higher commodity costs, and $1 million from lower equity method investments. Partially offsetting these decreases was $2 million from sourcing and engineering-led cost reductions, $1 million of favorable price, $1 million of lower other product costs, and $1 million of lower SG&amp;A.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and other expenses in the first quarter of 2018 were flat compared to the first quarter of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three months ended March 31, 2018 and 2017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5"/>
          <w:szCs w:val="15"/>
          <w:b w:val="1"/>
          <w:bCs w:val="1"/>
          <w:color w:val="auto"/>
        </w:rPr>
        <w:t>For the Three Months Ended March</w:t>
      </w:r>
    </w:p>
    <w:p>
      <w:pPr>
        <w:spacing w:after="0" w:line="3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128.4</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 xml:space="preserve">Net Cash Used in Operating Activities - </w:t>
      </w:r>
      <w:r>
        <w:rPr>
          <w:rFonts w:ascii="Arial" w:cs="Arial" w:eastAsia="Arial" w:hAnsi="Arial"/>
          <w:sz w:val="18"/>
          <w:szCs w:val="18"/>
          <w:color w:val="auto"/>
        </w:rPr>
        <w:t>The net cash used in operating activities in the first three months of 2018 and 2017 reflects the seasonal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working capital requirements. The decrease in cash used in operating activities in the first three months of 2018 as compared to 2017 was mainly due to the timing of working capital payments.</w:t>
      </w:r>
    </w:p>
    <w:p>
      <w:pPr>
        <w:spacing w:after="0" w:line="18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$23 million and $25 million in the first three months of 2018 and 2017,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in 2018 were primarily related to expansion of our manufacturing capacity and equipment and investments in systems and software to support the overall enterprise.</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Net Cash Provided by Financing Activities - </w:t>
      </w:r>
      <w:r>
        <w:rPr>
          <w:rFonts w:ascii="Arial" w:cs="Arial" w:eastAsia="Arial" w:hAnsi="Arial"/>
          <w:sz w:val="17"/>
          <w:szCs w:val="17"/>
          <w:color w:val="auto"/>
        </w:rPr>
        <w:t>Net cash provided by financing activities decreased in the first three months of 2018 to $96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$128 million in the first three months of 2017. Cash continues to be provided by an increase in net borrowings and we continue to make share repurchases and dividend payments. During the first quarter of 2018, we entered into a $150 million accelerated share repurchase agreement that was settled in April 2018. For additional information on share repurchases, refer to Note 11 in the Notes to the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March 31, 2018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r>
      <w:tr>
        <w:trPr>
          <w:trHeight w:val="210"/>
        </w:trPr>
        <w:tc>
          <w:tcPr>
            <w:tcW w:w="9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r>
      <w:tr>
        <w:trPr>
          <w:trHeight w:val="33"/>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Short-term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Foreign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0.9</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w:t>
            </w: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9320" w:type="dxa"/>
            <w:vAlign w:val="bottom"/>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225.0</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675.5</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1,258.3</w:t>
            </w:r>
          </w:p>
        </w:tc>
      </w:tr>
      <w:tr>
        <w:trPr>
          <w:trHeight w:val="237"/>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1,289.1</w:t>
            </w:r>
          </w:p>
        </w:tc>
      </w:tr>
      <w:tr>
        <w:trPr>
          <w:trHeight w:val="27"/>
        </w:trPr>
        <w:tc>
          <w:tcPr>
            <w:tcW w:w="9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26" w:lineRule="auto"/>
        <w:tabs>
          <w:tab w:leader="none" w:pos="21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$154.1 million after being reduced by the outstanding borrowings and $2.9 million in outstanding standby letters of credit. We also had $32.1 million in outstanding standby letters of credit outside of the domestic credit facility as of March 31, 2018.</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108.6% at March 31, 2018 from 95.2% at December 31, 2017.</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March 31, 2018,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believe our cash and cash equivalents of $57 million, future cash generated from operations and available future borrowings are sufficient to fund operations, planned capital expenditures, future contractual obligations, share repurchases, potential dividends and other needs in the foreseeable future. Included in our cash and cash equivalents of $57 million as of March 31, 2018 was $40.7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230"/>
        <w:spacing w:after="0" w:line="264" w:lineRule="auto"/>
        <w:rPr>
          <w:sz w:val="20"/>
          <w:szCs w:val="20"/>
          <w:color w:val="auto"/>
        </w:rPr>
      </w:pPr>
      <w:r>
        <w:rPr>
          <w:rFonts w:ascii="Arial" w:cs="Arial" w:eastAsia="Arial" w:hAnsi="Arial"/>
          <w:sz w:val="18"/>
          <w:szCs w:val="18"/>
          <w:color w:val="auto"/>
        </w:rPr>
        <w:t>Our expected capital expenditures for 2018 are $100 million. We also continue to increase shareholder value through our share repurchase programs and dividend payments, with the completion of a $150 million accelerated share repurchase program initiated in the first three months of 2018 and the declaration of $21 million of cash dividends in the first three months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credit facilities, promissory notes and leasing commitments described above, we also lease real estate and machinery and equipment pursuant to operating leases that are not capitalized on the balance sheet, including high-turnover equipment such as autos and service vehicles and short-lived equipment such as personal computers. Our operating lease commitments have not materially changed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2017. Our exposure to market risk has not changed materially since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2018,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There were no changes during the quarter ended March 31, 2018 in our internal control over financial reporting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discussed in Part I, “Item 1A. Risk Factors” in our Annual Report on Form 10-K for the year ended December 31, 2017, which could materially affect our business, financial condition or results of operations. There have been no material changes to our risk factors from those disclosed in our 2017 Annual Report on Form 10-K.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first quarter of 2018,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(in millions) </w:t>
            </w:r>
            <w:r>
              <w:rPr>
                <w:rFonts w:ascii="Arial" w:cs="Arial" w:eastAsia="Arial" w:hAnsi="Arial"/>
                <w:sz w:val="21"/>
                <w:szCs w:val="21"/>
                <w:b w:val="1"/>
                <w:bCs w:val="1"/>
                <w:color w:val="auto"/>
                <w:w w:val="87"/>
                <w:vertAlign w:val="superscript"/>
              </w:rPr>
              <w:t>(2) (3)</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through February 3</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11,886</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209.20</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396.0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February 4 through February 24</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680,801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193.34</w:t>
            </w:r>
          </w:p>
        </w:tc>
        <w:tc>
          <w:tcPr>
            <w:tcW w:w="22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660,485</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246.0</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25 through March 31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54,489</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211.62</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746.0</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747,176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660,485</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169"/>
        <w:spacing w:after="0" w:line="216" w:lineRule="auto"/>
        <w:tabs>
          <w:tab w:leader="none" w:pos="488"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repurchased 86,691 shares of common stock in January, February and March 2018 surrendered to LII to satisfy employee tax-withholding obligations in connection with the exercise of long-term incentive awards.</w:t>
      </w:r>
    </w:p>
    <w:p>
      <w:pPr>
        <w:spacing w:after="0" w:line="41" w:lineRule="exact"/>
        <w:rPr>
          <w:rFonts w:ascii="Arial" w:cs="Arial" w:eastAsia="Arial" w:hAnsi="Arial"/>
          <w:sz w:val="25"/>
          <w:szCs w:val="25"/>
          <w:color w:val="auto"/>
          <w:vertAlign w:val="superscript"/>
        </w:rPr>
      </w:pPr>
    </w:p>
    <w:p>
      <w:pPr>
        <w:jc w:val="both"/>
        <w:ind w:left="420" w:hanging="169"/>
        <w:spacing w:after="0" w:line="22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After $150 million payment for Accelerated Share Repurchase Plan (ASR) executed in February 2018. Final settlement of the ASR occurred in April 2018. The ASR was offered pursuant to a previously announced repurchase plan. See Note 11 in the Notes to the Consolidated Financial Statements for further details.</w:t>
      </w:r>
    </w:p>
    <w:p>
      <w:pPr>
        <w:spacing w:after="0" w:line="7" w:lineRule="exact"/>
        <w:rPr>
          <w:rFonts w:ascii="Arial" w:cs="Arial" w:eastAsia="Arial" w:hAnsi="Arial"/>
          <w:sz w:val="25"/>
          <w:szCs w:val="25"/>
          <w:color w:val="auto"/>
          <w:vertAlign w:val="superscript"/>
        </w:rPr>
      </w:pPr>
    </w:p>
    <w:p>
      <w:pPr>
        <w:ind w:left="440" w:hanging="189"/>
        <w:spacing w:after="0"/>
        <w:tabs>
          <w:tab w:leader="none" w:pos="44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Our Board of Directors authorized an additional $500 million towards the repurchase of shares of our common stock in March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8"/>
            <w:shd w:val="clear" w:color="auto" w:fill="CCEEFF"/>
          </w:tcPr>
          <w:p>
            <w:pPr>
              <w:spacing w:after="0"/>
              <w:rPr>
                <w:sz w:val="20"/>
                <w:szCs w:val="20"/>
                <w:color w:val="auto"/>
              </w:rPr>
            </w:pPr>
            <w:r>
              <w:rPr>
                <w:rFonts w:ascii="Arial" w:cs="Arial" w:eastAsia="Arial" w:hAnsi="Arial"/>
                <w:sz w:val="18"/>
                <w:szCs w:val="18"/>
                <w:color w:val="auto"/>
                <w:w w:val="97"/>
              </w:rPr>
              <w:t>Restated Certificate of Incorporation of Lennox International Inc. (“LII”) (filed as Exhibit 3.1 to LII’s Registration Statement on Form S-1</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8"/>
            <w:shd w:val="clear" w:color="auto" w:fill="CCEEFF"/>
          </w:tcPr>
          <w:p>
            <w:pPr>
              <w:spacing w:after="0"/>
              <w:rPr>
                <w:sz w:val="20"/>
                <w:szCs w:val="20"/>
                <w:color w:val="auto"/>
              </w:rPr>
            </w:pPr>
            <w:r>
              <w:rPr>
                <w:rFonts w:ascii="Arial" w:cs="Arial" w:eastAsia="Arial" w:hAnsi="Arial"/>
                <w:sz w:val="18"/>
                <w:szCs w:val="18"/>
                <w:color w:val="auto"/>
              </w:rPr>
              <w:t>(Registration Statement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8"/>
          </w:tcPr>
          <w:p>
            <w:pPr>
              <w:spacing w:after="0" w:line="202"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8"/>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460" w:type="dxa"/>
            <w:vAlign w:val="bottom"/>
            <w:gridSpan w:val="28"/>
            <w:shd w:val="clear" w:color="auto" w:fill="CCEEFF"/>
          </w:tcPr>
          <w:p>
            <w:pPr>
              <w:spacing w:after="0"/>
              <w:rPr>
                <w:sz w:val="20"/>
                <w:szCs w:val="20"/>
                <w:color w:val="auto"/>
              </w:rPr>
            </w:pPr>
            <w:r>
              <w:rPr>
                <w:rFonts w:ascii="Arial" w:cs="Arial" w:eastAsia="Arial" w:hAnsi="Arial"/>
                <w:sz w:val="18"/>
                <w:szCs w:val="18"/>
                <w:color w:val="auto"/>
                <w:w w:val="95"/>
              </w:rPr>
              <w:t>Specimen Stock Certificate for the Common Stock, par value $.01 per share, of LII (filed as Exhibit 4.1 to LII’s Amendment to Registration</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8"/>
            <w:shd w:val="clear" w:color="auto" w:fill="CCEEFF"/>
          </w:tcPr>
          <w:p>
            <w:pPr>
              <w:spacing w:after="0"/>
              <w:rPr>
                <w:sz w:val="20"/>
                <w:szCs w:val="20"/>
                <w:color w:val="auto"/>
              </w:rPr>
            </w:pPr>
            <w:r>
              <w:rPr>
                <w:rFonts w:ascii="Arial" w:cs="Arial" w:eastAsia="Arial" w:hAnsi="Arial"/>
                <w:sz w:val="18"/>
                <w:szCs w:val="18"/>
                <w:color w:val="auto"/>
              </w:rPr>
              <w:t>Statement on Form S-1/A (Registration No. 333-75725) filed on June 16,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8"/>
          </w:tcPr>
          <w:p>
            <w:pPr>
              <w:spacing w:after="0" w:line="202"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96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Form of First Supplemental Indenture among LII, the guarantors party thereto and U.S. Bank National Association, as trustee (filed as</w:t>
              </w:r>
            </w:hyperlink>
          </w:p>
        </w:tc>
        <w:tc>
          <w:tcPr>
            <w:tcW w:w="800" w:type="dxa"/>
            <w:vAlign w:val="bottom"/>
            <w:tcBorders>
              <w:bottom w:val="single" w:sz="8" w:color="CCEEFF"/>
            </w:tcBorders>
            <w:gridSpan w:val="15"/>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Exhibit 4.11 to LII’s Post-Effective Amendment No. 1 to Registration Statement on S-3 (Registration No. 333-155796) filed on May 3, 2010,</w:t>
              </w:r>
            </w:hyperlink>
          </w:p>
        </w:tc>
        <w:tc>
          <w:tcPr>
            <w:tcW w:w="28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and incorporated herein by reference)</w:t>
              </w:r>
              <w:r>
                <w:rPr>
                  <w:rFonts w:ascii="Arial" w:cs="Arial" w:eastAsia="Arial" w:hAnsi="Arial"/>
                  <w:sz w:val="18"/>
                  <w:szCs w:val="18"/>
                  <w:color w:val="000000"/>
                </w:rPr>
                <w:t>.</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8"/>
          </w:tcPr>
          <w:p>
            <w:pPr>
              <w:spacing w:after="0" w:line="202"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Second Supplemental Indenture dated as of March 28, 2011, among Heatcraft Inc., a Mississippi corporation, Heatcraft Refrigeration Products</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LLC, a Delaware limited liability company and Advanced Distributor Products LLC, a Delaware limited liability company (the “Guarantors”),</w:t>
              </w:r>
            </w:hyperlink>
          </w:p>
        </w:tc>
      </w:tr>
      <w:tr>
        <w:trPr>
          <w:trHeight w:val="196"/>
        </w:trPr>
        <w:tc>
          <w:tcPr>
            <w:tcW w:w="9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LII, and each other existing Guarantor under the Indenture dated as of May 3, 2010, and U.S. Bank National Association as Trustee (filed as</w:t>
              </w:r>
            </w:hyperlink>
          </w:p>
        </w:tc>
        <w:tc>
          <w:tcPr>
            <w:tcW w:w="180" w:type="dxa"/>
            <w:vAlign w:val="bottom"/>
            <w:tcBorders>
              <w:top w:val="single" w:sz="8" w:color="0000FF"/>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Exhibit 4.4 to LII’s Quarterly Report on Form 10-Q filed on April 26, 2011,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8"/>
            <w:shd w:val="clear" w:color="auto" w:fill="CCEEFF"/>
          </w:tcPr>
          <w:p>
            <w:pPr>
              <w:spacing w:after="0" w:line="202"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Fourth Supplemental Indenture, dated as of December 10, 2013 among Lennox National Account Services LLC, LGL Australia (US) Inc.,</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Lennox International Inc., each other existing Guarantor under the Indenture, dated as of May 3, 2010, as subsequently supplemented, and U.S.</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w w:val="94"/>
              </w:rPr>
            </w:pPr>
            <w:hyperlink r:id="rId23">
              <w:r>
                <w:rPr>
                  <w:rFonts w:ascii="Arial" w:cs="Arial" w:eastAsia="Arial" w:hAnsi="Arial"/>
                  <w:sz w:val="18"/>
                  <w:szCs w:val="18"/>
                  <w:color w:val="0000FF"/>
                  <w:w w:val="94"/>
                </w:rPr>
                <w:t>Bank National Association (filed as Exhibit 4.5 to LII's Annual Report on Form 10-K filed on February 13, 2014 and incorporated herein by</w:t>
              </w:r>
            </w:hyperlink>
          </w:p>
        </w:tc>
        <w:tc>
          <w:tcPr>
            <w:tcW w:w="140" w:type="dxa"/>
            <w:vAlign w:val="bottom"/>
            <w:tcBorders>
              <w:top w:val="single" w:sz="8" w:color="CCEEFF"/>
            </w:tcBorders>
            <w:gridSpan w:val="5"/>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reference).</w:t>
              </w:r>
            </w:hyperlink>
          </w:p>
        </w:tc>
        <w:tc>
          <w:tcPr>
            <w:tcW w:w="360" w:type="dxa"/>
            <w:vAlign w:val="bottom"/>
            <w:tcBorders>
              <w:top w:val="single" w:sz="8" w:color="CCEEFF"/>
            </w:tcBorders>
            <w:gridSpan w:val="12"/>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10380" w:type="dxa"/>
            <w:vAlign w:val="bottom"/>
            <w:tcBorders>
              <w:bottom w:val="single" w:sz="8" w:color="0000FF"/>
            </w:tcBorders>
            <w:gridSpan w:val="26"/>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Fifth Supplemental Indenture, dated as of August 30, 2016 among LGL Europe Holding Co., each other existing Guarantor under the Indenture,</w:t>
              </w:r>
            </w:hyperlink>
          </w:p>
        </w:tc>
        <w:tc>
          <w:tcPr>
            <w:tcW w:w="8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2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dated as of May 3, 2010, as subsequently supplemented, and U.S. Bank National Association (filed as Exhibit 4.6 to LII's Quarterly Report on</w:t>
              </w:r>
            </w:hyperlink>
          </w:p>
        </w:tc>
        <w:tc>
          <w:tcPr>
            <w:tcW w:w="20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10-Q filed on October 17, 2016, and incorporated by reference)</w:t>
              </w:r>
              <w:r>
                <w:rPr>
                  <w:rFonts w:ascii="Arial" w:cs="Arial" w:eastAsia="Arial" w:hAnsi="Arial"/>
                  <w:sz w:val="18"/>
                  <w:szCs w:val="18"/>
                  <w:color w:val="000000"/>
                </w:rPr>
                <w:t>.</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4.7</w:t>
            </w:r>
          </w:p>
        </w:tc>
        <w:tc>
          <w:tcPr>
            <w:tcW w:w="10460" w:type="dxa"/>
            <w:vAlign w:val="bottom"/>
            <w:gridSpan w:val="28"/>
            <w:shd w:val="clear" w:color="auto" w:fill="CCEEFF"/>
          </w:tcPr>
          <w:p>
            <w:pPr>
              <w:spacing w:after="0" w:line="202"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Sixth Supplemental Indenture, dated as of November 3, 2016, among LII, each other existing Guarantor under the Indenture, dated as of May 3,</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25"/>
            <w:shd w:val="clear" w:color="auto" w:fill="CCEEFF"/>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2010, as subsequently supplemented, and US Bank National Association, as trustee (filed as Exhibit 4.2 to LII’s Current Report on Form 8-K</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filed on November 3, 2016, and incorporated by reference).</w:t>
              </w:r>
            </w:hyperlink>
          </w:p>
        </w:tc>
        <w:tc>
          <w:tcPr>
            <w:tcW w:w="300" w:type="dxa"/>
            <w:vAlign w:val="bottom"/>
            <w:tcBorders>
              <w:top w:val="single" w:sz="8" w:color="CCEEFF"/>
            </w:tcBorders>
            <w:gridSpan w:val="10"/>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4.8</w:t>
            </w:r>
          </w:p>
        </w:tc>
        <w:tc>
          <w:tcPr>
            <w:tcW w:w="9800" w:type="dxa"/>
            <w:vAlign w:val="bottom"/>
            <w:tcBorders>
              <w:bottom w:val="single" w:sz="8" w:color="0000FF"/>
            </w:tcBorders>
            <w:gridSpan w:val="14"/>
          </w:tcPr>
          <w:p>
            <w:pPr>
              <w:spacing w:after="0" w:line="202"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incorporated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34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Amendment No. 7 to Amended and Restated Receivables Purchase Agreement among LPAC Corp., as the Seller, Lennox Industries Inc., as the</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Master Servicer, Victory Receivables Corporation, as Purchaser and The Bank of Tokyo-Mitsubishi UFJ, Ltd., New York Branch, as</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952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Administrative Agent, a Liquidity Bank and a Purchaser Agent.(filed herewith)</w:t>
              </w:r>
            </w:hyperlink>
          </w:p>
        </w:tc>
        <w:tc>
          <w:tcPr>
            <w:tcW w:w="940" w:type="dxa"/>
            <w:vAlign w:val="bottom"/>
            <w:tcBorders>
              <w:top w:val="single" w:sz="8" w:color="CCEEFF"/>
            </w:tcBorders>
            <w:gridSpan w:val="16"/>
            <w:shd w:val="clear" w:color="auto" w:fill="CCEEFF"/>
          </w:tcPr>
          <w:p>
            <w:pPr>
              <w:spacing w:after="0"/>
              <w:rPr>
                <w:sz w:val="17"/>
                <w:szCs w:val="17"/>
                <w:color w:val="auto"/>
              </w:rPr>
            </w:pPr>
          </w:p>
        </w:tc>
      </w:tr>
      <w:tr>
        <w:trPr>
          <w:trHeight w:val="264"/>
        </w:trPr>
        <w:tc>
          <w:tcPr>
            <w:tcW w:w="9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6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158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1012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Second Amendment To Sixth Amended and Restated Credit Facility Agreement dated March 16,2018, among Lennox International Inc., the</w:t>
              </w:r>
            </w:hyperlink>
          </w:p>
        </w:tc>
        <w:tc>
          <w:tcPr>
            <w:tcW w:w="340" w:type="dxa"/>
            <w:vAlign w:val="bottom"/>
            <w:gridSpan w:val="11"/>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8"/>
          </w:tcPr>
          <w:p>
            <w:pPr>
              <w:spacing w:after="0" w:line="196" w:lineRule="exact"/>
              <w:rPr>
                <w:rFonts w:ascii="Arial" w:cs="Arial" w:eastAsia="Arial" w:hAnsi="Arial"/>
                <w:sz w:val="18"/>
                <w:szCs w:val="18"/>
                <w:color w:val="0000FF"/>
              </w:rPr>
            </w:pPr>
            <w:hyperlink w:anchor="page108">
              <w:r>
                <w:rPr>
                  <w:rFonts w:ascii="Arial" w:cs="Arial" w:eastAsia="Arial" w:hAnsi="Arial"/>
                  <w:sz w:val="18"/>
                  <w:szCs w:val="18"/>
                  <w:color w:val="0000FF"/>
                </w:rPr>
                <w:t>lenders a party thereto, and J.P.Morgan Chase Bank, N.A.,as Administrative Agent (filed herewith).</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5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3"/>
              </w:rPr>
            </w:pPr>
            <w:hyperlink w:anchor="page116">
              <w:r>
                <w:rPr>
                  <w:rFonts w:ascii="Arial" w:cs="Arial" w:eastAsia="Arial" w:hAnsi="Arial"/>
                  <w:sz w:val="18"/>
                  <w:szCs w:val="18"/>
                  <w:color w:val="0000FF"/>
                  <w:w w:val="93"/>
                </w:rPr>
                <w:t>Certification of the principal executive officer (filed herewith).</w:t>
              </w:r>
            </w:hyperlink>
          </w:p>
        </w:tc>
        <w:tc>
          <w:tcPr>
            <w:tcW w:w="5940" w:type="dxa"/>
            <w:vAlign w:val="bottom"/>
            <w:tcBorders>
              <w:bottom w:val="single" w:sz="8" w:color="CCEEFF"/>
            </w:tcBorders>
            <w:gridSpan w:val="21"/>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460" w:type="dxa"/>
            <w:vAlign w:val="bottom"/>
            <w:gridSpan w:val="28"/>
          </w:tcPr>
          <w:p>
            <w:pPr>
              <w:spacing w:after="0" w:line="202" w:lineRule="exact"/>
              <w:rPr>
                <w:rFonts w:ascii="Arial" w:cs="Arial" w:eastAsia="Arial" w:hAnsi="Arial"/>
                <w:sz w:val="18"/>
                <w:szCs w:val="18"/>
                <w:color w:val="0000FF"/>
              </w:rPr>
            </w:pPr>
            <w:hyperlink w:anchor="page117">
              <w:r>
                <w:rPr>
                  <w:rFonts w:ascii="Arial" w:cs="Arial" w:eastAsia="Arial" w:hAnsi="Arial"/>
                  <w:sz w:val="18"/>
                  <w:szCs w:val="18"/>
                  <w:color w:val="0000FF"/>
                </w:rPr>
                <w:t>Certification of the principal financial officer (filed herewith).</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460" w:type="dxa"/>
            <w:vAlign w:val="bottom"/>
            <w:gridSpan w:val="28"/>
            <w:shd w:val="clear" w:color="auto" w:fill="CCEEFF"/>
          </w:tcPr>
          <w:p>
            <w:pPr>
              <w:spacing w:after="0" w:line="202" w:lineRule="exact"/>
              <w:rPr>
                <w:rFonts w:ascii="Arial" w:cs="Arial" w:eastAsia="Arial" w:hAnsi="Arial"/>
                <w:sz w:val="18"/>
                <w:szCs w:val="18"/>
                <w:color w:val="0000FF"/>
                <w:w w:val="97"/>
              </w:rPr>
            </w:pPr>
            <w:hyperlink w:anchor="page118">
              <w:r>
                <w:rPr>
                  <w:rFonts w:ascii="Arial" w:cs="Arial" w:eastAsia="Arial" w:hAnsi="Arial"/>
                  <w:sz w:val="18"/>
                  <w:szCs w:val="18"/>
                  <w:color w:val="0000FF"/>
                  <w:w w:val="97"/>
                </w:rPr>
                <w:t>Certification of the principal executive officer and the principal financial officer pursuant to 18 U.S.C. Section 1350 (furnished herewith).</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20"/>
          </w:cols>
          <w:pgMar w:left="240" w:top="796" w:right="11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EXECUTION COPY</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7 TO</w:t>
      </w:r>
    </w:p>
    <w:p>
      <w:pPr>
        <w:jc w:val="center"/>
        <w:spacing w:after="0"/>
        <w:rPr>
          <w:sz w:val="20"/>
          <w:szCs w:val="20"/>
          <w:color w:val="auto"/>
        </w:rPr>
      </w:pPr>
      <w:r>
        <w:rPr>
          <w:rFonts w:ascii="Arial" w:cs="Arial" w:eastAsia="Arial" w:hAnsi="Arial"/>
          <w:sz w:val="20"/>
          <w:szCs w:val="20"/>
          <w:color w:val="auto"/>
        </w:rPr>
        <w:t>AMENDED AND RESTATED RECEIVABLES PURCHASE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AMENDMENT NO. 7, dated as of March 6, 2018 (this “</w:t>
      </w: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is made with respect to that certain Amended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Restated Receivables Purchase Agreement, dated as of November 18, 2011 (as amended, restated, supplemented or otherwise modified,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among LPAC CORP., a Delaware corporation ( the “</w:t>
      </w:r>
      <w:r>
        <w:rPr>
          <w:rFonts w:ascii="Arial" w:cs="Arial" w:eastAsia="Arial" w:hAnsi="Arial"/>
          <w:sz w:val="18"/>
          <w:szCs w:val="18"/>
          <w:i w:val="1"/>
          <w:iCs w:val="1"/>
          <w:u w:val="single" w:color="auto"/>
          <w:color w:val="auto"/>
        </w:rPr>
        <w:t>Seller</w:t>
      </w:r>
      <w:r>
        <w:rPr>
          <w:rFonts w:ascii="Arial" w:cs="Arial" w:eastAsia="Arial" w:hAnsi="Arial"/>
          <w:sz w:val="18"/>
          <w:szCs w:val="18"/>
          <w:color w:val="auto"/>
        </w:rPr>
        <w:t>”), LENNOX INDUSTRIES INC., a Delaware corporation, as master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servicer thereunder (in such capacity, the “</w:t>
      </w:r>
      <w:r>
        <w:rPr>
          <w:rFonts w:ascii="Arial" w:cs="Arial" w:eastAsia="Arial" w:hAnsi="Arial"/>
          <w:sz w:val="19"/>
          <w:szCs w:val="19"/>
          <w:i w:val="1"/>
          <w:iCs w:val="1"/>
          <w:u w:val="single" w:color="auto"/>
          <w:color w:val="auto"/>
        </w:rPr>
        <w:t>Master Servicer</w:t>
      </w:r>
      <w:r>
        <w:rPr>
          <w:rFonts w:ascii="Arial" w:cs="Arial" w:eastAsia="Arial" w:hAnsi="Arial"/>
          <w:sz w:val="19"/>
          <w:szCs w:val="19"/>
          <w:color w:val="auto"/>
        </w:rPr>
        <w:t>”), VICTORY RECEIVABLES CORPORATION, a Delaware corporation, as 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Purchaser, THE BANK OF TOKYO-MITSUBISHI UFJ, LTD., as administrative agent for the Investors (in such capacity, the “</w:t>
      </w:r>
      <w:r>
        <w:rPr>
          <w:rFonts w:ascii="Arial" w:cs="Arial" w:eastAsia="Arial" w:hAnsi="Arial"/>
          <w:sz w:val="18"/>
          <w:szCs w:val="18"/>
          <w:i w:val="1"/>
          <w:iCs w:val="1"/>
          <w:u w:val="single" w:color="auto"/>
          <w:color w:val="auto"/>
        </w:rPr>
        <w:t>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Agent</w:t>
      </w:r>
      <w:r>
        <w:rPr>
          <w:rFonts w:ascii="Arial" w:cs="Arial" w:eastAsia="Arial" w:hAnsi="Arial"/>
          <w:sz w:val="18"/>
          <w:szCs w:val="18"/>
          <w:color w:val="auto"/>
        </w:rPr>
        <w:t>”), the purchaser agent for the BTMU Purchaser Group (in such capacity, the “</w:t>
      </w:r>
      <w:r>
        <w:rPr>
          <w:rFonts w:ascii="Arial" w:cs="Arial" w:eastAsia="Arial" w:hAnsi="Arial"/>
          <w:sz w:val="18"/>
          <w:szCs w:val="18"/>
          <w:i w:val="1"/>
          <w:iCs w:val="1"/>
          <w:u w:val="single" w:color="auto"/>
          <w:color w:val="auto"/>
        </w:rPr>
        <w:t>BTMU Purchaser Agent</w:t>
      </w:r>
      <w:r>
        <w:rPr>
          <w:rFonts w:ascii="Arial" w:cs="Arial" w:eastAsia="Arial" w:hAnsi="Arial"/>
          <w:sz w:val="18"/>
          <w:szCs w:val="18"/>
          <w:color w:val="auto"/>
        </w:rPr>
        <w:t>”) and a BTMU Liquidity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WELLS FARGO BANK, NATIONAL ASSOCIATION (“</w:t>
      </w:r>
      <w:r>
        <w:rPr>
          <w:rFonts w:ascii="Arial" w:cs="Arial" w:eastAsia="Arial" w:hAnsi="Arial"/>
          <w:sz w:val="18"/>
          <w:szCs w:val="18"/>
          <w:i w:val="1"/>
          <w:iCs w:val="1"/>
          <w:u w:val="single" w:color="auto"/>
          <w:color w:val="auto"/>
        </w:rPr>
        <w:t>WFB</w:t>
      </w:r>
      <w:r>
        <w:rPr>
          <w:rFonts w:ascii="Arial" w:cs="Arial" w:eastAsia="Arial" w:hAnsi="Arial"/>
          <w:sz w:val="18"/>
          <w:szCs w:val="18"/>
          <w:color w:val="auto"/>
        </w:rPr>
        <w:t>”), as the purchaser agent for the WFB Purchaser Group (in such capacity,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u w:val="single" w:color="auto"/>
          <w:color w:val="auto"/>
        </w:rPr>
        <w:t>WFB Purchaser Agent</w:t>
      </w:r>
      <w:r>
        <w:rPr>
          <w:rFonts w:ascii="Arial" w:cs="Arial" w:eastAsia="Arial" w:hAnsi="Arial"/>
          <w:sz w:val="18"/>
          <w:szCs w:val="18"/>
          <w:color w:val="auto"/>
        </w:rPr>
        <w:t>”) and a WFB Liquidity Bank (the “</w:t>
      </w:r>
      <w:r>
        <w:rPr>
          <w:rFonts w:ascii="Arial" w:cs="Arial" w:eastAsia="Arial" w:hAnsi="Arial"/>
          <w:sz w:val="18"/>
          <w:szCs w:val="18"/>
          <w:i w:val="1"/>
          <w:iCs w:val="1"/>
          <w:u w:val="single" w:color="auto"/>
          <w:color w:val="auto"/>
        </w:rPr>
        <w:t>WFB Liquidity Bank</w:t>
      </w:r>
      <w:r>
        <w:rPr>
          <w:rFonts w:ascii="Arial" w:cs="Arial" w:eastAsia="Arial" w:hAnsi="Arial"/>
          <w:sz w:val="18"/>
          <w:szCs w:val="18"/>
          <w:color w:val="auto"/>
        </w:rPr>
        <w:t>”). Capitalized terms used and not otherwise defined in this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Amendment shall have the meanings given to such terms in the 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each of the parties to the Agreement desires to amend the Agreement on the conditions set forth herein.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signatories hereto agree as follows:</w:t>
      </w:r>
    </w:p>
    <w:p>
      <w:pPr>
        <w:spacing w:after="0" w:line="229" w:lineRule="exact"/>
        <w:rPr>
          <w:sz w:val="20"/>
          <w:szCs w:val="20"/>
          <w:color w:val="auto"/>
        </w:rPr>
      </w:pPr>
    </w:p>
    <w:p>
      <w:pPr>
        <w:ind w:right="20" w:firstLine="1297"/>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 to the Agreement</w:t>
      </w:r>
      <w:r>
        <w:rPr>
          <w:rFonts w:ascii="Arial" w:cs="Arial" w:eastAsia="Arial" w:hAnsi="Arial"/>
          <w:sz w:val="20"/>
          <w:szCs w:val="20"/>
          <w:color w:val="auto"/>
        </w:rPr>
        <w:t>. Effective as of the date hereof in accordance with Section 2 of this Amendment, the Agreement is hereby amended to reflect the changes to the definitions of "Default Horizon Ratio" and "Eligible Receivable" set forth in Annex A.</w:t>
      </w:r>
    </w:p>
    <w:p>
      <w:pPr>
        <w:spacing w:after="0" w:line="182" w:lineRule="exact"/>
        <w:rPr>
          <w:sz w:val="20"/>
          <w:szCs w:val="20"/>
          <w:color w:val="auto"/>
        </w:rPr>
      </w:pPr>
    </w:p>
    <w:p>
      <w:pPr>
        <w:ind w:right="120" w:firstLine="1297"/>
        <w:spacing w:after="0" w:line="26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become effective as of the date hereof at such time that each of the</w:t>
      </w:r>
      <w:r>
        <w:rPr>
          <w:rFonts w:ascii="Arial" w:cs="Arial" w:eastAsia="Arial" w:hAnsi="Arial"/>
          <w:sz w:val="22"/>
          <w:szCs w:val="22"/>
          <w:color w:val="auto"/>
        </w:rPr>
        <w:t xml:space="preserve"> </w:t>
      </w:r>
      <w:r>
        <w:rPr>
          <w:rFonts w:ascii="Arial" w:cs="Arial" w:eastAsia="Arial" w:hAnsi="Arial"/>
          <w:sz w:val="19"/>
          <w:szCs w:val="19"/>
          <w:color w:val="auto"/>
        </w:rPr>
        <w:t>Administrative Agent, the BTMU Purchaser Agent and the WFB Purchaser Agent shall have received, in form and substance satisfactory to it, executed counterparts of this Amendment.</w:t>
      </w:r>
    </w:p>
    <w:p>
      <w:pPr>
        <w:spacing w:after="0" w:line="18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6"/>
          <w:szCs w:val="16"/>
          <w:u w:val="single" w:color="auto"/>
          <w:color w:val="auto"/>
        </w:rPr>
        <w:t>Transaction Document</w:t>
      </w:r>
      <w:r>
        <w:rPr>
          <w:rFonts w:ascii="Arial" w:cs="Arial" w:eastAsia="Arial" w:hAnsi="Arial"/>
          <w:sz w:val="16"/>
          <w:szCs w:val="16"/>
          <w:color w:val="auto"/>
        </w:rPr>
        <w:t>. This Amendment shall be a Transaction Document under the Agreement.</w:t>
      </w:r>
    </w:p>
    <w:p>
      <w:pPr>
        <w:spacing w:after="0" w:line="233" w:lineRule="exact"/>
        <w:rPr>
          <w:sz w:val="20"/>
          <w:szCs w:val="20"/>
          <w:color w:val="auto"/>
        </w:rPr>
      </w:pPr>
    </w:p>
    <w:p>
      <w:pPr>
        <w:ind w:right="220" w:firstLine="1297"/>
        <w:spacing w:after="0" w:line="269"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Seller and the Master Servicer makes, as to itself (except where</w:t>
      </w:r>
      <w:r>
        <w:rPr>
          <w:rFonts w:ascii="Arial" w:cs="Arial" w:eastAsia="Arial" w:hAnsi="Arial"/>
          <w:sz w:val="22"/>
          <w:szCs w:val="22"/>
          <w:color w:val="auto"/>
        </w:rPr>
        <w:t xml:space="preserve"> </w:t>
      </w:r>
      <w:r>
        <w:rPr>
          <w:rFonts w:ascii="Arial" w:cs="Arial" w:eastAsia="Arial" w:hAnsi="Arial"/>
          <w:sz w:val="19"/>
          <w:szCs w:val="19"/>
          <w:color w:val="auto"/>
        </w:rPr>
        <w:t>specifically provided otherwise therein), each of the representations and warranties contained in Section 6.1 of the Agreement (after giving effect to this Amendment).</w:t>
      </w:r>
    </w:p>
    <w:p>
      <w:pPr>
        <w:spacing w:after="0" w:line="187" w:lineRule="exact"/>
        <w:rPr>
          <w:sz w:val="20"/>
          <w:szCs w:val="20"/>
          <w:color w:val="auto"/>
        </w:rPr>
      </w:pPr>
    </w:p>
    <w:p>
      <w:pPr>
        <w:ind w:firstLine="1297"/>
        <w:spacing w:after="0" w:line="304"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18"/>
          <w:szCs w:val="18"/>
          <w:u w:val="single" w:color="auto"/>
          <w:color w:val="auto"/>
        </w:rPr>
        <w:t>Confirmation of Agreements; No Other Modifications</w:t>
      </w:r>
      <w:r>
        <w:rPr>
          <w:rFonts w:ascii="Arial" w:cs="Arial" w:eastAsia="Arial" w:hAnsi="Arial"/>
          <w:sz w:val="18"/>
          <w:szCs w:val="18"/>
          <w:color w:val="auto"/>
        </w:rPr>
        <w:t>. Each reference in the Agreement to “this Agreement”</w:t>
      </w:r>
      <w:r>
        <w:rPr>
          <w:rFonts w:ascii="Arial" w:cs="Arial" w:eastAsia="Arial" w:hAnsi="Arial"/>
          <w:sz w:val="21"/>
          <w:szCs w:val="21"/>
          <w:color w:val="auto"/>
        </w:rPr>
        <w:t xml:space="preserve"> </w:t>
      </w:r>
      <w:r>
        <w:rPr>
          <w:rFonts w:ascii="Arial" w:cs="Arial" w:eastAsia="Arial" w:hAnsi="Arial"/>
          <w:sz w:val="18"/>
          <w:szCs w:val="18"/>
          <w:color w:val="auto"/>
        </w:rPr>
        <w:t>or “the Agreement”, or “hereof,” “hereunder” or words of like import, and each reference in any other Transaction Document to the Agreement, shall mean the Agreement as amended by this Amendment, and as hereafter amended or restated. Except as herein expressly amended, the Agreement is ratified and confirmed in all respects and shall remain in full force and effect in accordance with its terms.</w:t>
      </w:r>
    </w:p>
    <w:p>
      <w:pPr>
        <w:spacing w:after="0" w:line="164" w:lineRule="exact"/>
        <w:rPr>
          <w:sz w:val="20"/>
          <w:szCs w:val="20"/>
          <w:color w:val="auto"/>
        </w:rPr>
      </w:pPr>
    </w:p>
    <w:p>
      <w:pPr>
        <w:ind w:right="260" w:firstLine="1297"/>
        <w:spacing w:after="0" w:line="269"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19"/>
          <w:szCs w:val="19"/>
          <w:u w:val="single" w:color="auto"/>
          <w:color w:val="auto"/>
        </w:rPr>
        <w:t>Affirmation and Consent of Lennox International</w:t>
      </w:r>
      <w:r>
        <w:rPr>
          <w:rFonts w:ascii="Arial" w:cs="Arial" w:eastAsia="Arial" w:hAnsi="Arial"/>
          <w:sz w:val="19"/>
          <w:szCs w:val="19"/>
          <w:color w:val="auto"/>
        </w:rPr>
        <w:t>. Lennox International hereby consents to this Amendment</w:t>
      </w:r>
      <w:r>
        <w:rPr>
          <w:rFonts w:ascii="Arial" w:cs="Arial" w:eastAsia="Arial" w:hAnsi="Arial"/>
          <w:sz w:val="22"/>
          <w:szCs w:val="22"/>
          <w:color w:val="auto"/>
        </w:rPr>
        <w:t xml:space="preserve"> </w:t>
      </w:r>
      <w:r>
        <w:rPr>
          <w:rFonts w:ascii="Arial" w:cs="Arial" w:eastAsia="Arial" w:hAnsi="Arial"/>
          <w:sz w:val="19"/>
          <w:szCs w:val="19"/>
          <w:color w:val="auto"/>
        </w:rPr>
        <w:t>and hereby affirms and agrees that the Assurance Agreement is, and shall continue to be, in full force and effect and is hereby ratified and affirmed in all respects. Upon the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162053276_5</w:t>
      </w:r>
    </w:p>
    <w:p>
      <w:pPr>
        <w:sectPr>
          <w:pgSz w:w="11900" w:h="16838" w:orient="portrait"/>
          <w:cols w:equalWidth="0" w:num="1">
            <w:col w:w="11420"/>
          </w:cols>
          <w:pgMar w:left="240" w:top="132" w:right="239" w:bottom="1440" w:gutter="0" w:footer="0" w:header="0"/>
        </w:sectPr>
      </w:pPr>
    </w:p>
    <w:bookmarkStart w:id="42" w:name="page43"/>
    <w:bookmarkEnd w:id="42"/>
    <w:p>
      <w:pPr>
        <w:spacing w:after="0" w:line="250" w:lineRule="auto"/>
        <w:rPr>
          <w:sz w:val="20"/>
          <w:szCs w:val="20"/>
          <w:color w:val="auto"/>
        </w:rPr>
      </w:pPr>
      <w:r>
        <w:rPr>
          <w:rFonts w:ascii="Arial" w:cs="Arial" w:eastAsia="Arial" w:hAnsi="Arial"/>
          <w:sz w:val="20"/>
          <w:szCs w:val="20"/>
          <w:color w:val="auto"/>
        </w:rPr>
        <w:t>effectiveness of, and on and after the date of, the Amendment, each reference in the Assurance Agreement to the Agreement, “thereunder”, “thereof” or words of like import shall mean and be a reference to the Agreement as amended by this Amendment, and as hereafter amended or restated.</w:t>
      </w:r>
    </w:p>
    <w:p>
      <w:pPr>
        <w:spacing w:after="0" w:line="195" w:lineRule="exact"/>
        <w:rPr>
          <w:sz w:val="20"/>
          <w:szCs w:val="20"/>
          <w:color w:val="auto"/>
        </w:rPr>
      </w:pPr>
    </w:p>
    <w:p>
      <w:pPr>
        <w:ind w:right="20" w:firstLine="1297"/>
        <w:spacing w:after="0" w:line="269"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Seller agrees to pay on demand all reasonable costs and expenses in connection with</w:t>
      </w:r>
      <w:r>
        <w:rPr>
          <w:rFonts w:ascii="Arial" w:cs="Arial" w:eastAsia="Arial" w:hAnsi="Arial"/>
          <w:sz w:val="22"/>
          <w:szCs w:val="22"/>
          <w:color w:val="auto"/>
        </w:rPr>
        <w:t xml:space="preserve"> </w:t>
      </w:r>
      <w:r>
        <w:rPr>
          <w:rFonts w:ascii="Arial" w:cs="Arial" w:eastAsia="Arial" w:hAnsi="Arial"/>
          <w:sz w:val="19"/>
          <w:szCs w:val="19"/>
          <w:color w:val="auto"/>
        </w:rPr>
        <w:t>the preparation, execution and delivery of this Amendment, including, without limitation, the reasonable fees and out-of-pocket expenses of counsel for the Administrative Agent with respect thereto.</w:t>
      </w:r>
    </w:p>
    <w:p>
      <w:pPr>
        <w:spacing w:after="0" w:line="187" w:lineRule="exact"/>
        <w:rPr>
          <w:sz w:val="20"/>
          <w:szCs w:val="20"/>
          <w:color w:val="auto"/>
        </w:rPr>
      </w:pPr>
    </w:p>
    <w:p>
      <w:pPr>
        <w:ind w:right="140" w:firstLine="1297"/>
        <w:spacing w:after="0" w:line="271"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AMENDMENT, INCLUDING THE RIGHTS AND DUTIES OF THE</w:t>
      </w:r>
      <w:r>
        <w:rPr>
          <w:rFonts w:ascii="Arial" w:cs="Arial" w:eastAsia="Arial" w:hAnsi="Arial"/>
          <w:sz w:val="22"/>
          <w:szCs w:val="22"/>
          <w:color w:val="auto"/>
        </w:rPr>
        <w:t xml:space="preserve"> </w:t>
      </w:r>
      <w:r>
        <w:rPr>
          <w:rFonts w:ascii="Arial" w:cs="Arial" w:eastAsia="Arial" w:hAnsi="Arial"/>
          <w:sz w:val="19"/>
          <w:szCs w:val="19"/>
          <w:b w:val="1"/>
          <w:bCs w:val="1"/>
          <w:color w:val="auto"/>
        </w:rPr>
        <w:t>PARTIES HERETO, SHALL BE GOVERNED BY, AND CONSTRUED IN ACCORDANCE WITH, THE INTERNAL LAWS OF THE STATE OF NEW YORK WITHOUT REFERENCE TO PRINCIPLES OF CONFLICTS OF LAW (OTHER THAN SECTION 5-1401 OF THE NEW YORK GENERAL OBLIGATIONS LAW).</w:t>
      </w:r>
    </w:p>
    <w:p>
      <w:pPr>
        <w:spacing w:after="0" w:line="191" w:lineRule="exact"/>
        <w:rPr>
          <w:sz w:val="20"/>
          <w:szCs w:val="20"/>
          <w:color w:val="auto"/>
        </w:rPr>
      </w:pPr>
    </w:p>
    <w:p>
      <w:pPr>
        <w:ind w:firstLine="1297"/>
        <w:spacing w:after="0" w:line="27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Amendment may be executed in any number of counterparts and by the</w:t>
      </w:r>
      <w:r>
        <w:rPr>
          <w:rFonts w:ascii="Arial" w:cs="Arial" w:eastAsia="Arial" w:hAnsi="Arial"/>
          <w:sz w:val="22"/>
          <w:szCs w:val="22"/>
          <w:color w:val="auto"/>
        </w:rPr>
        <w:t xml:space="preserve"> </w:t>
      </w:r>
      <w:r>
        <w:rPr>
          <w:rFonts w:ascii="Arial" w:cs="Arial" w:eastAsia="Arial" w:hAnsi="Arial"/>
          <w:sz w:val="19"/>
          <w:szCs w:val="19"/>
          <w:color w:val="auto"/>
        </w:rPr>
        <w:t>different parties hereto in separate counterparts, each of which when so executed shall be deemed to be an original and all of which when taken together shall constitute one and the same Amendment. Delivery of an executed counterpart of a signature page to this Amendment by facsimile or by electronic mail in portable document format (.pdf) shall be as effective as delivery of a manually executed counterpart of a signature page of this Amendment.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IN WITNESS WHEREOF, the parties have caused this Amendment to be executed by their respective officers thereunto duly authorized, as of the date first above written.</w:t>
      </w: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LPAC CORP., as Seller</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/s/Rick Pelini</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President /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LENNOX INDUSTRIES INC., as Master Servicer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/s/Rick Pelini</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Title: VP,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/s/Rick Pelini</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VP, Treasurer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VICTORY RECEIVABLES CORPORATION, as a Purchaser</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Kevin J. Corrigan</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Kevin J. Corrigan</w:t>
      </w:r>
    </w:p>
    <w:p>
      <w:pPr>
        <w:spacing w:after="0" w:line="17"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360"/>
          </w:cols>
          <w:pgMar w:left="240" w:top="366" w:right="299" w:bottom="0" w:gutter="0" w:footer="0" w:header="0"/>
        </w:sectPr>
      </w:pPr>
    </w:p>
    <w:bookmarkStart w:id="43" w:name="page44"/>
    <w:bookmarkEnd w:id="43"/>
    <w:p>
      <w:pPr>
        <w:ind w:left="2040"/>
        <w:spacing w:after="0"/>
        <w:rPr>
          <w:sz w:val="20"/>
          <w:szCs w:val="20"/>
          <w:color w:val="auto"/>
        </w:rPr>
      </w:pPr>
      <w:r>
        <w:rPr>
          <w:rFonts w:ascii="Arial" w:cs="Arial" w:eastAsia="Arial" w:hAnsi="Arial"/>
          <w:sz w:val="21"/>
          <w:szCs w:val="21"/>
          <w:color w:val="auto"/>
        </w:rPr>
        <w:t>THE BANK OF TOKYO-MITSUBISHI UFJ, LTD., as Administrative Agent</w:t>
      </w:r>
    </w:p>
    <w:p>
      <w:pPr>
        <w:spacing w:after="0" w:line="200" w:lineRule="exact"/>
        <w:rPr>
          <w:sz w:val="20"/>
          <w:szCs w:val="20"/>
          <w:color w:val="auto"/>
        </w:rPr>
      </w:pPr>
    </w:p>
    <w:p>
      <w:pPr>
        <w:spacing w:after="0" w:line="28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Devang Sodha</w:t>
      </w:r>
    </w:p>
    <w:p>
      <w:pPr>
        <w:spacing w:after="0" w:line="22"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Devang Sodha</w:t>
      </w:r>
    </w:p>
    <w:p>
      <w:pPr>
        <w:spacing w:after="0" w:line="17"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THE BANK OF TOKYO-MITSUBISHI UFJ, LTD., as BTMU Purchaser Agent</w:t>
      </w:r>
    </w:p>
    <w:p>
      <w:pPr>
        <w:spacing w:after="0" w:line="200" w:lineRule="exact"/>
        <w:rPr>
          <w:sz w:val="20"/>
          <w:szCs w:val="20"/>
          <w:color w:val="auto"/>
        </w:rPr>
      </w:pPr>
    </w:p>
    <w:p>
      <w:pPr>
        <w:spacing w:after="0" w:line="31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 </w:t>
      </w:r>
      <w:r>
        <w:rPr>
          <w:rFonts w:ascii="Arial" w:cs="Arial" w:eastAsia="Arial" w:hAnsi="Arial"/>
          <w:sz w:val="22"/>
          <w:szCs w:val="22"/>
          <w:u w:val="single" w:color="auto"/>
          <w:color w:val="auto"/>
        </w:rPr>
        <w:t>/s/ Devang Sodha</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Devang Sodha</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THE BANK OF TOKYO-MITSUBISHI UFJ, LTD., as a Liquidity Bank</w:t>
      </w:r>
    </w:p>
    <w:p>
      <w:pPr>
        <w:spacing w:after="0" w:line="200" w:lineRule="exact"/>
        <w:rPr>
          <w:sz w:val="20"/>
          <w:szCs w:val="20"/>
          <w:color w:val="auto"/>
        </w:rPr>
      </w:pPr>
    </w:p>
    <w:p>
      <w:pPr>
        <w:spacing w:after="0" w:line="27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 </w:t>
      </w:r>
      <w:r>
        <w:rPr>
          <w:rFonts w:ascii="Arial" w:cs="Arial" w:eastAsia="Arial" w:hAnsi="Arial"/>
          <w:sz w:val="22"/>
          <w:szCs w:val="22"/>
          <w:u w:val="single" w:color="auto"/>
          <w:color w:val="auto"/>
        </w:rPr>
        <w:t>/s/ Devang Sodha</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Devang Sodha</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40" w:right="2080"/>
        <w:spacing w:after="0" w:line="263" w:lineRule="auto"/>
        <w:rPr>
          <w:sz w:val="20"/>
          <w:szCs w:val="20"/>
          <w:color w:val="auto"/>
        </w:rPr>
      </w:pPr>
      <w:r>
        <w:rPr>
          <w:rFonts w:ascii="Arial" w:cs="Arial" w:eastAsia="Arial" w:hAnsi="Arial"/>
          <w:sz w:val="22"/>
          <w:szCs w:val="22"/>
          <w:color w:val="auto"/>
        </w:rPr>
        <w:t>WELLS FARGO BANK, NATIONAL ASSOCIATION, as WFB Purchaser Agent</w:t>
      </w:r>
    </w:p>
    <w:p>
      <w:pPr>
        <w:spacing w:after="0" w:line="39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Isaac Washington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Isaac Washington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31" w:lineRule="exact"/>
        <w:rPr>
          <w:sz w:val="20"/>
          <w:szCs w:val="20"/>
          <w:color w:val="auto"/>
        </w:rPr>
      </w:pPr>
    </w:p>
    <w:p>
      <w:pPr>
        <w:ind w:left="2040" w:right="2080"/>
        <w:spacing w:after="0" w:line="263" w:lineRule="auto"/>
        <w:rPr>
          <w:sz w:val="20"/>
          <w:szCs w:val="20"/>
          <w:color w:val="auto"/>
        </w:rPr>
      </w:pPr>
      <w:r>
        <w:rPr>
          <w:rFonts w:ascii="Arial" w:cs="Arial" w:eastAsia="Arial" w:hAnsi="Arial"/>
          <w:sz w:val="22"/>
          <w:szCs w:val="22"/>
          <w:color w:val="auto"/>
        </w:rPr>
        <w:t>WELLS FARGO BANK, NATIONAL ASSOCIATION, as a Liquidity Bank</w:t>
      </w:r>
    </w:p>
    <w:p>
      <w:pPr>
        <w:spacing w:after="0" w:line="200" w:lineRule="exact"/>
        <w:rPr>
          <w:sz w:val="20"/>
          <w:szCs w:val="20"/>
          <w:color w:val="auto"/>
        </w:rPr>
      </w:pPr>
    </w:p>
    <w:p>
      <w:pPr>
        <w:spacing w:after="0" w:line="23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Isaac Washington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Isaac Washington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20"/>
          </w:cols>
          <w:pgMar w:left="1440" w:top="429" w:right="14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ANNEX A</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u w:val="single" w:color="auto"/>
          <w:color w:val="auto"/>
        </w:rPr>
        <w:t>REVISIONS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935355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AMENDED AND RESTATED RECEIVABLES PURCHASE AGREEMENT</w:t>
      </w:r>
    </w:p>
    <w:p>
      <w:pPr>
        <w:spacing w:after="0" w:line="200" w:lineRule="exact"/>
        <w:rPr>
          <w:sz w:val="20"/>
          <w:szCs w:val="20"/>
          <w:color w:val="auto"/>
        </w:rPr>
      </w:pPr>
    </w:p>
    <w:p>
      <w:pPr>
        <w:spacing w:after="0" w:line="330"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Dated as of November 18, 2011</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Among</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LPAC CORP.,</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the Seller</w:t>
      </w:r>
    </w:p>
    <w:p>
      <w:pPr>
        <w:spacing w:after="0" w:line="256"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LENNOX INDUSTRIES INC.,</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the Master Servicer</w:t>
      </w:r>
    </w:p>
    <w:p>
      <w:pPr>
        <w:spacing w:after="0" w:line="256"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VICTORY RECEIVABLES CORPORATION,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 Purchaser</w:t>
      </w:r>
    </w:p>
    <w:p>
      <w:pPr>
        <w:spacing w:after="0" w:line="20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 Liquidity Bank</w:t>
      </w:r>
    </w:p>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as Administrative Agent and the BTMU Purchaser Agent</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as a Liquidity Bank and the WFB Purchaser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351790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w:t>
      </w:r>
    </w:p>
    <w:p>
      <w:pPr>
        <w:sectPr>
          <w:pgSz w:w="11900" w:h="16838" w:orient="portrait"/>
          <w:cols w:equalWidth="0" w:num="1">
            <w:col w:w="10220"/>
          </w:cols>
          <w:pgMar w:left="1440" w:top="1440" w:right="239" w:bottom="0" w:gutter="0" w:footer="0" w:header="0"/>
        </w:sectPr>
      </w:pPr>
    </w:p>
    <w:bookmarkStart w:id="45" w:name="page46"/>
    <w:bookmarkEnd w:id="45"/>
    <w:tbl>
      <w:tblPr>
        <w:tblLayout w:type="fixed"/>
        <w:tblInd w:w="100" w:type="dxa"/>
        <w:tblCellMar>
          <w:top w:w="0" w:type="dxa"/>
          <w:left w:w="0" w:type="dxa"/>
          <w:bottom w:w="0" w:type="dxa"/>
          <w:right w:w="0" w:type="dxa"/>
        </w:tblCellMar>
      </w:tblPr>
      <w:tr>
        <w:trPr>
          <w:trHeight w:val="253"/>
        </w:trPr>
        <w:tc>
          <w:tcPr>
            <w:tcW w:w="3940" w:type="dxa"/>
            <w:vAlign w:val="bottom"/>
            <w:gridSpan w:val="16"/>
          </w:tcPr>
          <w:p>
            <w:pPr>
              <w:spacing w:after="0"/>
              <w:rPr>
                <w:rFonts w:ascii="Arial" w:cs="Arial" w:eastAsia="Arial" w:hAnsi="Arial"/>
                <w:sz w:val="22"/>
                <w:szCs w:val="22"/>
                <w:color w:val="0000FF"/>
                <w:w w:val="98"/>
              </w:rPr>
            </w:pPr>
            <w:hyperlink w:anchor="page48">
              <w:r>
                <w:rPr>
                  <w:rFonts w:ascii="Arial" w:cs="Arial" w:eastAsia="Arial" w:hAnsi="Arial"/>
                  <w:sz w:val="22"/>
                  <w:szCs w:val="22"/>
                  <w:color w:val="0000FF"/>
                  <w:w w:val="98"/>
                </w:rPr>
                <w:t>Article I. Purchases and Reinvestments</w:t>
              </w:r>
            </w:hyperlink>
            <w:r>
              <w:rPr>
                <w:rFonts w:ascii="Arial" w:cs="Arial" w:eastAsia="Arial" w:hAnsi="Arial"/>
                <w:sz w:val="22"/>
                <w:szCs w:val="22"/>
                <w:color w:val="000000"/>
                <w:w w:val="98"/>
              </w:rPr>
              <w:t>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760" w:type="dxa"/>
            <w:vAlign w:val="bottom"/>
            <w:gridSpan w:val="45"/>
          </w:tcPr>
          <w:p>
            <w:pPr>
              <w:spacing w:after="0" w:line="237" w:lineRule="exact"/>
              <w:rPr>
                <w:rFonts w:ascii="Arial" w:cs="Arial" w:eastAsia="Arial" w:hAnsi="Arial"/>
                <w:sz w:val="22"/>
                <w:szCs w:val="22"/>
                <w:b w:val="1"/>
                <w:bCs w:val="1"/>
                <w:color w:val="0000FF"/>
                <w:w w:val="88"/>
              </w:rPr>
            </w:pPr>
            <w:hyperlink w:anchor="page49">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1.1Commitments to Purchase; Limits on Purchasers’ Obligations</w:t>
            </w:r>
          </w:p>
        </w:tc>
        <w:tc>
          <w:tcPr>
            <w:tcW w:w="960" w:type="dxa"/>
            <w:vAlign w:val="bottom"/>
          </w:tcPr>
          <w:p>
            <w:pPr>
              <w:jc w:val="right"/>
              <w:ind w:right="552"/>
              <w:spacing w:after="0" w:line="237" w:lineRule="exact"/>
              <w:rPr>
                <w:sz w:val="20"/>
                <w:szCs w:val="20"/>
                <w:color w:val="auto"/>
              </w:rPr>
            </w:pPr>
            <w:r>
              <w:rPr>
                <w:rFonts w:ascii="Arial" w:cs="Arial" w:eastAsia="Arial" w:hAnsi="Arial"/>
                <w:sz w:val="22"/>
                <w:szCs w:val="22"/>
                <w:b w:val="1"/>
                <w:bCs w:val="1"/>
                <w:color w:val="auto"/>
              </w:rPr>
              <w:t>3</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6560" w:type="dxa"/>
            <w:vAlign w:val="bottom"/>
            <w:tcBorders>
              <w:top w:val="single" w:sz="8" w:color="0000FF"/>
              <w:bottom w:val="single" w:sz="8" w:color="0000FF"/>
            </w:tcBorders>
            <w:gridSpan w:val="43"/>
          </w:tcPr>
          <w:p>
            <w:pPr>
              <w:spacing w:after="0" w:line="237" w:lineRule="exact"/>
              <w:rPr>
                <w:rFonts w:ascii="Arial" w:cs="Arial" w:eastAsia="Arial" w:hAnsi="Arial"/>
                <w:sz w:val="22"/>
                <w:szCs w:val="22"/>
                <w:b w:val="1"/>
                <w:bCs w:val="1"/>
                <w:color w:val="0000FF"/>
                <w:w w:val="86"/>
              </w:rPr>
            </w:pPr>
            <w:hyperlink w:anchor="page49">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1.2Purchase Procedures; Assignment of the Investors’ Interests</w:t>
            </w:r>
          </w:p>
        </w:tc>
        <w:tc>
          <w:tcPr>
            <w:tcW w:w="1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ind w:right="732"/>
              <w:spacing w:after="0" w:line="237" w:lineRule="exact"/>
              <w:rPr>
                <w:sz w:val="20"/>
                <w:szCs w:val="20"/>
                <w:color w:val="auto"/>
              </w:rPr>
            </w:pPr>
            <w:r>
              <w:rPr>
                <w:rFonts w:ascii="Arial" w:cs="Arial" w:eastAsia="Arial" w:hAnsi="Arial"/>
                <w:sz w:val="22"/>
                <w:szCs w:val="22"/>
                <w:b w:val="1"/>
                <w:bCs w:val="1"/>
                <w:color w:val="auto"/>
                <w:w w:val="81"/>
              </w:rPr>
              <w:t>3</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8540" w:type="dxa"/>
            <w:vAlign w:val="bottom"/>
            <w:gridSpan w:val="48"/>
          </w:tcPr>
          <w:p>
            <w:pPr>
              <w:spacing w:after="0" w:line="237" w:lineRule="exact"/>
              <w:rPr>
                <w:rFonts w:ascii="Arial" w:cs="Arial" w:eastAsia="Arial" w:hAnsi="Arial"/>
                <w:sz w:val="22"/>
                <w:szCs w:val="22"/>
                <w:b w:val="1"/>
                <w:bCs w:val="1"/>
                <w:color w:val="0000FF"/>
                <w:w w:val="94"/>
              </w:rPr>
            </w:pPr>
            <w:hyperlink w:anchor="page49">
              <w:r>
                <w:rPr>
                  <w:rFonts w:ascii="Arial" w:cs="Arial" w:eastAsia="Arial" w:hAnsi="Arial"/>
                  <w:sz w:val="22"/>
                  <w:szCs w:val="22"/>
                  <w:b w:val="1"/>
                  <w:bCs w:val="1"/>
                  <w:color w:val="0000FF"/>
                  <w:w w:val="94"/>
                </w:rPr>
                <w:t xml:space="preserve">Section </w:t>
              </w:r>
            </w:hyperlink>
            <w:r>
              <w:rPr>
                <w:rFonts w:ascii="Arial" w:cs="Arial" w:eastAsia="Arial" w:hAnsi="Arial"/>
                <w:sz w:val="22"/>
                <w:szCs w:val="22"/>
                <w:b w:val="1"/>
                <w:bCs w:val="1"/>
                <w:color w:val="0000FF"/>
                <w:w w:val="94"/>
              </w:rPr>
              <w:t xml:space="preserve">1.3Reinvestments of Certain Collections; Payment of Remaining Collections  </w:t>
            </w:r>
            <w:r>
              <w:rPr>
                <w:rFonts w:ascii="Arial" w:cs="Arial" w:eastAsia="Arial" w:hAnsi="Arial"/>
                <w:sz w:val="22"/>
                <w:szCs w:val="22"/>
                <w:b w:val="1"/>
                <w:bCs w:val="1"/>
                <w:color w:val="000000"/>
                <w:w w:val="94"/>
              </w:rPr>
              <w:t>4</w:t>
            </w:r>
          </w:p>
        </w:tc>
      </w:tr>
      <w:tr>
        <w:trPr>
          <w:trHeight w:val="237"/>
        </w:trPr>
        <w:tc>
          <w:tcPr>
            <w:tcW w:w="1300" w:type="dxa"/>
            <w:vAlign w:val="bottom"/>
          </w:tcPr>
          <w:p>
            <w:pPr>
              <w:spacing w:after="0"/>
              <w:rPr>
                <w:sz w:val="20"/>
                <w:szCs w:val="20"/>
                <w:color w:val="auto"/>
              </w:rPr>
            </w:pPr>
          </w:p>
        </w:tc>
        <w:tc>
          <w:tcPr>
            <w:tcW w:w="2640" w:type="dxa"/>
            <w:vAlign w:val="bottom"/>
            <w:tcBorders>
              <w:top w:val="single" w:sz="8" w:color="0000FF"/>
            </w:tcBorders>
            <w:gridSpan w:val="15"/>
          </w:tcPr>
          <w:p>
            <w:pPr>
              <w:spacing w:after="0" w:line="237" w:lineRule="exact"/>
              <w:rPr>
                <w:rFonts w:ascii="Arial" w:cs="Arial" w:eastAsia="Arial" w:hAnsi="Arial"/>
                <w:sz w:val="22"/>
                <w:szCs w:val="22"/>
                <w:b w:val="1"/>
                <w:bCs w:val="1"/>
                <w:color w:val="0000FF"/>
                <w:w w:val="91"/>
              </w:rPr>
            </w:pPr>
            <w:hyperlink w:anchor="page51">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 xml:space="preserve">1.4Asset Interest  </w:t>
            </w:r>
            <w:r>
              <w:rPr>
                <w:rFonts w:ascii="Arial" w:cs="Arial" w:eastAsia="Arial" w:hAnsi="Arial"/>
                <w:sz w:val="22"/>
                <w:szCs w:val="22"/>
                <w:b w:val="1"/>
                <w:bCs w:val="1"/>
                <w:color w:val="000000"/>
                <w:w w:val="91"/>
              </w:rPr>
              <w:t>7</w:t>
            </w: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3400" w:type="dxa"/>
            <w:vAlign w:val="bottom"/>
            <w:gridSpan w:val="9"/>
          </w:tcPr>
          <w:p>
            <w:pPr>
              <w:spacing w:after="0"/>
              <w:rPr>
                <w:rFonts w:ascii="Arial" w:cs="Arial" w:eastAsia="Arial" w:hAnsi="Arial"/>
                <w:sz w:val="22"/>
                <w:szCs w:val="22"/>
                <w:color w:val="0000FF"/>
              </w:rPr>
            </w:pPr>
            <w:hyperlink w:anchor="page51">
              <w:r>
                <w:rPr>
                  <w:rFonts w:ascii="Arial" w:cs="Arial" w:eastAsia="Arial" w:hAnsi="Arial"/>
                  <w:sz w:val="22"/>
                  <w:szCs w:val="22"/>
                  <w:color w:val="0000FF"/>
                </w:rPr>
                <w:t>Article II. Computational Rules</w:t>
              </w:r>
            </w:hyperlink>
            <w:r>
              <w:rPr>
                <w:rFonts w:ascii="Arial" w:cs="Arial" w:eastAsia="Arial" w:hAnsi="Arial"/>
                <w:sz w:val="22"/>
                <w:szCs w:val="22"/>
                <w:color w:val="000000"/>
              </w:rPr>
              <w:t>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760" w:type="dxa"/>
            <w:vAlign w:val="bottom"/>
            <w:tcBorders>
              <w:bottom w:val="single" w:sz="8" w:color="0000FF"/>
            </w:tcBorders>
            <w:gridSpan w:val="34"/>
          </w:tcPr>
          <w:p>
            <w:pPr>
              <w:spacing w:after="0" w:line="237" w:lineRule="exact"/>
              <w:rPr>
                <w:rFonts w:ascii="Arial" w:cs="Arial" w:eastAsia="Arial" w:hAnsi="Arial"/>
                <w:sz w:val="22"/>
                <w:szCs w:val="22"/>
                <w:b w:val="1"/>
                <w:bCs w:val="1"/>
                <w:color w:val="0000FF"/>
                <w:w w:val="87"/>
              </w:rPr>
            </w:pPr>
            <w:hyperlink w:anchor="page51">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2.1Selection, Dividing or Combining of Asset Tranches</w:t>
            </w:r>
          </w:p>
        </w:tc>
        <w:tc>
          <w:tcPr>
            <w:tcW w:w="140" w:type="dxa"/>
            <w:vAlign w:val="bottom"/>
            <w:gridSpan w:val="2"/>
          </w:tcPr>
          <w:p>
            <w:pPr>
              <w:spacing w:after="0"/>
              <w:rPr>
                <w:sz w:val="20"/>
                <w:szCs w:val="20"/>
                <w:color w:val="auto"/>
              </w:rPr>
            </w:pPr>
          </w:p>
        </w:tc>
        <w:tc>
          <w:tcPr>
            <w:tcW w:w="280" w:type="dxa"/>
            <w:vAlign w:val="bottom"/>
            <w:gridSpan w:val="2"/>
          </w:tcPr>
          <w:p>
            <w:pPr>
              <w:jc w:val="right"/>
              <w:ind w:right="100"/>
              <w:spacing w:after="0" w:line="237" w:lineRule="exact"/>
              <w:rPr>
                <w:sz w:val="20"/>
                <w:szCs w:val="20"/>
                <w:color w:val="auto"/>
              </w:rPr>
            </w:pPr>
            <w:r>
              <w:rPr>
                <w:rFonts w:ascii="Arial" w:cs="Arial" w:eastAsia="Arial" w:hAnsi="Arial"/>
                <w:sz w:val="22"/>
                <w:szCs w:val="22"/>
                <w:b w:val="1"/>
                <w:bCs w:val="1"/>
                <w:color w:val="auto"/>
              </w:rPr>
              <w:t>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8540" w:type="dxa"/>
            <w:vAlign w:val="bottom"/>
            <w:gridSpan w:val="48"/>
          </w:tcPr>
          <w:p>
            <w:pPr>
              <w:spacing w:after="0" w:line="237" w:lineRule="exact"/>
              <w:rPr>
                <w:rFonts w:ascii="Arial" w:cs="Arial" w:eastAsia="Arial" w:hAnsi="Arial"/>
                <w:sz w:val="22"/>
                <w:szCs w:val="22"/>
                <w:b w:val="1"/>
                <w:bCs w:val="1"/>
                <w:color w:val="0000FF"/>
                <w:w w:val="89"/>
              </w:rPr>
            </w:pPr>
            <w:hyperlink w:anchor="page52">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 xml:space="preserve">2.2Computation of Invested Amount and Purchaser Group’s Tranche Investment  </w:t>
            </w:r>
            <w:r>
              <w:rPr>
                <w:rFonts w:ascii="Arial" w:cs="Arial" w:eastAsia="Arial" w:hAnsi="Arial"/>
                <w:sz w:val="22"/>
                <w:szCs w:val="22"/>
                <w:b w:val="1"/>
                <w:bCs w:val="1"/>
                <w:color w:val="000000"/>
                <w:w w:val="89"/>
              </w:rPr>
              <w:t>8</w:t>
            </w:r>
          </w:p>
        </w:tc>
      </w:tr>
      <w:tr>
        <w:trPr>
          <w:trHeight w:val="237"/>
        </w:trPr>
        <w:tc>
          <w:tcPr>
            <w:tcW w:w="1300" w:type="dxa"/>
            <w:vAlign w:val="bottom"/>
          </w:tcPr>
          <w:p>
            <w:pPr>
              <w:spacing w:after="0"/>
              <w:rPr>
                <w:sz w:val="20"/>
                <w:szCs w:val="20"/>
                <w:color w:val="auto"/>
              </w:rPr>
            </w:pPr>
          </w:p>
        </w:tc>
        <w:tc>
          <w:tcPr>
            <w:tcW w:w="6480" w:type="dxa"/>
            <w:vAlign w:val="bottom"/>
            <w:tcBorders>
              <w:top w:val="single" w:sz="8" w:color="0000FF"/>
            </w:tcBorders>
            <w:gridSpan w:val="42"/>
          </w:tcPr>
          <w:p>
            <w:pPr>
              <w:spacing w:after="0" w:line="237" w:lineRule="exact"/>
              <w:rPr>
                <w:rFonts w:ascii="Arial" w:cs="Arial" w:eastAsia="Arial" w:hAnsi="Arial"/>
                <w:sz w:val="22"/>
                <w:szCs w:val="22"/>
                <w:b w:val="1"/>
                <w:bCs w:val="1"/>
                <w:color w:val="0000FF"/>
                <w:w w:val="89"/>
              </w:rPr>
            </w:pPr>
            <w:hyperlink w:anchor="page52">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2.3Computation of Concentration Limits and Unpaid Balance</w:t>
            </w:r>
          </w:p>
        </w:tc>
        <w:tc>
          <w:tcPr>
            <w:tcW w:w="280" w:type="dxa"/>
            <w:vAlign w:val="bottom"/>
            <w:tcBorders>
              <w:top w:val="single" w:sz="8" w:color="0000FF"/>
            </w:tcBorders>
            <w:gridSpan w:val="3"/>
          </w:tcPr>
          <w:p>
            <w:pPr>
              <w:jc w:val="right"/>
              <w:ind w:right="20"/>
              <w:spacing w:after="0" w:line="237" w:lineRule="exact"/>
              <w:rPr>
                <w:sz w:val="20"/>
                <w:szCs w:val="20"/>
                <w:color w:val="auto"/>
              </w:rPr>
            </w:pPr>
            <w:r>
              <w:rPr>
                <w:rFonts w:ascii="Arial" w:cs="Arial" w:eastAsia="Arial" w:hAnsi="Arial"/>
                <w:sz w:val="22"/>
                <w:szCs w:val="22"/>
                <w:b w:val="1"/>
                <w:bCs w:val="1"/>
                <w:color w:val="auto"/>
              </w:rPr>
              <w:t>9</w:t>
            </w:r>
          </w:p>
        </w:tc>
        <w:tc>
          <w:tcPr>
            <w:tcW w:w="96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080" w:type="dxa"/>
            <w:vAlign w:val="bottom"/>
            <w:tcBorders>
              <w:top w:val="single" w:sz="8" w:color="0000FF"/>
            </w:tcBorders>
            <w:gridSpan w:val="25"/>
          </w:tcPr>
          <w:p>
            <w:pPr>
              <w:spacing w:after="0" w:line="237" w:lineRule="exact"/>
              <w:rPr>
                <w:rFonts w:ascii="Arial" w:cs="Arial" w:eastAsia="Arial" w:hAnsi="Arial"/>
                <w:sz w:val="22"/>
                <w:szCs w:val="22"/>
                <w:b w:val="1"/>
                <w:bCs w:val="1"/>
                <w:color w:val="0000FF"/>
                <w:w w:val="88"/>
              </w:rPr>
            </w:pPr>
            <w:hyperlink w:anchor="page52">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2.4Computation of Earned Discount</w:t>
            </w:r>
          </w:p>
        </w:tc>
        <w:tc>
          <w:tcPr>
            <w:tcW w:w="600" w:type="dxa"/>
            <w:vAlign w:val="bottom"/>
            <w:tcBorders>
              <w:top w:val="single" w:sz="8" w:color="0000FF"/>
            </w:tcBorders>
            <w:gridSpan w:val="3"/>
          </w:tcPr>
          <w:p>
            <w:pPr>
              <w:ind w:left="200"/>
              <w:spacing w:after="0" w:line="237" w:lineRule="exact"/>
              <w:rPr>
                <w:sz w:val="20"/>
                <w:szCs w:val="20"/>
                <w:color w:val="auto"/>
              </w:rPr>
            </w:pPr>
            <w:r>
              <w:rPr>
                <w:rFonts w:ascii="Arial" w:cs="Arial" w:eastAsia="Arial" w:hAnsi="Arial"/>
                <w:sz w:val="22"/>
                <w:szCs w:val="22"/>
                <w:b w:val="1"/>
                <w:bCs w:val="1"/>
                <w:color w:val="auto"/>
              </w:rPr>
              <w:t>9</w:t>
            </w: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120" w:type="dxa"/>
            <w:vAlign w:val="bottom"/>
            <w:tcBorders>
              <w:bottom w:val="single" w:sz="8" w:color="0000FF"/>
            </w:tcBorders>
            <w:gridSpan w:val="30"/>
          </w:tcPr>
          <w:p>
            <w:pPr>
              <w:spacing w:after="0" w:line="237" w:lineRule="exact"/>
              <w:rPr>
                <w:rFonts w:ascii="Arial" w:cs="Arial" w:eastAsia="Arial" w:hAnsi="Arial"/>
                <w:sz w:val="22"/>
                <w:szCs w:val="22"/>
                <w:b w:val="1"/>
                <w:bCs w:val="1"/>
                <w:color w:val="0000FF"/>
                <w:w w:val="86"/>
              </w:rPr>
            </w:pPr>
            <w:hyperlink w:anchor="page52">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2.5Estimates of Earned Discount Rate, Fees, etc</w:t>
            </w:r>
          </w:p>
        </w:tc>
        <w:tc>
          <w:tcPr>
            <w:tcW w:w="40" w:type="dxa"/>
            <w:vAlign w:val="bottom"/>
            <w:gridSpan w:val="2"/>
          </w:tcPr>
          <w:p>
            <w:pPr>
              <w:spacing w:after="0"/>
              <w:rPr>
                <w:sz w:val="20"/>
                <w:szCs w:val="20"/>
                <w:color w:val="auto"/>
              </w:rPr>
            </w:pPr>
          </w:p>
        </w:tc>
        <w:tc>
          <w:tcPr>
            <w:tcW w:w="380" w:type="dxa"/>
            <w:vAlign w:val="bottom"/>
          </w:tcPr>
          <w:p>
            <w:pPr>
              <w:ind w:left="180"/>
              <w:spacing w:after="0" w:line="237" w:lineRule="exact"/>
              <w:rPr>
                <w:sz w:val="20"/>
                <w:szCs w:val="20"/>
                <w:color w:val="auto"/>
              </w:rPr>
            </w:pPr>
            <w:r>
              <w:rPr>
                <w:rFonts w:ascii="Arial" w:cs="Arial" w:eastAsia="Arial" w:hAnsi="Arial"/>
                <w:sz w:val="22"/>
                <w:szCs w:val="22"/>
                <w:b w:val="1"/>
                <w:bCs w:val="1"/>
                <w:color w:val="auto"/>
              </w:rPr>
              <w:t>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3"/>
        </w:trPr>
        <w:tc>
          <w:tcPr>
            <w:tcW w:w="3400" w:type="dxa"/>
            <w:vAlign w:val="bottom"/>
            <w:gridSpan w:val="9"/>
          </w:tcPr>
          <w:p>
            <w:pPr>
              <w:spacing w:after="0"/>
              <w:rPr>
                <w:rFonts w:ascii="Arial" w:cs="Arial" w:eastAsia="Arial" w:hAnsi="Arial"/>
                <w:sz w:val="22"/>
                <w:szCs w:val="22"/>
                <w:color w:val="0000FF"/>
              </w:rPr>
            </w:pPr>
            <w:hyperlink w:anchor="page53">
              <w:r>
                <w:rPr>
                  <w:rFonts w:ascii="Arial" w:cs="Arial" w:eastAsia="Arial" w:hAnsi="Arial"/>
                  <w:sz w:val="22"/>
                  <w:szCs w:val="22"/>
                  <w:color w:val="0000FF"/>
                </w:rPr>
                <w:t>Article III. Settlements</w:t>
              </w:r>
            </w:hyperlink>
            <w:r>
              <w:rPr>
                <w:rFonts w:ascii="Arial" w:cs="Arial" w:eastAsia="Arial" w:hAnsi="Arial"/>
                <w:sz w:val="22"/>
                <w:szCs w:val="22"/>
                <w:color w:val="000000"/>
              </w:rPr>
              <w:t>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080" w:type="dxa"/>
            <w:vAlign w:val="bottom"/>
            <w:tcBorders>
              <w:bottom w:val="single" w:sz="8" w:color="0000FF"/>
            </w:tcBorders>
            <w:gridSpan w:val="18"/>
          </w:tcPr>
          <w:p>
            <w:pPr>
              <w:spacing w:after="0" w:line="237" w:lineRule="exact"/>
              <w:rPr>
                <w:rFonts w:ascii="Arial" w:cs="Arial" w:eastAsia="Arial" w:hAnsi="Arial"/>
                <w:sz w:val="22"/>
                <w:szCs w:val="22"/>
                <w:b w:val="1"/>
                <w:bCs w:val="1"/>
                <w:color w:val="0000FF"/>
                <w:w w:val="85"/>
              </w:rPr>
            </w:pPr>
            <w:hyperlink w:anchor="page53">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3.1Settlement Procedures</w:t>
            </w:r>
          </w:p>
        </w:tc>
        <w:tc>
          <w:tcPr>
            <w:tcW w:w="460" w:type="dxa"/>
            <w:vAlign w:val="bottom"/>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6180" w:type="dxa"/>
            <w:vAlign w:val="bottom"/>
            <w:tcBorders>
              <w:bottom w:val="single" w:sz="8" w:color="0000FF"/>
            </w:tcBorders>
            <w:gridSpan w:val="38"/>
          </w:tcPr>
          <w:p>
            <w:pPr>
              <w:spacing w:after="0" w:line="237" w:lineRule="exact"/>
              <w:rPr>
                <w:rFonts w:ascii="Arial" w:cs="Arial" w:eastAsia="Arial" w:hAnsi="Arial"/>
                <w:sz w:val="22"/>
                <w:szCs w:val="22"/>
                <w:b w:val="1"/>
                <w:bCs w:val="1"/>
                <w:color w:val="0000FF"/>
                <w:w w:val="87"/>
              </w:rPr>
            </w:pPr>
            <w:hyperlink w:anchor="page55">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3.2Deemed Collections; Reduction of Invested Amount, Etc</w:t>
            </w:r>
          </w:p>
        </w:tc>
        <w:tc>
          <w:tcPr>
            <w:tcW w:w="540" w:type="dxa"/>
            <w:vAlign w:val="bottom"/>
            <w:gridSpan w:val="6"/>
          </w:tcPr>
          <w:p>
            <w:pPr>
              <w:jc w:val="right"/>
              <w:ind w:right="100"/>
              <w:spacing w:after="0" w:line="237" w:lineRule="exact"/>
              <w:rPr>
                <w:sz w:val="20"/>
                <w:szCs w:val="20"/>
                <w:color w:val="auto"/>
              </w:rPr>
            </w:pPr>
            <w:r>
              <w:rPr>
                <w:rFonts w:ascii="Arial" w:cs="Arial" w:eastAsia="Arial" w:hAnsi="Arial"/>
                <w:sz w:val="22"/>
                <w:szCs w:val="22"/>
                <w:b w:val="1"/>
                <w:bCs w:val="1"/>
                <w:color w:val="auto"/>
              </w:rPr>
              <w:t>14</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300" w:type="dxa"/>
            <w:vAlign w:val="bottom"/>
            <w:gridSpan w:val="27"/>
          </w:tcPr>
          <w:p>
            <w:pPr>
              <w:spacing w:after="0" w:line="237" w:lineRule="exact"/>
              <w:rPr>
                <w:rFonts w:ascii="Arial" w:cs="Arial" w:eastAsia="Arial" w:hAnsi="Arial"/>
                <w:sz w:val="22"/>
                <w:szCs w:val="22"/>
                <w:b w:val="1"/>
                <w:bCs w:val="1"/>
                <w:color w:val="0000FF"/>
                <w:w w:val="91"/>
              </w:rPr>
            </w:pPr>
            <w:hyperlink w:anchor="page56">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3.3Payments and Computations, Etc</w:t>
            </w:r>
          </w:p>
        </w:tc>
        <w:tc>
          <w:tcPr>
            <w:tcW w:w="380" w:type="dxa"/>
            <w:vAlign w:val="bottom"/>
          </w:tcPr>
          <w:p>
            <w:pPr>
              <w:spacing w:after="0" w:line="237" w:lineRule="exact"/>
              <w:rPr>
                <w:sz w:val="20"/>
                <w:szCs w:val="20"/>
                <w:color w:val="auto"/>
              </w:rPr>
            </w:pPr>
            <w:r>
              <w:rPr>
                <w:rFonts w:ascii="Arial" w:cs="Arial" w:eastAsia="Arial" w:hAnsi="Arial"/>
                <w:sz w:val="22"/>
                <w:szCs w:val="22"/>
                <w:b w:val="1"/>
                <w:bCs w:val="1"/>
                <w:color w:val="auto"/>
              </w:rPr>
              <w:t>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180" w:type="dxa"/>
            <w:vAlign w:val="bottom"/>
            <w:gridSpan w:val="38"/>
          </w:tcPr>
          <w:p>
            <w:pPr>
              <w:spacing w:after="0" w:line="237" w:lineRule="exact"/>
              <w:rPr>
                <w:rFonts w:ascii="Arial" w:cs="Arial" w:eastAsia="Arial" w:hAnsi="Arial"/>
                <w:sz w:val="22"/>
                <w:szCs w:val="22"/>
                <w:b w:val="1"/>
                <w:bCs w:val="1"/>
                <w:color w:val="0000FF"/>
                <w:w w:val="91"/>
              </w:rPr>
            </w:pPr>
            <w:hyperlink w:anchor="page57">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 xml:space="preserve">3.4Treatment of Collections and Deemed Collections  </w:t>
            </w:r>
            <w:r>
              <w:rPr>
                <w:rFonts w:ascii="Arial" w:cs="Arial" w:eastAsia="Arial" w:hAnsi="Arial"/>
                <w:sz w:val="22"/>
                <w:szCs w:val="22"/>
                <w:b w:val="1"/>
                <w:bCs w:val="1"/>
                <w:color w:val="000000"/>
                <w:w w:val="91"/>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920" w:type="dxa"/>
            <w:vAlign w:val="bottom"/>
            <w:tcBorders>
              <w:top w:val="single" w:sz="8" w:color="0000FF"/>
              <w:bottom w:val="single" w:sz="8" w:color="0000FF"/>
            </w:tcBorders>
            <w:gridSpan w:val="17"/>
          </w:tcPr>
          <w:p>
            <w:pPr>
              <w:spacing w:after="0" w:line="237" w:lineRule="exact"/>
              <w:rPr>
                <w:rFonts w:ascii="Arial" w:cs="Arial" w:eastAsia="Arial" w:hAnsi="Arial"/>
                <w:sz w:val="22"/>
                <w:szCs w:val="22"/>
                <w:b w:val="1"/>
                <w:bCs w:val="1"/>
                <w:color w:val="0000FF"/>
                <w:w w:val="86"/>
              </w:rPr>
            </w:pPr>
            <w:hyperlink w:anchor="page57">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3.5Sharing of Payments</w:t>
            </w:r>
          </w:p>
        </w:tc>
        <w:tc>
          <w:tcPr>
            <w:tcW w:w="1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gridSpan w:val="2"/>
          </w:tcPr>
          <w:p>
            <w:pPr>
              <w:jc w:val="right"/>
              <w:ind w:right="20"/>
              <w:spacing w:after="0" w:line="237" w:lineRule="exact"/>
              <w:rPr>
                <w:sz w:val="20"/>
                <w:szCs w:val="20"/>
                <w:color w:val="auto"/>
              </w:rPr>
            </w:pPr>
            <w:r>
              <w:rPr>
                <w:rFonts w:ascii="Arial" w:cs="Arial" w:eastAsia="Arial" w:hAnsi="Arial"/>
                <w:sz w:val="22"/>
                <w:szCs w:val="22"/>
                <w:b w:val="1"/>
                <w:bCs w:val="1"/>
                <w:color w:val="auto"/>
              </w:rPr>
              <w:t>18</w:t>
            </w: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080" w:type="dxa"/>
            <w:vAlign w:val="bottom"/>
            <w:gridSpan w:val="25"/>
          </w:tcPr>
          <w:p>
            <w:pPr>
              <w:spacing w:after="0" w:line="237" w:lineRule="exact"/>
              <w:rPr>
                <w:rFonts w:ascii="Arial" w:cs="Arial" w:eastAsia="Arial" w:hAnsi="Arial"/>
                <w:sz w:val="22"/>
                <w:szCs w:val="22"/>
                <w:b w:val="1"/>
                <w:bCs w:val="1"/>
                <w:color w:val="0000FF"/>
                <w:w w:val="88"/>
              </w:rPr>
            </w:pPr>
            <w:hyperlink w:anchor="page57">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 xml:space="preserve">3.6Repurchase of Asset Interest  </w:t>
            </w:r>
            <w:r>
              <w:rPr>
                <w:rFonts w:ascii="Arial" w:cs="Arial" w:eastAsia="Arial" w:hAnsi="Arial"/>
                <w:sz w:val="22"/>
                <w:szCs w:val="22"/>
                <w:b w:val="1"/>
                <w:bCs w:val="1"/>
                <w:color w:val="000000"/>
                <w:w w:val="88"/>
              </w:rPr>
              <w:t>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3940" w:type="dxa"/>
            <w:vAlign w:val="bottom"/>
            <w:gridSpan w:val="16"/>
          </w:tcPr>
          <w:p>
            <w:pPr>
              <w:spacing w:after="0"/>
              <w:rPr>
                <w:rFonts w:ascii="Arial" w:cs="Arial" w:eastAsia="Arial" w:hAnsi="Arial"/>
                <w:sz w:val="22"/>
                <w:szCs w:val="22"/>
                <w:color w:val="0000FF"/>
              </w:rPr>
            </w:pPr>
            <w:hyperlink w:anchor="page57">
              <w:r>
                <w:rPr>
                  <w:rFonts w:ascii="Arial" w:cs="Arial" w:eastAsia="Arial" w:hAnsi="Arial"/>
                  <w:sz w:val="22"/>
                  <w:szCs w:val="22"/>
                  <w:color w:val="0000FF"/>
                </w:rPr>
                <w:t>Article IV. Fees and Yield Protection</w:t>
              </w:r>
            </w:hyperlink>
            <w:r>
              <w:rPr>
                <w:rFonts w:ascii="Arial" w:cs="Arial" w:eastAsia="Arial" w:hAnsi="Arial"/>
                <w:sz w:val="22"/>
                <w:szCs w:val="22"/>
                <w:color w:val="000000"/>
              </w:rPr>
              <w:t>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1300" w:type="dxa"/>
            <w:vAlign w:val="bottom"/>
            <w:tcBorders>
              <w:top w:val="single" w:sz="8" w:color="0000FF"/>
            </w:tcBorders>
          </w:tcPr>
          <w:p>
            <w:pPr>
              <w:spacing w:after="0"/>
              <w:rPr>
                <w:sz w:val="20"/>
                <w:szCs w:val="20"/>
                <w:color w:val="auto"/>
              </w:rPr>
            </w:pPr>
          </w:p>
        </w:tc>
        <w:tc>
          <w:tcPr>
            <w:tcW w:w="1900" w:type="dxa"/>
            <w:vAlign w:val="bottom"/>
            <w:tcBorders>
              <w:top w:val="single" w:sz="8" w:color="0000FF"/>
            </w:tcBorders>
            <w:gridSpan w:val="6"/>
          </w:tcPr>
          <w:p>
            <w:pPr>
              <w:spacing w:after="0" w:line="237" w:lineRule="exact"/>
              <w:rPr>
                <w:rFonts w:ascii="Arial" w:cs="Arial" w:eastAsia="Arial" w:hAnsi="Arial"/>
                <w:sz w:val="22"/>
                <w:szCs w:val="22"/>
                <w:b w:val="1"/>
                <w:bCs w:val="1"/>
                <w:color w:val="0000FF"/>
                <w:w w:val="92"/>
              </w:rPr>
            </w:pPr>
            <w:hyperlink w:anchor="page57">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 xml:space="preserve">4.1Fees  </w:t>
            </w:r>
            <w:r>
              <w:rPr>
                <w:rFonts w:ascii="Arial" w:cs="Arial" w:eastAsia="Arial" w:hAnsi="Arial"/>
                <w:sz w:val="22"/>
                <w:szCs w:val="22"/>
                <w:b w:val="1"/>
                <w:bCs w:val="1"/>
                <w:color w:val="000000"/>
                <w:w w:val="92"/>
              </w:rPr>
              <w:t>18</w:t>
            </w:r>
          </w:p>
        </w:tc>
        <w:tc>
          <w:tcPr>
            <w:tcW w:w="20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500" w:type="dxa"/>
            <w:vAlign w:val="bottom"/>
            <w:tcBorders>
              <w:bottom w:val="single" w:sz="8" w:color="0000FF"/>
            </w:tcBorders>
            <w:gridSpan w:val="13"/>
          </w:tcPr>
          <w:p>
            <w:pPr>
              <w:spacing w:after="0" w:line="237" w:lineRule="exact"/>
              <w:rPr>
                <w:rFonts w:ascii="Arial" w:cs="Arial" w:eastAsia="Arial" w:hAnsi="Arial"/>
                <w:sz w:val="22"/>
                <w:szCs w:val="22"/>
                <w:b w:val="1"/>
                <w:bCs w:val="1"/>
                <w:color w:val="0000FF"/>
                <w:w w:val="87"/>
              </w:rPr>
            </w:pPr>
            <w:hyperlink w:anchor="page57">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4.2Yield Protection</w:t>
            </w:r>
          </w:p>
        </w:tc>
        <w:tc>
          <w:tcPr>
            <w:tcW w:w="140" w:type="dxa"/>
            <w:vAlign w:val="bottom"/>
            <w:gridSpan w:val="2"/>
          </w:tcPr>
          <w:p>
            <w:pPr>
              <w:spacing w:after="0"/>
              <w:rPr>
                <w:sz w:val="20"/>
                <w:szCs w:val="20"/>
                <w:color w:val="auto"/>
              </w:rPr>
            </w:pPr>
          </w:p>
        </w:tc>
        <w:tc>
          <w:tcPr>
            <w:tcW w:w="440" w:type="dxa"/>
            <w:vAlign w:val="bottom"/>
            <w:gridSpan w:val="3"/>
          </w:tcPr>
          <w:p>
            <w:pPr>
              <w:jc w:val="right"/>
              <w:ind w:right="160"/>
              <w:spacing w:after="0" w:line="237" w:lineRule="exact"/>
              <w:rPr>
                <w:sz w:val="20"/>
                <w:szCs w:val="20"/>
                <w:color w:val="auto"/>
              </w:rPr>
            </w:pPr>
            <w:r>
              <w:rPr>
                <w:rFonts w:ascii="Arial" w:cs="Arial" w:eastAsia="Arial" w:hAnsi="Arial"/>
                <w:sz w:val="22"/>
                <w:szCs w:val="22"/>
                <w:b w:val="1"/>
                <w:bCs w:val="1"/>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440" w:type="dxa"/>
            <w:vAlign w:val="bottom"/>
            <w:tcBorders>
              <w:bottom w:val="single" w:sz="8" w:color="0000FF"/>
            </w:tcBorders>
            <w:gridSpan w:val="11"/>
          </w:tcPr>
          <w:p>
            <w:pPr>
              <w:spacing w:after="0" w:line="237" w:lineRule="exact"/>
              <w:rPr>
                <w:rFonts w:ascii="Arial" w:cs="Arial" w:eastAsia="Arial" w:hAnsi="Arial"/>
                <w:sz w:val="22"/>
                <w:szCs w:val="22"/>
                <w:b w:val="1"/>
                <w:bCs w:val="1"/>
                <w:color w:val="0000FF"/>
                <w:w w:val="84"/>
              </w:rPr>
            </w:pPr>
            <w:hyperlink w:anchor="page58">
              <w:r>
                <w:rPr>
                  <w:rFonts w:ascii="Arial" w:cs="Arial" w:eastAsia="Arial" w:hAnsi="Arial"/>
                  <w:sz w:val="22"/>
                  <w:szCs w:val="22"/>
                  <w:b w:val="1"/>
                  <w:bCs w:val="1"/>
                  <w:color w:val="0000FF"/>
                  <w:w w:val="84"/>
                </w:rPr>
                <w:t xml:space="preserve">Section </w:t>
              </w:r>
            </w:hyperlink>
            <w:r>
              <w:rPr>
                <w:rFonts w:ascii="Arial" w:cs="Arial" w:eastAsia="Arial" w:hAnsi="Arial"/>
                <w:sz w:val="22"/>
                <w:szCs w:val="22"/>
                <w:b w:val="1"/>
                <w:bCs w:val="1"/>
                <w:color w:val="0000FF"/>
                <w:w w:val="84"/>
              </w:rPr>
              <w:t>4.3Funding Losses</w:t>
            </w:r>
          </w:p>
        </w:tc>
        <w:tc>
          <w:tcPr>
            <w:tcW w:w="200" w:type="dxa"/>
            <w:vAlign w:val="bottom"/>
            <w:gridSpan w:val="4"/>
          </w:tcPr>
          <w:p>
            <w:pPr>
              <w:spacing w:after="0"/>
              <w:rPr>
                <w:sz w:val="20"/>
                <w:szCs w:val="20"/>
                <w:color w:val="auto"/>
              </w:rPr>
            </w:pPr>
          </w:p>
        </w:tc>
        <w:tc>
          <w:tcPr>
            <w:tcW w:w="280" w:type="dxa"/>
            <w:vAlign w:val="bottom"/>
            <w:gridSpan w:val="2"/>
          </w:tcPr>
          <w:p>
            <w:pPr>
              <w:jc w:val="right"/>
              <w:ind w:right="60"/>
              <w:spacing w:after="0" w:line="237" w:lineRule="exact"/>
              <w:rPr>
                <w:sz w:val="20"/>
                <w:szCs w:val="20"/>
                <w:color w:val="auto"/>
              </w:rPr>
            </w:pPr>
            <w:r>
              <w:rPr>
                <w:rFonts w:ascii="Arial" w:cs="Arial" w:eastAsia="Arial" w:hAnsi="Arial"/>
                <w:sz w:val="22"/>
                <w:szCs w:val="22"/>
                <w:b w:val="1"/>
                <w:bCs w:val="1"/>
                <w:color w:val="auto"/>
                <w:w w:val="81"/>
              </w:rPr>
              <w:t>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3"/>
        </w:trPr>
        <w:tc>
          <w:tcPr>
            <w:tcW w:w="3400" w:type="dxa"/>
            <w:vAlign w:val="bottom"/>
            <w:gridSpan w:val="9"/>
          </w:tcPr>
          <w:p>
            <w:pPr>
              <w:spacing w:after="0"/>
              <w:rPr>
                <w:rFonts w:ascii="Arial" w:cs="Arial" w:eastAsia="Arial" w:hAnsi="Arial"/>
                <w:sz w:val="22"/>
                <w:szCs w:val="22"/>
                <w:color w:val="0000FF"/>
                <w:w w:val="94"/>
              </w:rPr>
            </w:pPr>
            <w:hyperlink w:anchor="page59">
              <w:r>
                <w:rPr>
                  <w:rFonts w:ascii="Arial" w:cs="Arial" w:eastAsia="Arial" w:hAnsi="Arial"/>
                  <w:sz w:val="22"/>
                  <w:szCs w:val="22"/>
                  <w:color w:val="0000FF"/>
                  <w:w w:val="94"/>
                </w:rPr>
                <w:t>Article V. Conditions of Purchases</w:t>
              </w:r>
            </w:hyperlink>
            <w:r>
              <w:rPr>
                <w:rFonts w:ascii="Arial" w:cs="Arial" w:eastAsia="Arial" w:hAnsi="Arial"/>
                <w:sz w:val="22"/>
                <w:szCs w:val="22"/>
                <w:color w:val="000000"/>
                <w:w w:val="94"/>
              </w:rPr>
              <w:t>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180" w:type="dxa"/>
            <w:vAlign w:val="bottom"/>
            <w:gridSpan w:val="38"/>
          </w:tcPr>
          <w:p>
            <w:pPr>
              <w:spacing w:after="0" w:line="237" w:lineRule="exact"/>
              <w:rPr>
                <w:rFonts w:ascii="Arial" w:cs="Arial" w:eastAsia="Arial" w:hAnsi="Arial"/>
                <w:sz w:val="22"/>
                <w:szCs w:val="22"/>
                <w:b w:val="1"/>
                <w:bCs w:val="1"/>
                <w:color w:val="0000FF"/>
                <w:w w:val="89"/>
              </w:rPr>
            </w:pPr>
            <w:hyperlink w:anchor="page59">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5.1Closing Date; Conditions Precedent to Initial Purchase</w:t>
            </w:r>
          </w:p>
        </w:tc>
        <w:tc>
          <w:tcPr>
            <w:tcW w:w="300" w:type="dxa"/>
            <w:vAlign w:val="bottom"/>
            <w:gridSpan w:val="4"/>
          </w:tcPr>
          <w:p>
            <w:pPr>
              <w:jc w:val="right"/>
              <w:spacing w:after="0" w:line="237" w:lineRule="exact"/>
              <w:rPr>
                <w:sz w:val="20"/>
                <w:szCs w:val="20"/>
                <w:color w:val="auto"/>
              </w:rPr>
            </w:pPr>
            <w:r>
              <w:rPr>
                <w:rFonts w:ascii="Arial" w:cs="Arial" w:eastAsia="Arial" w:hAnsi="Arial"/>
                <w:sz w:val="22"/>
                <w:szCs w:val="22"/>
                <w:b w:val="1"/>
                <w:bCs w:val="1"/>
                <w:color w:val="auto"/>
              </w:rPr>
              <w:t>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340" w:type="dxa"/>
            <w:vAlign w:val="bottom"/>
            <w:tcBorders>
              <w:bottom w:val="single" w:sz="8" w:color="0000FF"/>
            </w:tcBorders>
            <w:gridSpan w:val="40"/>
          </w:tcPr>
          <w:p>
            <w:pPr>
              <w:spacing w:after="0" w:line="237" w:lineRule="exact"/>
              <w:rPr>
                <w:rFonts w:ascii="Arial" w:cs="Arial" w:eastAsia="Arial" w:hAnsi="Arial"/>
                <w:sz w:val="22"/>
                <w:szCs w:val="22"/>
                <w:b w:val="1"/>
                <w:bCs w:val="1"/>
                <w:color w:val="0000FF"/>
                <w:w w:val="86"/>
              </w:rPr>
            </w:pPr>
            <w:hyperlink w:anchor="page60">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5.2Conditions Precedent to All Purchases and Reinvestments</w:t>
            </w:r>
          </w:p>
        </w:tc>
        <w:tc>
          <w:tcPr>
            <w:tcW w:w="140" w:type="dxa"/>
            <w:vAlign w:val="bottom"/>
            <w:gridSpan w:val="2"/>
          </w:tcPr>
          <w:p>
            <w:pPr>
              <w:spacing w:after="0"/>
              <w:rPr>
                <w:sz w:val="20"/>
                <w:szCs w:val="20"/>
                <w:color w:val="auto"/>
              </w:rPr>
            </w:pPr>
          </w:p>
        </w:tc>
        <w:tc>
          <w:tcPr>
            <w:tcW w:w="280" w:type="dxa"/>
            <w:vAlign w:val="bottom"/>
            <w:gridSpan w:val="3"/>
          </w:tcPr>
          <w:p>
            <w:pPr>
              <w:jc w:val="right"/>
              <w:spacing w:after="0" w:line="237" w:lineRule="exact"/>
              <w:rPr>
                <w:sz w:val="20"/>
                <w:szCs w:val="20"/>
                <w:color w:val="auto"/>
              </w:rPr>
            </w:pPr>
            <w:r>
              <w:rPr>
                <w:rFonts w:ascii="Arial" w:cs="Arial" w:eastAsia="Arial" w:hAnsi="Arial"/>
                <w:sz w:val="22"/>
                <w:szCs w:val="22"/>
                <w:b w:val="1"/>
                <w:bCs w:val="1"/>
                <w:color w:val="auto"/>
              </w:rPr>
              <w:t>23</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3"/>
        </w:trPr>
        <w:tc>
          <w:tcPr>
            <w:tcW w:w="3940" w:type="dxa"/>
            <w:vAlign w:val="bottom"/>
            <w:gridSpan w:val="16"/>
          </w:tcPr>
          <w:p>
            <w:pPr>
              <w:spacing w:after="0"/>
              <w:rPr>
                <w:rFonts w:ascii="Arial" w:cs="Arial" w:eastAsia="Arial" w:hAnsi="Arial"/>
                <w:sz w:val="22"/>
                <w:szCs w:val="22"/>
                <w:color w:val="0000FF"/>
                <w:w w:val="89"/>
              </w:rPr>
            </w:pPr>
            <w:hyperlink w:anchor="page61">
              <w:r>
                <w:rPr>
                  <w:rFonts w:ascii="Arial" w:cs="Arial" w:eastAsia="Arial" w:hAnsi="Arial"/>
                  <w:sz w:val="22"/>
                  <w:szCs w:val="22"/>
                  <w:color w:val="0000FF"/>
                  <w:w w:val="89"/>
                </w:rPr>
                <w:t>Article VI. Representations and Warranties</w:t>
              </w:r>
            </w:hyperlink>
            <w:r>
              <w:rPr>
                <w:rFonts w:ascii="Arial" w:cs="Arial" w:eastAsia="Arial" w:hAnsi="Arial"/>
                <w:sz w:val="22"/>
                <w:szCs w:val="22"/>
                <w:color w:val="000000"/>
                <w:w w:val="89"/>
              </w:rPr>
              <w:t>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900" w:type="dxa"/>
            <w:vAlign w:val="bottom"/>
            <w:gridSpan w:val="36"/>
          </w:tcPr>
          <w:p>
            <w:pPr>
              <w:spacing w:after="0" w:line="237" w:lineRule="exact"/>
              <w:rPr>
                <w:rFonts w:ascii="Arial" w:cs="Arial" w:eastAsia="Arial" w:hAnsi="Arial"/>
                <w:sz w:val="22"/>
                <w:szCs w:val="22"/>
                <w:b w:val="1"/>
                <w:bCs w:val="1"/>
                <w:color w:val="0000FF"/>
                <w:w w:val="88"/>
              </w:rPr>
            </w:pPr>
            <w:hyperlink w:anchor="page61">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6.1Representations and Warranties of the Seller Parties</w:t>
            </w:r>
          </w:p>
        </w:tc>
        <w:tc>
          <w:tcPr>
            <w:tcW w:w="440" w:type="dxa"/>
            <w:vAlign w:val="bottom"/>
            <w:gridSpan w:val="4"/>
          </w:tcPr>
          <w:p>
            <w:pPr>
              <w:jc w:val="right"/>
              <w:ind w:right="60"/>
              <w:spacing w:after="0" w:line="237" w:lineRule="exact"/>
              <w:rPr>
                <w:sz w:val="20"/>
                <w:szCs w:val="20"/>
                <w:color w:val="auto"/>
              </w:rPr>
            </w:pPr>
            <w:r>
              <w:rPr>
                <w:rFonts w:ascii="Arial" w:cs="Arial" w:eastAsia="Arial" w:hAnsi="Arial"/>
                <w:sz w:val="22"/>
                <w:szCs w:val="22"/>
                <w:b w:val="1"/>
                <w:bCs w:val="1"/>
                <w:color w:val="auto"/>
              </w:rPr>
              <w:t>24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4840" w:type="dxa"/>
            <w:vAlign w:val="bottom"/>
            <w:gridSpan w:val="22"/>
          </w:tcPr>
          <w:p>
            <w:pPr>
              <w:spacing w:after="0"/>
              <w:rPr>
                <w:rFonts w:ascii="Arial" w:cs="Arial" w:eastAsia="Arial" w:hAnsi="Arial"/>
                <w:sz w:val="22"/>
                <w:szCs w:val="22"/>
                <w:color w:val="0000FF"/>
                <w:w w:val="92"/>
              </w:rPr>
            </w:pPr>
            <w:hyperlink w:anchor="page64">
              <w:r>
                <w:rPr>
                  <w:rFonts w:ascii="Arial" w:cs="Arial" w:eastAsia="Arial" w:hAnsi="Arial"/>
                  <w:sz w:val="22"/>
                  <w:szCs w:val="22"/>
                  <w:color w:val="0000FF"/>
                  <w:w w:val="92"/>
                </w:rPr>
                <w:t>Article VII. General Covenants of the Seller Parties</w:t>
              </w:r>
            </w:hyperlink>
            <w:r>
              <w:rPr>
                <w:rFonts w:ascii="Arial" w:cs="Arial" w:eastAsia="Arial" w:hAnsi="Arial"/>
                <w:sz w:val="22"/>
                <w:szCs w:val="22"/>
                <w:color w:val="000000"/>
                <w:w w:val="92"/>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160" w:type="dxa"/>
            <w:vAlign w:val="bottom"/>
            <w:gridSpan w:val="32"/>
          </w:tcPr>
          <w:p>
            <w:pPr>
              <w:spacing w:after="0" w:line="237" w:lineRule="exact"/>
              <w:rPr>
                <w:rFonts w:ascii="Arial" w:cs="Arial" w:eastAsia="Arial" w:hAnsi="Arial"/>
                <w:sz w:val="22"/>
                <w:szCs w:val="22"/>
                <w:b w:val="1"/>
                <w:bCs w:val="1"/>
                <w:color w:val="0000FF"/>
                <w:w w:val="91"/>
              </w:rPr>
            </w:pPr>
            <w:hyperlink w:anchor="page64">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7.1Affirmative Covenants of the Seller Parties</w:t>
            </w:r>
          </w:p>
        </w:tc>
        <w:tc>
          <w:tcPr>
            <w:tcW w:w="380" w:type="dxa"/>
            <w:vAlign w:val="bottom"/>
          </w:tcPr>
          <w:p>
            <w:pPr>
              <w:jc w:val="right"/>
              <w:ind w:right="32"/>
              <w:spacing w:after="0" w:line="237" w:lineRule="exact"/>
              <w:rPr>
                <w:sz w:val="20"/>
                <w:szCs w:val="20"/>
                <w:color w:val="auto"/>
              </w:rPr>
            </w:pPr>
            <w:r>
              <w:rPr>
                <w:rFonts w:ascii="Arial" w:cs="Arial" w:eastAsia="Arial" w:hAnsi="Arial"/>
                <w:sz w:val="22"/>
                <w:szCs w:val="22"/>
                <w:b w:val="1"/>
                <w:bCs w:val="1"/>
                <w:color w:val="auto"/>
                <w:w w:val="89"/>
              </w:rPr>
              <w:t>29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160" w:type="dxa"/>
            <w:vAlign w:val="bottom"/>
            <w:gridSpan w:val="32"/>
          </w:tcPr>
          <w:p>
            <w:pPr>
              <w:spacing w:after="0" w:line="237" w:lineRule="exact"/>
              <w:rPr>
                <w:rFonts w:ascii="Arial" w:cs="Arial" w:eastAsia="Arial" w:hAnsi="Arial"/>
                <w:sz w:val="22"/>
                <w:szCs w:val="22"/>
                <w:b w:val="1"/>
                <w:bCs w:val="1"/>
                <w:color w:val="0000FF"/>
                <w:w w:val="87"/>
              </w:rPr>
            </w:pPr>
            <w:hyperlink w:anchor="page65">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7.2Reporting Requirements of the Seller Parties</w:t>
            </w:r>
          </w:p>
        </w:tc>
        <w:tc>
          <w:tcPr>
            <w:tcW w:w="600" w:type="dxa"/>
            <w:vAlign w:val="bottom"/>
            <w:gridSpan w:val="2"/>
          </w:tcPr>
          <w:p>
            <w:pPr>
              <w:ind w:left="200"/>
              <w:spacing w:after="0" w:line="237" w:lineRule="exact"/>
              <w:rPr>
                <w:sz w:val="20"/>
                <w:szCs w:val="20"/>
                <w:color w:val="auto"/>
              </w:rPr>
            </w:pPr>
            <w:r>
              <w:rPr>
                <w:rFonts w:ascii="Arial" w:cs="Arial" w:eastAsia="Arial" w:hAnsi="Arial"/>
                <w:sz w:val="22"/>
                <w:szCs w:val="22"/>
                <w:b w:val="1"/>
                <w:bCs w:val="1"/>
                <w:color w:val="auto"/>
              </w:rPr>
              <w:t>31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140" w:type="dxa"/>
            <w:vAlign w:val="bottom"/>
            <w:tcBorders>
              <w:top w:val="single" w:sz="8" w:color="0000FF"/>
            </w:tcBorders>
            <w:gridSpan w:val="31"/>
          </w:tcPr>
          <w:p>
            <w:pPr>
              <w:spacing w:after="0" w:line="237" w:lineRule="exact"/>
              <w:rPr>
                <w:rFonts w:ascii="Arial" w:cs="Arial" w:eastAsia="Arial" w:hAnsi="Arial"/>
                <w:sz w:val="22"/>
                <w:szCs w:val="22"/>
                <w:b w:val="1"/>
                <w:bCs w:val="1"/>
                <w:color w:val="0000FF"/>
                <w:w w:val="89"/>
              </w:rPr>
            </w:pPr>
            <w:hyperlink w:anchor="page66">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 xml:space="preserve">7.3Negative Covenants of the Seller Parties  </w:t>
            </w:r>
            <w:r>
              <w:rPr>
                <w:rFonts w:ascii="Arial" w:cs="Arial" w:eastAsia="Arial" w:hAnsi="Arial"/>
                <w:sz w:val="22"/>
                <w:szCs w:val="22"/>
                <w:b w:val="1"/>
                <w:bCs w:val="1"/>
                <w:color w:val="000000"/>
                <w:w w:val="89"/>
              </w:rPr>
              <w:t>33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900" w:type="dxa"/>
            <w:vAlign w:val="bottom"/>
            <w:gridSpan w:val="36"/>
          </w:tcPr>
          <w:p>
            <w:pPr>
              <w:spacing w:after="0" w:line="237" w:lineRule="exact"/>
              <w:rPr>
                <w:rFonts w:ascii="Arial" w:cs="Arial" w:eastAsia="Arial" w:hAnsi="Arial"/>
                <w:sz w:val="22"/>
                <w:szCs w:val="22"/>
                <w:b w:val="1"/>
                <w:bCs w:val="1"/>
                <w:color w:val="0000FF"/>
                <w:w w:val="98"/>
              </w:rPr>
            </w:pPr>
            <w:hyperlink w:anchor="page68">
              <w:r>
                <w:rPr>
                  <w:rFonts w:ascii="Arial" w:cs="Arial" w:eastAsia="Arial" w:hAnsi="Arial"/>
                  <w:sz w:val="22"/>
                  <w:szCs w:val="22"/>
                  <w:b w:val="1"/>
                  <w:bCs w:val="1"/>
                  <w:color w:val="0000FF"/>
                  <w:w w:val="98"/>
                </w:rPr>
                <w:t xml:space="preserve">Section </w:t>
              </w:r>
            </w:hyperlink>
            <w:r>
              <w:rPr>
                <w:rFonts w:ascii="Arial" w:cs="Arial" w:eastAsia="Arial" w:hAnsi="Arial"/>
                <w:sz w:val="22"/>
                <w:szCs w:val="22"/>
                <w:b w:val="1"/>
                <w:bCs w:val="1"/>
                <w:color w:val="0000FF"/>
                <w:w w:val="98"/>
              </w:rPr>
              <w:t xml:space="preserve">7.4Separate Corporate Existence of the Seller  </w:t>
            </w:r>
            <w:r>
              <w:rPr>
                <w:rFonts w:ascii="Arial" w:cs="Arial" w:eastAsia="Arial" w:hAnsi="Arial"/>
                <w:sz w:val="22"/>
                <w:szCs w:val="22"/>
                <w:b w:val="1"/>
                <w:bCs w:val="1"/>
                <w:color w:val="000000"/>
                <w:w w:val="98"/>
              </w:rPr>
              <w:t>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4380" w:type="dxa"/>
            <w:vAlign w:val="bottom"/>
            <w:gridSpan w:val="19"/>
          </w:tcPr>
          <w:p>
            <w:pPr>
              <w:spacing w:after="0"/>
              <w:rPr>
                <w:rFonts w:ascii="Arial" w:cs="Arial" w:eastAsia="Arial" w:hAnsi="Arial"/>
                <w:sz w:val="22"/>
                <w:szCs w:val="22"/>
                <w:color w:val="0000FF"/>
              </w:rPr>
            </w:pPr>
            <w:hyperlink w:anchor="page69">
              <w:r>
                <w:rPr>
                  <w:rFonts w:ascii="Arial" w:cs="Arial" w:eastAsia="Arial" w:hAnsi="Arial"/>
                  <w:sz w:val="22"/>
                  <w:szCs w:val="22"/>
                  <w:color w:val="0000FF"/>
                </w:rPr>
                <w:t>Article VIII. Administration and Collection</w:t>
              </w:r>
            </w:hyperlink>
            <w:r>
              <w:rPr>
                <w:rFonts w:ascii="Arial" w:cs="Arial" w:eastAsia="Arial" w:hAnsi="Arial"/>
                <w:sz w:val="22"/>
                <w:szCs w:val="22"/>
                <w:color w:val="000000"/>
              </w:rPr>
              <w:t>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080" w:type="dxa"/>
            <w:vAlign w:val="bottom"/>
            <w:gridSpan w:val="25"/>
          </w:tcPr>
          <w:p>
            <w:pPr>
              <w:spacing w:after="0" w:line="237" w:lineRule="exact"/>
              <w:rPr>
                <w:rFonts w:ascii="Arial" w:cs="Arial" w:eastAsia="Arial" w:hAnsi="Arial"/>
                <w:sz w:val="22"/>
                <w:szCs w:val="22"/>
                <w:b w:val="1"/>
                <w:bCs w:val="1"/>
                <w:color w:val="0000FF"/>
                <w:w w:val="92"/>
              </w:rPr>
            </w:pPr>
            <w:hyperlink w:anchor="page69">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8.1Designation of Master Servicer</w:t>
            </w:r>
          </w:p>
        </w:tc>
        <w:tc>
          <w:tcPr>
            <w:tcW w:w="22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auto"/>
                <w:w w:val="81"/>
              </w:rPr>
              <w:t>39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540" w:type="dxa"/>
            <w:vAlign w:val="bottom"/>
            <w:tcBorders>
              <w:top w:val="single" w:sz="8" w:color="0000FF"/>
            </w:tcBorders>
            <w:gridSpan w:val="21"/>
          </w:tcPr>
          <w:p>
            <w:pPr>
              <w:spacing w:after="0" w:line="237" w:lineRule="exact"/>
              <w:rPr>
                <w:rFonts w:ascii="Arial" w:cs="Arial" w:eastAsia="Arial" w:hAnsi="Arial"/>
                <w:sz w:val="22"/>
                <w:szCs w:val="22"/>
                <w:b w:val="1"/>
                <w:bCs w:val="1"/>
                <w:color w:val="0000FF"/>
                <w:w w:val="92"/>
              </w:rPr>
            </w:pPr>
            <w:hyperlink w:anchor="page70">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8.2Duties of Master Servicer</w:t>
            </w:r>
          </w:p>
        </w:tc>
        <w:tc>
          <w:tcPr>
            <w:tcW w:w="320" w:type="dxa"/>
            <w:vAlign w:val="bottom"/>
            <w:tcBorders>
              <w:top w:val="single" w:sz="8" w:color="0000FF"/>
            </w:tcBorders>
            <w:gridSpan w:val="2"/>
          </w:tcPr>
          <w:p>
            <w:pPr>
              <w:jc w:val="right"/>
              <w:ind w:right="80"/>
              <w:spacing w:after="0" w:line="237" w:lineRule="exact"/>
              <w:rPr>
                <w:sz w:val="20"/>
                <w:szCs w:val="20"/>
                <w:color w:val="auto"/>
              </w:rPr>
            </w:pPr>
            <w:r>
              <w:rPr>
                <w:rFonts w:ascii="Arial" w:cs="Arial" w:eastAsia="Arial" w:hAnsi="Arial"/>
                <w:sz w:val="22"/>
                <w:szCs w:val="22"/>
                <w:b w:val="1"/>
                <w:bCs w:val="1"/>
                <w:color w:val="auto"/>
                <w:w w:val="89"/>
              </w:rPr>
              <w:t>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000" w:type="dxa"/>
            <w:vAlign w:val="bottom"/>
            <w:tcBorders>
              <w:top w:val="single" w:sz="8" w:color="0000FF"/>
              <w:bottom w:val="single" w:sz="8" w:color="0000FF"/>
            </w:tcBorders>
            <w:gridSpan w:val="7"/>
          </w:tcPr>
          <w:p>
            <w:pPr>
              <w:spacing w:after="0" w:line="237" w:lineRule="exact"/>
              <w:rPr>
                <w:rFonts w:ascii="Arial" w:cs="Arial" w:eastAsia="Arial" w:hAnsi="Arial"/>
                <w:sz w:val="22"/>
                <w:szCs w:val="22"/>
                <w:b w:val="1"/>
                <w:bCs w:val="1"/>
                <w:color w:val="0000FF"/>
                <w:w w:val="86"/>
              </w:rPr>
            </w:pPr>
            <w:hyperlink w:anchor="page70">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8.3[Reserved]</w:t>
            </w: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gridSpan w:val="2"/>
          </w:tcPr>
          <w:p>
            <w:pPr>
              <w:jc w:val="right"/>
              <w:spacing w:after="0" w:line="237" w:lineRule="exact"/>
              <w:rPr>
                <w:sz w:val="20"/>
                <w:szCs w:val="20"/>
                <w:color w:val="auto"/>
              </w:rPr>
            </w:pPr>
            <w:r>
              <w:rPr>
                <w:rFonts w:ascii="Arial" w:cs="Arial" w:eastAsia="Arial" w:hAnsi="Arial"/>
                <w:sz w:val="22"/>
                <w:szCs w:val="22"/>
                <w:b w:val="1"/>
                <w:bCs w:val="1"/>
                <w:color w:val="auto"/>
              </w:rPr>
              <w:t>41</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640" w:type="dxa"/>
            <w:vAlign w:val="bottom"/>
            <w:gridSpan w:val="15"/>
          </w:tcPr>
          <w:p>
            <w:pPr>
              <w:spacing w:after="0" w:line="237" w:lineRule="exact"/>
              <w:rPr>
                <w:rFonts w:ascii="Arial" w:cs="Arial" w:eastAsia="Arial" w:hAnsi="Arial"/>
                <w:sz w:val="22"/>
                <w:szCs w:val="22"/>
                <w:b w:val="1"/>
                <w:bCs w:val="1"/>
                <w:color w:val="0000FF"/>
                <w:w w:val="88"/>
              </w:rPr>
            </w:pPr>
            <w:hyperlink w:anchor="page70">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8.4Servicer Defaults</w:t>
            </w:r>
          </w:p>
        </w:tc>
        <w:tc>
          <w:tcPr>
            <w:tcW w:w="440" w:type="dxa"/>
            <w:vAlign w:val="bottom"/>
            <w:gridSpan w:val="3"/>
          </w:tcPr>
          <w:p>
            <w:pPr>
              <w:jc w:val="right"/>
              <w:ind w:right="60"/>
              <w:spacing w:after="0" w:line="237" w:lineRule="exact"/>
              <w:rPr>
                <w:sz w:val="20"/>
                <w:szCs w:val="20"/>
                <w:color w:val="auto"/>
              </w:rPr>
            </w:pPr>
            <w:r>
              <w:rPr>
                <w:rFonts w:ascii="Arial" w:cs="Arial" w:eastAsia="Arial" w:hAnsi="Arial"/>
                <w:sz w:val="22"/>
                <w:szCs w:val="22"/>
                <w:b w:val="1"/>
                <w:bCs w:val="1"/>
                <w:color w:val="auto"/>
              </w:rPr>
              <w:t>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300" w:type="dxa"/>
            <w:vAlign w:val="bottom"/>
            <w:gridSpan w:val="27"/>
          </w:tcPr>
          <w:p>
            <w:pPr>
              <w:spacing w:after="0" w:line="237" w:lineRule="exact"/>
              <w:rPr>
                <w:rFonts w:ascii="Arial" w:cs="Arial" w:eastAsia="Arial" w:hAnsi="Arial"/>
                <w:sz w:val="22"/>
                <w:szCs w:val="22"/>
                <w:b w:val="1"/>
                <w:bCs w:val="1"/>
                <w:color w:val="0000FF"/>
                <w:w w:val="89"/>
              </w:rPr>
            </w:pPr>
            <w:hyperlink w:anchor="page71">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8.5Rights of the Administrative Agent</w:t>
            </w:r>
          </w:p>
        </w:tc>
        <w:tc>
          <w:tcPr>
            <w:tcW w:w="38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940" w:type="dxa"/>
            <w:vAlign w:val="bottom"/>
            <w:gridSpan w:val="11"/>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300" w:type="dxa"/>
            <w:vAlign w:val="bottom"/>
            <w:tcBorders>
              <w:bottom w:val="single" w:sz="8" w:color="0000FF"/>
            </w:tcBorders>
            <w:gridSpan w:val="27"/>
          </w:tcPr>
          <w:p>
            <w:pPr>
              <w:spacing w:after="0" w:line="237" w:lineRule="exact"/>
              <w:rPr>
                <w:rFonts w:ascii="Arial" w:cs="Arial" w:eastAsia="Arial" w:hAnsi="Arial"/>
                <w:sz w:val="22"/>
                <w:szCs w:val="22"/>
                <w:b w:val="1"/>
                <w:bCs w:val="1"/>
                <w:color w:val="0000FF"/>
                <w:w w:val="86"/>
              </w:rPr>
            </w:pPr>
            <w:hyperlink w:anchor="page72">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8.6Responsibilities of the Seller Parties</w:t>
            </w:r>
          </w:p>
        </w:tc>
        <w:tc>
          <w:tcPr>
            <w:tcW w:w="620" w:type="dxa"/>
            <w:vAlign w:val="bottom"/>
            <w:gridSpan w:val="2"/>
          </w:tcPr>
          <w:p>
            <w:pPr>
              <w:jc w:val="right"/>
              <w:ind w:right="180"/>
              <w:spacing w:after="0" w:line="237" w:lineRule="exact"/>
              <w:rPr>
                <w:sz w:val="20"/>
                <w:szCs w:val="20"/>
                <w:color w:val="auto"/>
              </w:rPr>
            </w:pPr>
            <w:r>
              <w:rPr>
                <w:rFonts w:ascii="Arial" w:cs="Arial" w:eastAsia="Arial" w:hAnsi="Arial"/>
                <w:sz w:val="22"/>
                <w:szCs w:val="22"/>
                <w:b w:val="1"/>
                <w:bCs w:val="1"/>
                <w:color w:val="auto"/>
              </w:rPr>
              <w:t>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6480" w:type="dxa"/>
            <w:vAlign w:val="bottom"/>
            <w:gridSpan w:val="42"/>
          </w:tcPr>
          <w:p>
            <w:pPr>
              <w:spacing w:after="0" w:line="237" w:lineRule="exact"/>
              <w:rPr>
                <w:rFonts w:ascii="Arial" w:cs="Arial" w:eastAsia="Arial" w:hAnsi="Arial"/>
                <w:sz w:val="22"/>
                <w:szCs w:val="22"/>
                <w:b w:val="1"/>
                <w:bCs w:val="1"/>
                <w:color w:val="0000FF"/>
                <w:w w:val="90"/>
              </w:rPr>
            </w:pPr>
            <w:hyperlink w:anchor="page72">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8.7Further Action Evidencing Purchases and Reinvestments</w:t>
            </w:r>
          </w:p>
        </w:tc>
        <w:tc>
          <w:tcPr>
            <w:tcW w:w="240" w:type="dxa"/>
            <w:vAlign w:val="bottom"/>
            <w:gridSpan w:val="2"/>
          </w:tcPr>
          <w:p>
            <w:pPr>
              <w:jc w:val="right"/>
              <w:ind w:right="20"/>
              <w:spacing w:after="0" w:line="237" w:lineRule="exact"/>
              <w:rPr>
                <w:sz w:val="20"/>
                <w:szCs w:val="20"/>
                <w:color w:val="auto"/>
              </w:rPr>
            </w:pPr>
            <w:r>
              <w:rPr>
                <w:rFonts w:ascii="Arial" w:cs="Arial" w:eastAsia="Arial" w:hAnsi="Arial"/>
                <w:sz w:val="22"/>
                <w:szCs w:val="22"/>
                <w:b w:val="1"/>
                <w:bCs w:val="1"/>
                <w:color w:val="auto"/>
                <w:w w:val="81"/>
              </w:rPr>
              <w:t>44</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540" w:type="dxa"/>
            <w:vAlign w:val="bottom"/>
            <w:tcBorders>
              <w:top w:val="single" w:sz="8" w:color="0000FF"/>
            </w:tcBorders>
            <w:gridSpan w:val="21"/>
          </w:tcPr>
          <w:p>
            <w:pPr>
              <w:spacing w:after="0" w:line="237" w:lineRule="exact"/>
              <w:rPr>
                <w:rFonts w:ascii="Arial" w:cs="Arial" w:eastAsia="Arial" w:hAnsi="Arial"/>
                <w:sz w:val="22"/>
                <w:szCs w:val="22"/>
                <w:b w:val="1"/>
                <w:bCs w:val="1"/>
                <w:color w:val="0000FF"/>
                <w:w w:val="90"/>
              </w:rPr>
            </w:pPr>
            <w:hyperlink w:anchor="page72">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8.8Application of Collections</w:t>
            </w:r>
          </w:p>
        </w:tc>
        <w:tc>
          <w:tcPr>
            <w:tcW w:w="320" w:type="dxa"/>
            <w:vAlign w:val="bottom"/>
            <w:tcBorders>
              <w:top w:val="single" w:sz="8" w:color="0000FF"/>
            </w:tcBorders>
            <w:gridSpan w:val="2"/>
          </w:tcPr>
          <w:p>
            <w:pPr>
              <w:jc w:val="right"/>
              <w:ind w:right="40"/>
              <w:spacing w:after="0" w:line="237" w:lineRule="exact"/>
              <w:rPr>
                <w:sz w:val="20"/>
                <w:szCs w:val="20"/>
                <w:color w:val="auto"/>
              </w:rPr>
            </w:pPr>
            <w:r>
              <w:rPr>
                <w:rFonts w:ascii="Arial" w:cs="Arial" w:eastAsia="Arial" w:hAnsi="Arial"/>
                <w:sz w:val="22"/>
                <w:szCs w:val="22"/>
                <w:b w:val="1"/>
                <w:bCs w:val="1"/>
                <w:color w:val="auto"/>
              </w:rPr>
              <w:t>45</w:t>
            </w: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3400" w:type="dxa"/>
            <w:vAlign w:val="bottom"/>
            <w:gridSpan w:val="9"/>
          </w:tcPr>
          <w:p>
            <w:pPr>
              <w:spacing w:after="0"/>
              <w:rPr>
                <w:rFonts w:ascii="Arial" w:cs="Arial" w:eastAsia="Arial" w:hAnsi="Arial"/>
                <w:sz w:val="22"/>
                <w:szCs w:val="22"/>
                <w:color w:val="0000FF"/>
              </w:rPr>
            </w:pPr>
            <w:hyperlink w:anchor="page73">
              <w:r>
                <w:rPr>
                  <w:rFonts w:ascii="Arial" w:cs="Arial" w:eastAsia="Arial" w:hAnsi="Arial"/>
                  <w:sz w:val="22"/>
                  <w:szCs w:val="22"/>
                  <w:color w:val="0000FF"/>
                </w:rPr>
                <w:t>Article IX. Security Interest</w:t>
              </w:r>
            </w:hyperlink>
            <w:r>
              <w:rPr>
                <w:rFonts w:ascii="Arial" w:cs="Arial" w:eastAsia="Arial" w:hAnsi="Arial"/>
                <w:sz w:val="22"/>
                <w:szCs w:val="22"/>
                <w:color w:val="000000"/>
              </w:rPr>
              <w:t>45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540" w:type="dxa"/>
            <w:vAlign w:val="bottom"/>
            <w:gridSpan w:val="21"/>
          </w:tcPr>
          <w:p>
            <w:pPr>
              <w:spacing w:after="0" w:line="237" w:lineRule="exact"/>
              <w:rPr>
                <w:rFonts w:ascii="Arial" w:cs="Arial" w:eastAsia="Arial" w:hAnsi="Arial"/>
                <w:sz w:val="22"/>
                <w:szCs w:val="22"/>
                <w:b w:val="1"/>
                <w:bCs w:val="1"/>
                <w:color w:val="0000FF"/>
                <w:w w:val="92"/>
              </w:rPr>
            </w:pPr>
            <w:hyperlink w:anchor="page73">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9.1Grant of Security Interest</w:t>
            </w:r>
          </w:p>
        </w:tc>
        <w:tc>
          <w:tcPr>
            <w:tcW w:w="320" w:type="dxa"/>
            <w:vAlign w:val="bottom"/>
            <w:gridSpan w:val="2"/>
          </w:tcPr>
          <w:p>
            <w:pPr>
              <w:jc w:val="right"/>
              <w:ind w:right="40"/>
              <w:spacing w:after="0" w:line="237" w:lineRule="exact"/>
              <w:rPr>
                <w:sz w:val="20"/>
                <w:szCs w:val="20"/>
                <w:color w:val="auto"/>
              </w:rPr>
            </w:pPr>
            <w:r>
              <w:rPr>
                <w:rFonts w:ascii="Arial" w:cs="Arial" w:eastAsia="Arial" w:hAnsi="Arial"/>
                <w:sz w:val="22"/>
                <w:szCs w:val="22"/>
                <w:b w:val="1"/>
                <w:bCs w:val="1"/>
                <w:color w:val="auto"/>
              </w:rPr>
              <w:t>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380" w:type="dxa"/>
            <w:vAlign w:val="bottom"/>
            <w:tcBorders>
              <w:top w:val="single" w:sz="8" w:color="0000FF"/>
            </w:tcBorders>
            <w:gridSpan w:val="20"/>
          </w:tcPr>
          <w:p>
            <w:pPr>
              <w:spacing w:after="0" w:line="237" w:lineRule="exact"/>
              <w:rPr>
                <w:rFonts w:ascii="Arial" w:cs="Arial" w:eastAsia="Arial" w:hAnsi="Arial"/>
                <w:sz w:val="22"/>
                <w:szCs w:val="22"/>
                <w:b w:val="1"/>
                <w:bCs w:val="1"/>
                <w:color w:val="0000FF"/>
                <w:w w:val="92"/>
              </w:rPr>
            </w:pPr>
            <w:hyperlink w:anchor="page73">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 xml:space="preserve">9.2Further Assurances  </w:t>
            </w:r>
            <w:r>
              <w:rPr>
                <w:rFonts w:ascii="Arial" w:cs="Arial" w:eastAsia="Arial" w:hAnsi="Arial"/>
                <w:sz w:val="22"/>
                <w:szCs w:val="22"/>
                <w:b w:val="1"/>
                <w:bCs w:val="1"/>
                <w:color w:val="000000"/>
                <w:w w:val="92"/>
              </w:rPr>
              <w:t>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100" w:type="dxa"/>
            <w:vAlign w:val="bottom"/>
            <w:tcBorders>
              <w:top w:val="single" w:sz="8" w:color="0000FF"/>
            </w:tcBorders>
            <w:gridSpan w:val="8"/>
          </w:tcPr>
          <w:p>
            <w:pPr>
              <w:spacing w:after="0" w:line="237" w:lineRule="exact"/>
              <w:rPr>
                <w:rFonts w:ascii="Arial" w:cs="Arial" w:eastAsia="Arial" w:hAnsi="Arial"/>
                <w:sz w:val="22"/>
                <w:szCs w:val="22"/>
                <w:b w:val="1"/>
                <w:bCs w:val="1"/>
                <w:color w:val="0000FF"/>
                <w:w w:val="94"/>
              </w:rPr>
            </w:pPr>
            <w:hyperlink w:anchor="page73">
              <w:r>
                <w:rPr>
                  <w:rFonts w:ascii="Arial" w:cs="Arial" w:eastAsia="Arial" w:hAnsi="Arial"/>
                  <w:sz w:val="22"/>
                  <w:szCs w:val="22"/>
                  <w:b w:val="1"/>
                  <w:bCs w:val="1"/>
                  <w:color w:val="0000FF"/>
                  <w:w w:val="94"/>
                </w:rPr>
                <w:t xml:space="preserve">Section </w:t>
              </w:r>
            </w:hyperlink>
            <w:r>
              <w:rPr>
                <w:rFonts w:ascii="Arial" w:cs="Arial" w:eastAsia="Arial" w:hAnsi="Arial"/>
                <w:sz w:val="22"/>
                <w:szCs w:val="22"/>
                <w:b w:val="1"/>
                <w:bCs w:val="1"/>
                <w:color w:val="0000FF"/>
                <w:w w:val="94"/>
              </w:rPr>
              <w:t>9.3Remedies</w:t>
            </w:r>
          </w:p>
        </w:tc>
        <w:tc>
          <w:tcPr>
            <w:tcW w:w="320" w:type="dxa"/>
            <w:vAlign w:val="bottom"/>
            <w:tcBorders>
              <w:top w:val="single" w:sz="8" w:color="0000FF"/>
            </w:tcBorders>
            <w:gridSpan w:val="2"/>
          </w:tcPr>
          <w:p>
            <w:pPr>
              <w:jc w:val="right"/>
              <w:ind w:right="100"/>
              <w:spacing w:after="0" w:line="237" w:lineRule="exact"/>
              <w:rPr>
                <w:sz w:val="20"/>
                <w:szCs w:val="20"/>
                <w:color w:val="auto"/>
              </w:rPr>
            </w:pPr>
            <w:r>
              <w:rPr>
                <w:rFonts w:ascii="Arial" w:cs="Arial" w:eastAsia="Arial" w:hAnsi="Arial"/>
                <w:sz w:val="22"/>
                <w:szCs w:val="22"/>
                <w:b w:val="1"/>
                <w:bCs w:val="1"/>
                <w:color w:val="auto"/>
                <w:w w:val="81"/>
              </w:rPr>
              <w:t>46</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0"/>
        <w:spacing w:after="0"/>
        <w:rPr>
          <w:rFonts w:ascii="Arial" w:cs="Arial" w:eastAsia="Arial" w:hAnsi="Arial"/>
          <w:sz w:val="22"/>
          <w:szCs w:val="22"/>
          <w:color w:val="0000FF"/>
        </w:rPr>
      </w:pPr>
      <w:hyperlink w:anchor="page73">
        <w:r>
          <w:rPr>
            <w:rFonts w:ascii="Arial" w:cs="Arial" w:eastAsia="Arial" w:hAnsi="Arial"/>
            <w:sz w:val="22"/>
            <w:szCs w:val="22"/>
            <w:u w:val="single" w:color="auto"/>
            <w:color w:val="0000FF"/>
          </w:rPr>
          <w:t>Article X. Liquidation Events</w:t>
        </w:r>
      </w:hyperlink>
      <w:r>
        <w:rPr>
          <w:rFonts w:ascii="Arial" w:cs="Arial" w:eastAsia="Arial" w:hAnsi="Arial"/>
          <w:sz w:val="22"/>
          <w:szCs w:val="22"/>
          <w:color w:val="000000"/>
        </w:rPr>
        <w:t>46</w:t>
      </w:r>
    </w:p>
    <w:p>
      <w:pPr>
        <w:spacing w:after="0" w:line="22" w:lineRule="exact"/>
        <w:rPr>
          <w:sz w:val="20"/>
          <w:szCs w:val="20"/>
          <w:color w:val="auto"/>
        </w:rPr>
      </w:pPr>
    </w:p>
    <w:p>
      <w:pPr>
        <w:ind w:left="1400"/>
        <w:spacing w:after="0"/>
        <w:tabs>
          <w:tab w:leader="none" w:pos="4480" w:val="left"/>
        </w:tabs>
        <w:rPr>
          <w:rFonts w:ascii="Arial" w:cs="Arial" w:eastAsia="Arial" w:hAnsi="Arial"/>
          <w:sz w:val="22"/>
          <w:szCs w:val="22"/>
          <w:b w:val="1"/>
          <w:bCs w:val="1"/>
          <w:color w:val="0000FF"/>
        </w:rPr>
      </w:pPr>
      <w:hyperlink w:anchor="page73">
        <w:r>
          <w:rPr>
            <w:rFonts w:ascii="Arial" w:cs="Arial" w:eastAsia="Arial" w:hAnsi="Arial"/>
            <w:sz w:val="22"/>
            <w:szCs w:val="22"/>
            <w:b w:val="1"/>
            <w:bCs w:val="1"/>
            <w:u w:val="single" w:color="auto"/>
            <w:color w:val="0000FF"/>
          </w:rPr>
          <w:t xml:space="preserve">Section </w:t>
        </w:r>
      </w:hyperlink>
      <w:r>
        <w:rPr>
          <w:rFonts w:ascii="Arial" w:cs="Arial" w:eastAsia="Arial" w:hAnsi="Arial"/>
          <w:sz w:val="22"/>
          <w:szCs w:val="22"/>
          <w:b w:val="1"/>
          <w:bCs w:val="1"/>
          <w:color w:val="0000FF"/>
        </w:rPr>
        <w:t xml:space="preserve">10.1Liquidation </w:t>
      </w:r>
      <w:r>
        <w:rPr>
          <w:rFonts w:ascii="Arial" w:cs="Arial" w:eastAsia="Arial" w:hAnsi="Arial"/>
          <w:sz w:val="22"/>
          <w:szCs w:val="22"/>
          <w:b w:val="1"/>
          <w:bCs w:val="1"/>
          <w:u w:val="single" w:color="auto"/>
          <w:color w:val="0000FF"/>
        </w:rPr>
        <w:t>Events</w:t>
      </w:r>
      <w:r>
        <w:rPr>
          <w:rFonts w:ascii="Arial" w:cs="Arial" w:eastAsia="Arial" w:hAnsi="Arial"/>
          <w:sz w:val="22"/>
          <w:szCs w:val="22"/>
          <w:b w:val="1"/>
          <w:bCs w:val="1"/>
          <w:color w:val="0000FF"/>
        </w:rPr>
        <w:tab/>
      </w:r>
      <w:r>
        <w:rPr>
          <w:rFonts w:ascii="Arial" w:cs="Arial" w:eastAsia="Arial" w:hAnsi="Arial"/>
          <w:sz w:val="17"/>
          <w:szCs w:val="17"/>
          <w:b w:val="1"/>
          <w:bCs w:val="1"/>
          <w:color w:val="0000FF"/>
        </w:rPr>
        <w:t>46</w:t>
      </w:r>
    </w:p>
    <w:p>
      <w:pPr>
        <w:spacing w:after="0" w:line="4" w:lineRule="exact"/>
        <w:rPr>
          <w:sz w:val="20"/>
          <w:szCs w:val="20"/>
          <w:color w:val="auto"/>
        </w:rPr>
      </w:pPr>
    </w:p>
    <w:p>
      <w:pPr>
        <w:ind w:left="1400"/>
        <w:spacing w:after="0"/>
        <w:tabs>
          <w:tab w:leader="none" w:pos="3580" w:val="left"/>
        </w:tabs>
        <w:rPr>
          <w:rFonts w:ascii="Arial" w:cs="Arial" w:eastAsia="Arial" w:hAnsi="Arial"/>
          <w:sz w:val="22"/>
          <w:szCs w:val="22"/>
          <w:b w:val="1"/>
          <w:bCs w:val="1"/>
          <w:color w:val="0000FF"/>
        </w:rPr>
      </w:pPr>
      <w:hyperlink w:anchor="page75">
        <w:r>
          <w:rPr>
            <w:rFonts w:ascii="Arial" w:cs="Arial" w:eastAsia="Arial" w:hAnsi="Arial"/>
            <w:sz w:val="22"/>
            <w:szCs w:val="22"/>
            <w:b w:val="1"/>
            <w:bCs w:val="1"/>
            <w:u w:val="single" w:color="auto"/>
            <w:color w:val="0000FF"/>
          </w:rPr>
          <w:t xml:space="preserve">Section </w:t>
        </w:r>
      </w:hyperlink>
      <w:r>
        <w:rPr>
          <w:rFonts w:ascii="Arial" w:cs="Arial" w:eastAsia="Arial" w:hAnsi="Arial"/>
          <w:sz w:val="22"/>
          <w:szCs w:val="22"/>
          <w:b w:val="1"/>
          <w:bCs w:val="1"/>
          <w:color w:val="0000FF"/>
        </w:rPr>
        <w:t>10.2Remedies</w:t>
        <w:tab/>
      </w:r>
      <w:r>
        <w:rPr>
          <w:rFonts w:ascii="Arial" w:cs="Arial" w:eastAsia="Arial" w:hAnsi="Arial"/>
          <w:sz w:val="19"/>
          <w:szCs w:val="19"/>
          <w:b w:val="1"/>
          <w:bCs w:val="1"/>
          <w:color w:val="0000FF"/>
        </w:rPr>
        <w:t>49</w:t>
      </w:r>
    </w:p>
    <w:p>
      <w:pPr>
        <w:spacing w:after="0" w:line="202" w:lineRule="exact"/>
        <w:rPr>
          <w:sz w:val="20"/>
          <w:szCs w:val="20"/>
          <w:color w:val="auto"/>
        </w:rPr>
      </w:pPr>
    </w:p>
    <w:p>
      <w:pPr>
        <w:ind w:left="100"/>
        <w:spacing w:after="0"/>
        <w:rPr>
          <w:rFonts w:ascii="Arial" w:cs="Arial" w:eastAsia="Arial" w:hAnsi="Arial"/>
          <w:sz w:val="22"/>
          <w:szCs w:val="22"/>
          <w:color w:val="0000FF"/>
        </w:rPr>
      </w:pPr>
      <w:hyperlink w:anchor="page75">
        <w:r>
          <w:rPr>
            <w:rFonts w:ascii="Arial" w:cs="Arial" w:eastAsia="Arial" w:hAnsi="Arial"/>
            <w:sz w:val="22"/>
            <w:szCs w:val="22"/>
            <w:u w:val="single" w:color="auto"/>
            <w:color w:val="0000FF"/>
          </w:rPr>
          <w:t>Article XI. The Administrative Agent</w:t>
        </w:r>
      </w:hyperlink>
      <w:r>
        <w:rPr>
          <w:rFonts w:ascii="Arial" w:cs="Arial" w:eastAsia="Arial" w:hAnsi="Arial"/>
          <w:sz w:val="22"/>
          <w:szCs w:val="22"/>
          <w:color w:val="000000"/>
        </w:rPr>
        <w:t>49</w:t>
      </w:r>
    </w:p>
    <w:p>
      <w:pPr>
        <w:spacing w:after="0" w:line="22" w:lineRule="exact"/>
        <w:rPr>
          <w:sz w:val="20"/>
          <w:szCs w:val="20"/>
          <w:color w:val="auto"/>
        </w:rPr>
      </w:pPr>
    </w:p>
    <w:p>
      <w:pPr>
        <w:ind w:left="1400"/>
        <w:spacing w:after="0"/>
        <w:tabs>
          <w:tab w:leader="none" w:pos="7100" w:val="left"/>
        </w:tabs>
        <w:rPr>
          <w:rFonts w:ascii="Arial" w:cs="Arial" w:eastAsia="Arial" w:hAnsi="Arial"/>
          <w:sz w:val="21"/>
          <w:szCs w:val="21"/>
          <w:b w:val="1"/>
          <w:bCs w:val="1"/>
          <w:color w:val="0000FF"/>
        </w:rPr>
      </w:pPr>
      <w:hyperlink w:anchor="page75">
        <w:r>
          <w:rPr>
            <w:rFonts w:ascii="Arial" w:cs="Arial" w:eastAsia="Arial" w:hAnsi="Arial"/>
            <w:sz w:val="21"/>
            <w:szCs w:val="21"/>
            <w:b w:val="1"/>
            <w:bCs w:val="1"/>
            <w:u w:val="single" w:color="auto"/>
            <w:color w:val="0000FF"/>
          </w:rPr>
          <w:t xml:space="preserve">Section </w:t>
        </w:r>
      </w:hyperlink>
      <w:r>
        <w:rPr>
          <w:rFonts w:ascii="Arial" w:cs="Arial" w:eastAsia="Arial" w:hAnsi="Arial"/>
          <w:sz w:val="21"/>
          <w:szCs w:val="21"/>
          <w:b w:val="1"/>
          <w:bCs w:val="1"/>
          <w:color w:val="0000FF"/>
        </w:rPr>
        <w:t xml:space="preserve">11.1Administrative </w:t>
      </w:r>
      <w:r>
        <w:rPr>
          <w:rFonts w:ascii="Arial" w:cs="Arial" w:eastAsia="Arial" w:hAnsi="Arial"/>
          <w:sz w:val="21"/>
          <w:szCs w:val="21"/>
          <w:b w:val="1"/>
          <w:bCs w:val="1"/>
          <w:u w:val="single" w:color="auto"/>
          <w:color w:val="0000FF"/>
        </w:rPr>
        <w:t>Agent Authorization and Action</w:t>
      </w:r>
      <w:r>
        <w:rPr>
          <w:rFonts w:ascii="Arial" w:cs="Arial" w:eastAsia="Arial" w:hAnsi="Arial"/>
          <w:sz w:val="21"/>
          <w:szCs w:val="21"/>
          <w:b w:val="1"/>
          <w:bCs w:val="1"/>
          <w:color w:val="0000FF"/>
        </w:rPr>
        <w:tab/>
      </w:r>
      <w:r>
        <w:rPr>
          <w:rFonts w:ascii="Arial" w:cs="Arial" w:eastAsia="Arial" w:hAnsi="Arial"/>
          <w:sz w:val="19"/>
          <w:szCs w:val="19"/>
          <w:b w:val="1"/>
          <w:bCs w:val="1"/>
          <w:color w:val="0000FF"/>
        </w:rPr>
        <w:t>49</w:t>
      </w:r>
    </w:p>
    <w:tbl>
      <w:tblPr>
        <w:tblLayout w:type="fixed"/>
        <w:tblInd w:w="1400" w:type="dxa"/>
        <w:tblCellMar>
          <w:top w:w="0" w:type="dxa"/>
          <w:left w:w="0" w:type="dxa"/>
          <w:bottom w:w="0" w:type="dxa"/>
          <w:right w:w="0" w:type="dxa"/>
        </w:tblCellMar>
      </w:tblPr>
      <w:tr>
        <w:trPr>
          <w:trHeight w:val="221"/>
        </w:trPr>
        <w:tc>
          <w:tcPr>
            <w:tcW w:w="4560" w:type="dxa"/>
            <w:vAlign w:val="bottom"/>
            <w:gridSpan w:val="4"/>
          </w:tcPr>
          <w:p>
            <w:pPr>
              <w:spacing w:after="0" w:line="221" w:lineRule="exact"/>
              <w:rPr>
                <w:rFonts w:ascii="Arial" w:cs="Arial" w:eastAsia="Arial" w:hAnsi="Arial"/>
                <w:sz w:val="22"/>
                <w:szCs w:val="22"/>
                <w:b w:val="1"/>
                <w:bCs w:val="1"/>
                <w:color w:val="0000FF"/>
                <w:w w:val="88"/>
              </w:rPr>
            </w:pPr>
            <w:hyperlink w:anchor="page75">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11.2Administrative Agent’s Reliance, Etc</w:t>
            </w:r>
          </w:p>
        </w:tc>
        <w:tc>
          <w:tcPr>
            <w:tcW w:w="380" w:type="dxa"/>
            <w:vAlign w:val="bottom"/>
          </w:tcPr>
          <w:p>
            <w:pPr>
              <w:jc w:val="right"/>
              <w:spacing w:after="0" w:line="221" w:lineRule="exact"/>
              <w:rPr>
                <w:sz w:val="20"/>
                <w:szCs w:val="20"/>
                <w:color w:val="auto"/>
              </w:rPr>
            </w:pPr>
            <w:r>
              <w:rPr>
                <w:rFonts w:ascii="Arial" w:cs="Arial" w:eastAsia="Arial" w:hAnsi="Arial"/>
                <w:sz w:val="22"/>
                <w:szCs w:val="22"/>
                <w:b w:val="1"/>
                <w:bCs w:val="1"/>
                <w:color w:val="auto"/>
              </w:rPr>
              <w:t>49</w:t>
            </w:r>
          </w:p>
        </w:tc>
      </w:tr>
      <w:tr>
        <w:trPr>
          <w:trHeight w:val="237"/>
        </w:trPr>
        <w:tc>
          <w:tcPr>
            <w:tcW w:w="4500" w:type="dxa"/>
            <w:vAlign w:val="bottom"/>
            <w:tcBorders>
              <w:top w:val="single" w:sz="8" w:color="0000FF"/>
            </w:tcBorders>
            <w:gridSpan w:val="3"/>
          </w:tcPr>
          <w:p>
            <w:pPr>
              <w:spacing w:after="0" w:line="237" w:lineRule="exact"/>
              <w:rPr>
                <w:rFonts w:ascii="Arial" w:cs="Arial" w:eastAsia="Arial" w:hAnsi="Arial"/>
                <w:sz w:val="22"/>
                <w:szCs w:val="22"/>
                <w:b w:val="1"/>
                <w:bCs w:val="1"/>
                <w:color w:val="0000FF"/>
              </w:rPr>
            </w:pPr>
            <w:hyperlink w:anchor="page75">
              <w:r>
                <w:rPr>
                  <w:rFonts w:ascii="Arial" w:cs="Arial" w:eastAsia="Arial" w:hAnsi="Arial"/>
                  <w:sz w:val="22"/>
                  <w:szCs w:val="22"/>
                  <w:b w:val="1"/>
                  <w:bCs w:val="1"/>
                  <w:color w:val="0000FF"/>
                </w:rPr>
                <w:t xml:space="preserve">Section </w:t>
              </w:r>
            </w:hyperlink>
            <w:r>
              <w:rPr>
                <w:rFonts w:ascii="Arial" w:cs="Arial" w:eastAsia="Arial" w:hAnsi="Arial"/>
                <w:sz w:val="22"/>
                <w:szCs w:val="22"/>
                <w:b w:val="1"/>
                <w:bCs w:val="1"/>
                <w:color w:val="0000FF"/>
              </w:rPr>
              <w:t xml:space="preserve">11.3BTMU and Affiliates  </w:t>
            </w:r>
            <w:r>
              <w:rPr>
                <w:rFonts w:ascii="Arial" w:cs="Arial" w:eastAsia="Arial" w:hAnsi="Arial"/>
                <w:sz w:val="22"/>
                <w:szCs w:val="22"/>
                <w:b w:val="1"/>
                <w:bCs w:val="1"/>
                <w:color w:val="000000"/>
              </w:rPr>
              <w:t>50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0"/>
        </w:trPr>
        <w:tc>
          <w:tcPr>
            <w:tcW w:w="30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4560" w:type="dxa"/>
            <w:vAlign w:val="bottom"/>
            <w:gridSpan w:val="4"/>
          </w:tcPr>
          <w:p>
            <w:pPr>
              <w:spacing w:after="0" w:line="237" w:lineRule="exact"/>
              <w:rPr>
                <w:rFonts w:ascii="Arial" w:cs="Arial" w:eastAsia="Arial" w:hAnsi="Arial"/>
                <w:sz w:val="22"/>
                <w:szCs w:val="22"/>
                <w:b w:val="1"/>
                <w:bCs w:val="1"/>
                <w:color w:val="0000FF"/>
                <w:w w:val="90"/>
              </w:rPr>
            </w:pPr>
            <w:hyperlink w:anchor="page76">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11.4Liquidity Bank’s Purchase Decision</w:t>
            </w:r>
          </w:p>
        </w:tc>
        <w:tc>
          <w:tcPr>
            <w:tcW w:w="380" w:type="dxa"/>
            <w:vAlign w:val="bottom"/>
          </w:tcPr>
          <w:p>
            <w:pPr>
              <w:jc w:val="right"/>
              <w:ind w:right="12"/>
              <w:spacing w:after="0" w:line="237" w:lineRule="exact"/>
              <w:rPr>
                <w:sz w:val="20"/>
                <w:szCs w:val="20"/>
                <w:color w:val="auto"/>
              </w:rPr>
            </w:pPr>
            <w:r>
              <w:rPr>
                <w:rFonts w:ascii="Arial" w:cs="Arial" w:eastAsia="Arial" w:hAnsi="Arial"/>
                <w:sz w:val="22"/>
                <w:szCs w:val="22"/>
                <w:b w:val="1"/>
                <w:bCs w:val="1"/>
                <w:color w:val="auto"/>
                <w:w w:val="97"/>
              </w:rPr>
              <w:t>50</w:t>
            </w:r>
          </w:p>
        </w:tc>
      </w:tr>
      <w:tr>
        <w:trPr>
          <w:trHeight w:val="20"/>
        </w:trPr>
        <w:tc>
          <w:tcPr>
            <w:tcW w:w="3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3" w:lineRule="exact"/>
        <w:rPr>
          <w:sz w:val="20"/>
          <w:szCs w:val="20"/>
          <w:color w:val="auto"/>
        </w:rPr>
      </w:pPr>
    </w:p>
    <w:p>
      <w:pPr>
        <w:ind w:left="1400"/>
        <w:spacing w:after="0"/>
        <w:tabs>
          <w:tab w:leader="none" w:pos="5000" w:val="left"/>
        </w:tabs>
        <w:rPr>
          <w:rFonts w:ascii="Arial" w:cs="Arial" w:eastAsia="Arial" w:hAnsi="Arial"/>
          <w:sz w:val="21"/>
          <w:szCs w:val="21"/>
          <w:b w:val="1"/>
          <w:bCs w:val="1"/>
          <w:color w:val="0000FF"/>
        </w:rPr>
      </w:pPr>
      <w:hyperlink w:anchor="page76">
        <w:r>
          <w:rPr>
            <w:rFonts w:ascii="Arial" w:cs="Arial" w:eastAsia="Arial" w:hAnsi="Arial"/>
            <w:sz w:val="21"/>
            <w:szCs w:val="21"/>
            <w:b w:val="1"/>
            <w:bCs w:val="1"/>
            <w:u w:val="single" w:color="auto"/>
            <w:color w:val="0000FF"/>
          </w:rPr>
          <w:t xml:space="preserve">Section </w:t>
        </w:r>
      </w:hyperlink>
      <w:r>
        <w:rPr>
          <w:rFonts w:ascii="Arial" w:cs="Arial" w:eastAsia="Arial" w:hAnsi="Arial"/>
          <w:sz w:val="21"/>
          <w:szCs w:val="21"/>
          <w:b w:val="1"/>
          <w:bCs w:val="1"/>
          <w:color w:val="0000FF"/>
        </w:rPr>
        <w:t xml:space="preserve">11.5Indemnification </w:t>
      </w:r>
      <w:r>
        <w:rPr>
          <w:rFonts w:ascii="Arial" w:cs="Arial" w:eastAsia="Arial" w:hAnsi="Arial"/>
          <w:sz w:val="21"/>
          <w:szCs w:val="21"/>
          <w:b w:val="1"/>
          <w:bCs w:val="1"/>
          <w:u w:val="single" w:color="auto"/>
          <w:color w:val="0000FF"/>
        </w:rPr>
        <w:t>of Agent</w:t>
      </w:r>
      <w:r>
        <w:rPr>
          <w:rFonts w:ascii="Arial" w:cs="Arial" w:eastAsia="Arial" w:hAnsi="Arial"/>
          <w:sz w:val="21"/>
          <w:szCs w:val="21"/>
          <w:b w:val="1"/>
          <w:bCs w:val="1"/>
          <w:color w:val="0000FF"/>
        </w:rPr>
        <w:tab/>
      </w:r>
      <w:r>
        <w:rPr>
          <w:rFonts w:ascii="Arial" w:cs="Arial" w:eastAsia="Arial" w:hAnsi="Arial"/>
          <w:sz w:val="19"/>
          <w:szCs w:val="19"/>
          <w:b w:val="1"/>
          <w:bCs w:val="1"/>
          <w:color w:val="0000FF"/>
        </w:rPr>
        <w:t>50</w:t>
      </w:r>
    </w:p>
    <w:p>
      <w:pPr>
        <w:spacing w:after="0" w:line="39" w:lineRule="exact"/>
        <w:rPr>
          <w:sz w:val="20"/>
          <w:szCs w:val="20"/>
          <w:color w:val="auto"/>
        </w:rPr>
      </w:pPr>
    </w:p>
    <w:p>
      <w:pPr>
        <w:ind w:left="1400"/>
        <w:spacing w:after="0"/>
        <w:tabs>
          <w:tab w:leader="none" w:pos="6660" w:val="left"/>
        </w:tabs>
        <w:rPr>
          <w:rFonts w:ascii="Arial" w:cs="Arial" w:eastAsia="Arial" w:hAnsi="Arial"/>
          <w:sz w:val="21"/>
          <w:szCs w:val="21"/>
          <w:b w:val="1"/>
          <w:bCs w:val="1"/>
          <w:color w:val="0000FF"/>
        </w:rPr>
      </w:pPr>
      <w:hyperlink w:anchor="page76">
        <w:r>
          <w:rPr>
            <w:rFonts w:ascii="Arial" w:cs="Arial" w:eastAsia="Arial" w:hAnsi="Arial"/>
            <w:sz w:val="21"/>
            <w:szCs w:val="21"/>
            <w:b w:val="1"/>
            <w:bCs w:val="1"/>
            <w:u w:val="single" w:color="auto"/>
            <w:color w:val="0000FF"/>
          </w:rPr>
          <w:t xml:space="preserve">Section </w:t>
        </w:r>
      </w:hyperlink>
      <w:r>
        <w:rPr>
          <w:rFonts w:ascii="Arial" w:cs="Arial" w:eastAsia="Arial" w:hAnsi="Arial"/>
          <w:sz w:val="21"/>
          <w:szCs w:val="21"/>
          <w:b w:val="1"/>
          <w:bCs w:val="1"/>
          <w:color w:val="0000FF"/>
        </w:rPr>
        <w:t xml:space="preserve">11.6Purchaser </w:t>
      </w:r>
      <w:r>
        <w:rPr>
          <w:rFonts w:ascii="Arial" w:cs="Arial" w:eastAsia="Arial" w:hAnsi="Arial"/>
          <w:sz w:val="21"/>
          <w:szCs w:val="21"/>
          <w:b w:val="1"/>
          <w:bCs w:val="1"/>
          <w:u w:val="single" w:color="auto"/>
          <w:color w:val="0000FF"/>
        </w:rPr>
        <w:t>Agent Authorization and Action</w:t>
      </w:r>
      <w:r>
        <w:rPr>
          <w:rFonts w:ascii="Arial" w:cs="Arial" w:eastAsia="Arial" w:hAnsi="Arial"/>
          <w:sz w:val="21"/>
          <w:szCs w:val="21"/>
          <w:b w:val="1"/>
          <w:bCs w:val="1"/>
          <w:color w:val="0000FF"/>
        </w:rPr>
        <w:tab/>
      </w:r>
      <w:r>
        <w:rPr>
          <w:rFonts w:ascii="Arial" w:cs="Arial" w:eastAsia="Arial" w:hAnsi="Arial"/>
          <w:sz w:val="19"/>
          <w:szCs w:val="19"/>
          <w:b w:val="1"/>
          <w:bCs w:val="1"/>
          <w:color w:val="0000FF"/>
        </w:rPr>
        <w:t>51</w:t>
      </w:r>
    </w:p>
    <w:p>
      <w:pPr>
        <w:sectPr>
          <w:pgSz w:w="11900" w:h="16838" w:orient="portrait"/>
          <w:cols w:equalWidth="0" w:num="1">
            <w:col w:w="9940"/>
          </w:cols>
          <w:pgMar w:left="1440" w:top="319" w:right="51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560" w:type="dxa"/>
            <w:vAlign w:val="bottom"/>
            <w:gridSpan w:val="28"/>
          </w:tcPr>
          <w:p>
            <w:pPr>
              <w:spacing w:after="0"/>
              <w:rPr>
                <w:rFonts w:ascii="Arial" w:cs="Arial" w:eastAsia="Arial" w:hAnsi="Arial"/>
                <w:sz w:val="22"/>
                <w:szCs w:val="22"/>
                <w:b w:val="1"/>
                <w:bCs w:val="1"/>
                <w:color w:val="0000FF"/>
                <w:w w:val="89"/>
              </w:rPr>
            </w:pPr>
            <w:hyperlink w:anchor="page76">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 xml:space="preserve">11.7Purchaser Agent’s Reliance, Etc.  </w:t>
            </w:r>
            <w:r>
              <w:rPr>
                <w:rFonts w:ascii="Arial" w:cs="Arial" w:eastAsia="Arial" w:hAnsi="Arial"/>
                <w:sz w:val="22"/>
                <w:szCs w:val="22"/>
                <w:b w:val="1"/>
                <w:bCs w:val="1"/>
                <w:color w:val="000000"/>
                <w:w w:val="89"/>
              </w:rPr>
              <w:t>51</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7"/>
          </w:tcPr>
          <w:p>
            <w:pPr>
              <w:spacing w:after="0"/>
              <w:rPr>
                <w:rFonts w:ascii="Arial" w:cs="Arial" w:eastAsia="Arial" w:hAnsi="Arial"/>
                <w:sz w:val="22"/>
                <w:szCs w:val="22"/>
                <w:color w:val="0000FF"/>
              </w:rPr>
            </w:pPr>
            <w:hyperlink w:anchor="page76">
              <w:r>
                <w:rPr>
                  <w:rFonts w:ascii="Arial" w:cs="Arial" w:eastAsia="Arial" w:hAnsi="Arial"/>
                  <w:sz w:val="22"/>
                  <w:szCs w:val="22"/>
                  <w:color w:val="0000FF"/>
                </w:rPr>
                <w:t>Article XII. Assignments</w:t>
              </w:r>
            </w:hyperlink>
            <w:r>
              <w:rPr>
                <w:rFonts w:ascii="Arial" w:cs="Arial" w:eastAsia="Arial" w:hAnsi="Arial"/>
                <w:sz w:val="22"/>
                <w:szCs w:val="22"/>
                <w:color w:val="000000"/>
              </w:rPr>
              <w:t>52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20" w:type="dxa"/>
            <w:vAlign w:val="bottom"/>
            <w:tcBorders>
              <w:bottom w:val="single" w:sz="8" w:color="0000FF"/>
            </w:tcBorders>
            <w:gridSpan w:val="19"/>
          </w:tcPr>
          <w:p>
            <w:pPr>
              <w:spacing w:after="0" w:line="237" w:lineRule="exact"/>
              <w:rPr>
                <w:rFonts w:ascii="Arial" w:cs="Arial" w:eastAsia="Arial" w:hAnsi="Arial"/>
                <w:sz w:val="22"/>
                <w:szCs w:val="22"/>
                <w:b w:val="1"/>
                <w:bCs w:val="1"/>
                <w:color w:val="0000FF"/>
                <w:w w:val="85"/>
              </w:rPr>
            </w:pPr>
            <w:hyperlink w:anchor="page76">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12.1Restrictions on Assignments</w:t>
            </w:r>
          </w:p>
        </w:tc>
        <w:tc>
          <w:tcPr>
            <w:tcW w:w="440" w:type="dxa"/>
            <w:vAlign w:val="bottom"/>
            <w:gridSpan w:val="5"/>
          </w:tcPr>
          <w:p>
            <w:pPr>
              <w:jc w:val="right"/>
              <w:ind w:right="20"/>
              <w:spacing w:after="0" w:line="237" w:lineRule="exact"/>
              <w:rPr>
                <w:sz w:val="20"/>
                <w:szCs w:val="20"/>
                <w:color w:val="auto"/>
              </w:rPr>
            </w:pPr>
            <w:r>
              <w:rPr>
                <w:rFonts w:ascii="Arial" w:cs="Arial" w:eastAsia="Arial" w:hAnsi="Arial"/>
                <w:sz w:val="22"/>
                <w:szCs w:val="22"/>
                <w:b w:val="1"/>
                <w:bCs w:val="1"/>
                <w:color w:val="auto"/>
              </w:rPr>
              <w:t>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0" w:type="dxa"/>
            <w:vAlign w:val="bottom"/>
            <w:tcBorders>
              <w:bottom w:val="single" w:sz="8" w:color="0000FF"/>
            </w:tcBorders>
            <w:gridSpan w:val="10"/>
          </w:tcPr>
          <w:p>
            <w:pPr>
              <w:spacing w:after="0" w:line="237" w:lineRule="exact"/>
              <w:rPr>
                <w:rFonts w:ascii="Arial" w:cs="Arial" w:eastAsia="Arial" w:hAnsi="Arial"/>
                <w:sz w:val="22"/>
                <w:szCs w:val="22"/>
                <w:b w:val="1"/>
                <w:bCs w:val="1"/>
                <w:color w:val="0000FF"/>
                <w:w w:val="84"/>
              </w:rPr>
            </w:pPr>
            <w:hyperlink w:anchor="page77">
              <w:r>
                <w:rPr>
                  <w:rFonts w:ascii="Arial" w:cs="Arial" w:eastAsia="Arial" w:hAnsi="Arial"/>
                  <w:sz w:val="22"/>
                  <w:szCs w:val="22"/>
                  <w:b w:val="1"/>
                  <w:bCs w:val="1"/>
                  <w:color w:val="0000FF"/>
                  <w:w w:val="84"/>
                </w:rPr>
                <w:t xml:space="preserve">Section </w:t>
              </w:r>
            </w:hyperlink>
            <w:r>
              <w:rPr>
                <w:rFonts w:ascii="Arial" w:cs="Arial" w:eastAsia="Arial" w:hAnsi="Arial"/>
                <w:sz w:val="22"/>
                <w:szCs w:val="22"/>
                <w:b w:val="1"/>
                <w:bCs w:val="1"/>
                <w:color w:val="0000FF"/>
                <w:w w:val="84"/>
              </w:rPr>
              <w:t>12.2Rights of Assignee</w:t>
            </w:r>
          </w:p>
        </w:tc>
        <w:tc>
          <w:tcPr>
            <w:tcW w:w="480" w:type="dxa"/>
            <w:vAlign w:val="bottom"/>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rPr>
              <w:t>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60" w:type="dxa"/>
            <w:vAlign w:val="bottom"/>
            <w:gridSpan w:val="28"/>
          </w:tcPr>
          <w:p>
            <w:pPr>
              <w:spacing w:after="0" w:line="237" w:lineRule="exact"/>
              <w:rPr>
                <w:rFonts w:ascii="Arial" w:cs="Arial" w:eastAsia="Arial" w:hAnsi="Arial"/>
                <w:sz w:val="22"/>
                <w:szCs w:val="22"/>
                <w:b w:val="1"/>
                <w:bCs w:val="1"/>
                <w:color w:val="0000FF"/>
                <w:w w:val="90"/>
              </w:rPr>
            </w:pPr>
            <w:hyperlink w:anchor="page77">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12.3Terms and Evidence of Assignment</w:t>
            </w:r>
          </w:p>
        </w:tc>
        <w:tc>
          <w:tcPr>
            <w:tcW w:w="1060" w:type="dxa"/>
            <w:vAlign w:val="bottom"/>
          </w:tcPr>
          <w:p>
            <w:pPr>
              <w:jc w:val="right"/>
              <w:ind w:right="732"/>
              <w:spacing w:after="0" w:line="237" w:lineRule="exact"/>
              <w:rPr>
                <w:sz w:val="20"/>
                <w:szCs w:val="20"/>
                <w:color w:val="auto"/>
              </w:rPr>
            </w:pPr>
            <w:r>
              <w:rPr>
                <w:rFonts w:ascii="Arial" w:cs="Arial" w:eastAsia="Arial" w:hAnsi="Arial"/>
                <w:sz w:val="22"/>
                <w:szCs w:val="22"/>
                <w:b w:val="1"/>
                <w:bCs w:val="1"/>
                <w:color w:val="auto"/>
                <w:w w:val="81"/>
              </w:rPr>
              <w:t>53</w:t>
            </w: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60" w:type="dxa"/>
            <w:vAlign w:val="bottom"/>
            <w:tcBorders>
              <w:top w:val="single" w:sz="8" w:color="0000FF"/>
            </w:tcBorders>
            <w:gridSpan w:val="17"/>
          </w:tcPr>
          <w:p>
            <w:pPr>
              <w:spacing w:after="0" w:line="237" w:lineRule="exact"/>
              <w:rPr>
                <w:rFonts w:ascii="Arial" w:cs="Arial" w:eastAsia="Arial" w:hAnsi="Arial"/>
                <w:sz w:val="22"/>
                <w:szCs w:val="22"/>
                <w:b w:val="1"/>
                <w:bCs w:val="1"/>
                <w:color w:val="0000FF"/>
                <w:w w:val="89"/>
              </w:rPr>
            </w:pPr>
            <w:hyperlink w:anchor="page77">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12.4Rights of Liquidity Banks</w:t>
            </w:r>
          </w:p>
        </w:tc>
        <w:tc>
          <w:tcPr>
            <w:tcW w:w="400" w:type="dxa"/>
            <w:vAlign w:val="bottom"/>
            <w:tcBorders>
              <w:top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auto"/>
              </w:rPr>
              <w:t>53</w:t>
            </w: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7"/>
          </w:tcPr>
          <w:p>
            <w:pPr>
              <w:spacing w:after="0"/>
              <w:rPr>
                <w:rFonts w:ascii="Arial" w:cs="Arial" w:eastAsia="Arial" w:hAnsi="Arial"/>
                <w:sz w:val="22"/>
                <w:szCs w:val="22"/>
                <w:color w:val="0000FF"/>
              </w:rPr>
            </w:pPr>
            <w:hyperlink w:anchor="page77">
              <w:r>
                <w:rPr>
                  <w:rFonts w:ascii="Arial" w:cs="Arial" w:eastAsia="Arial" w:hAnsi="Arial"/>
                  <w:sz w:val="22"/>
                  <w:szCs w:val="22"/>
                  <w:color w:val="0000FF"/>
                </w:rPr>
                <w:t>Article XIII. Indemnification</w:t>
              </w:r>
            </w:hyperlink>
            <w:r>
              <w:rPr>
                <w:rFonts w:ascii="Arial" w:cs="Arial" w:eastAsia="Arial" w:hAnsi="Arial"/>
                <w:sz w:val="22"/>
                <w:szCs w:val="22"/>
                <w:color w:val="000000"/>
              </w:rPr>
              <w:t>54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60" w:type="dxa"/>
            <w:vAlign w:val="bottom"/>
            <w:gridSpan w:val="17"/>
          </w:tcPr>
          <w:p>
            <w:pPr>
              <w:spacing w:after="0" w:line="237" w:lineRule="exact"/>
              <w:rPr>
                <w:rFonts w:ascii="Arial" w:cs="Arial" w:eastAsia="Arial" w:hAnsi="Arial"/>
                <w:sz w:val="22"/>
                <w:szCs w:val="22"/>
                <w:b w:val="1"/>
                <w:bCs w:val="1"/>
                <w:color w:val="0000FF"/>
                <w:w w:val="91"/>
              </w:rPr>
            </w:pPr>
            <w:hyperlink w:anchor="page78">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13.1Indemnities by the Seller</w:t>
            </w:r>
          </w:p>
        </w:tc>
        <w:tc>
          <w:tcPr>
            <w:tcW w:w="400" w:type="dxa"/>
            <w:vAlign w:val="bottom"/>
            <w:gridSpan w:val="3"/>
          </w:tcPr>
          <w:p>
            <w:pPr>
              <w:jc w:val="right"/>
              <w:ind w:right="12"/>
              <w:spacing w:after="0" w:line="237" w:lineRule="exact"/>
              <w:rPr>
                <w:sz w:val="20"/>
                <w:szCs w:val="20"/>
                <w:color w:val="auto"/>
              </w:rPr>
            </w:pPr>
            <w:r>
              <w:rPr>
                <w:rFonts w:ascii="Arial" w:cs="Arial" w:eastAsia="Arial" w:hAnsi="Arial"/>
                <w:sz w:val="22"/>
                <w:szCs w:val="22"/>
                <w:b w:val="1"/>
                <w:bCs w:val="1"/>
                <w:color w:val="auto"/>
              </w:rPr>
              <w:t>54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20" w:type="dxa"/>
            <w:vAlign w:val="bottom"/>
            <w:tcBorders>
              <w:bottom w:val="single" w:sz="8" w:color="0000FF"/>
            </w:tcBorders>
            <w:gridSpan w:val="22"/>
          </w:tcPr>
          <w:p>
            <w:pPr>
              <w:spacing w:after="0" w:line="237" w:lineRule="exact"/>
              <w:rPr>
                <w:rFonts w:ascii="Arial" w:cs="Arial" w:eastAsia="Arial" w:hAnsi="Arial"/>
                <w:sz w:val="22"/>
                <w:szCs w:val="22"/>
                <w:b w:val="1"/>
                <w:bCs w:val="1"/>
                <w:color w:val="0000FF"/>
                <w:w w:val="88"/>
              </w:rPr>
            </w:pPr>
            <w:hyperlink w:anchor="page79">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13.2Indemnities by Master Servicer</w:t>
            </w:r>
          </w:p>
        </w:tc>
        <w:tc>
          <w:tcPr>
            <w:tcW w:w="140" w:type="dxa"/>
            <w:vAlign w:val="bottom"/>
            <w:gridSpan w:val="2"/>
          </w:tcPr>
          <w:p>
            <w:pPr>
              <w:spacing w:after="0"/>
              <w:rPr>
                <w:sz w:val="20"/>
                <w:szCs w:val="20"/>
                <w:color w:val="auto"/>
              </w:rPr>
            </w:pPr>
          </w:p>
        </w:tc>
        <w:tc>
          <w:tcPr>
            <w:tcW w:w="300" w:type="dxa"/>
            <w:vAlign w:val="bottom"/>
            <w:gridSpan w:val="2"/>
          </w:tcPr>
          <w:p>
            <w:pPr>
              <w:jc w:val="right"/>
              <w:ind w:right="20"/>
              <w:spacing w:after="0" w:line="237" w:lineRule="exact"/>
              <w:rPr>
                <w:sz w:val="20"/>
                <w:szCs w:val="20"/>
                <w:color w:val="auto"/>
              </w:rPr>
            </w:pPr>
            <w:r>
              <w:rPr>
                <w:rFonts w:ascii="Arial" w:cs="Arial" w:eastAsia="Arial" w:hAnsi="Arial"/>
                <w:sz w:val="22"/>
                <w:szCs w:val="22"/>
                <w:b w:val="1"/>
                <w:bCs w:val="1"/>
                <w:color w:val="auto"/>
              </w:rPr>
              <w:t>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7"/>
          </w:tcPr>
          <w:p>
            <w:pPr>
              <w:spacing w:after="0"/>
              <w:rPr>
                <w:rFonts w:ascii="Arial" w:cs="Arial" w:eastAsia="Arial" w:hAnsi="Arial"/>
                <w:sz w:val="22"/>
                <w:szCs w:val="22"/>
                <w:color w:val="0000FF"/>
              </w:rPr>
            </w:pPr>
            <w:hyperlink w:anchor="page79">
              <w:r>
                <w:rPr>
                  <w:rFonts w:ascii="Arial" w:cs="Arial" w:eastAsia="Arial" w:hAnsi="Arial"/>
                  <w:sz w:val="22"/>
                  <w:szCs w:val="22"/>
                  <w:color w:val="0000FF"/>
                </w:rPr>
                <w:t>Article XIV. Miscellaneous</w:t>
              </w:r>
            </w:hyperlink>
            <w:r>
              <w:rPr>
                <w:rFonts w:ascii="Arial" w:cs="Arial" w:eastAsia="Arial" w:hAnsi="Arial"/>
                <w:sz w:val="22"/>
                <w:szCs w:val="22"/>
                <w:color w:val="000000"/>
              </w:rPr>
              <w:t>57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0" w:type="dxa"/>
            <w:vAlign w:val="bottom"/>
            <w:gridSpan w:val="10"/>
          </w:tcPr>
          <w:p>
            <w:pPr>
              <w:spacing w:after="0" w:line="237" w:lineRule="exact"/>
              <w:rPr>
                <w:rFonts w:ascii="Arial" w:cs="Arial" w:eastAsia="Arial" w:hAnsi="Arial"/>
                <w:sz w:val="22"/>
                <w:szCs w:val="22"/>
                <w:b w:val="1"/>
                <w:bCs w:val="1"/>
                <w:color w:val="0000FF"/>
                <w:w w:val="88"/>
              </w:rPr>
            </w:pPr>
            <w:hyperlink w:anchor="page79">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14.1Amendments, Etc</w:t>
            </w:r>
          </w:p>
        </w:tc>
        <w:tc>
          <w:tcPr>
            <w:tcW w:w="480" w:type="dxa"/>
            <w:vAlign w:val="bottom"/>
            <w:gridSpan w:val="3"/>
          </w:tcPr>
          <w:p>
            <w:pPr>
              <w:jc w:val="right"/>
              <w:ind w:right="100"/>
              <w:spacing w:after="0" w:line="237" w:lineRule="exact"/>
              <w:rPr>
                <w:sz w:val="20"/>
                <w:szCs w:val="20"/>
                <w:color w:val="auto"/>
              </w:rPr>
            </w:pPr>
            <w:r>
              <w:rPr>
                <w:rFonts w:ascii="Arial" w:cs="Arial" w:eastAsia="Arial" w:hAnsi="Arial"/>
                <w:sz w:val="22"/>
                <w:szCs w:val="22"/>
                <w:b w:val="1"/>
                <w:bCs w:val="1"/>
                <w:color w:val="auto"/>
              </w:rPr>
              <w:t>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5"/>
          </w:tcPr>
          <w:p>
            <w:pPr>
              <w:spacing w:after="0" w:line="237" w:lineRule="exact"/>
              <w:rPr>
                <w:rFonts w:ascii="Arial" w:cs="Arial" w:eastAsia="Arial" w:hAnsi="Arial"/>
                <w:sz w:val="22"/>
                <w:szCs w:val="22"/>
                <w:b w:val="1"/>
                <w:bCs w:val="1"/>
                <w:color w:val="0000FF"/>
                <w:w w:val="85"/>
              </w:rPr>
            </w:pPr>
            <w:hyperlink w:anchor="page80">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14.2Notices, Etc</w:t>
            </w: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gridSpan w:val="2"/>
          </w:tcPr>
          <w:p>
            <w:pPr>
              <w:jc w:val="right"/>
              <w:ind w:right="40"/>
              <w:spacing w:after="0" w:line="237" w:lineRule="exact"/>
              <w:rPr>
                <w:sz w:val="20"/>
                <w:szCs w:val="20"/>
                <w:color w:val="auto"/>
              </w:rPr>
            </w:pPr>
            <w:r>
              <w:rPr>
                <w:rFonts w:ascii="Arial" w:cs="Arial" w:eastAsia="Arial" w:hAnsi="Arial"/>
                <w:sz w:val="22"/>
                <w:szCs w:val="22"/>
                <w:b w:val="1"/>
                <w:bCs w:val="1"/>
                <w:color w:val="auto"/>
              </w:rPr>
              <w:t>57</w:t>
            </w: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80" w:type="dxa"/>
            <w:vAlign w:val="bottom"/>
            <w:gridSpan w:val="13"/>
          </w:tcPr>
          <w:p>
            <w:pPr>
              <w:spacing w:after="0" w:line="237" w:lineRule="exact"/>
              <w:rPr>
                <w:rFonts w:ascii="Arial" w:cs="Arial" w:eastAsia="Arial" w:hAnsi="Arial"/>
                <w:sz w:val="22"/>
                <w:szCs w:val="22"/>
                <w:b w:val="1"/>
                <w:bCs w:val="1"/>
                <w:color w:val="0000FF"/>
                <w:w w:val="92"/>
              </w:rPr>
            </w:pPr>
            <w:hyperlink w:anchor="page80">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14.3No Waiver; Remedies</w:t>
            </w:r>
          </w:p>
        </w:tc>
        <w:tc>
          <w:tcPr>
            <w:tcW w:w="260" w:type="dxa"/>
            <w:vAlign w:val="bottom"/>
            <w:gridSpan w:val="3"/>
          </w:tcPr>
          <w:p>
            <w:pPr>
              <w:jc w:val="right"/>
              <w:spacing w:after="0" w:line="237" w:lineRule="exact"/>
              <w:rPr>
                <w:sz w:val="20"/>
                <w:szCs w:val="20"/>
                <w:color w:val="auto"/>
              </w:rPr>
            </w:pPr>
            <w:r>
              <w:rPr>
                <w:rFonts w:ascii="Arial" w:cs="Arial" w:eastAsia="Arial" w:hAnsi="Arial"/>
                <w:sz w:val="22"/>
                <w:szCs w:val="22"/>
                <w:b w:val="1"/>
                <w:bCs w:val="1"/>
                <w:color w:val="auto"/>
                <w:w w:val="97"/>
              </w:rPr>
              <w:t>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0" w:type="dxa"/>
            <w:vAlign w:val="bottom"/>
            <w:tcBorders>
              <w:bottom w:val="single" w:sz="8" w:color="0000FF"/>
            </w:tcBorders>
            <w:gridSpan w:val="14"/>
          </w:tcPr>
          <w:p>
            <w:pPr>
              <w:spacing w:after="0" w:line="237" w:lineRule="exact"/>
              <w:rPr>
                <w:rFonts w:ascii="Arial" w:cs="Arial" w:eastAsia="Arial" w:hAnsi="Arial"/>
                <w:sz w:val="22"/>
                <w:szCs w:val="22"/>
                <w:b w:val="1"/>
                <w:bCs w:val="1"/>
                <w:color w:val="0000FF"/>
                <w:w w:val="89"/>
              </w:rPr>
            </w:pPr>
            <w:hyperlink w:anchor="page80">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14.4Binding Effect; Survival</w:t>
            </w:r>
          </w:p>
        </w:tc>
        <w:tc>
          <w:tcPr>
            <w:tcW w:w="160" w:type="dxa"/>
            <w:vAlign w:val="bottom"/>
            <w:gridSpan w:val="3"/>
          </w:tcPr>
          <w:p>
            <w:pPr>
              <w:spacing w:after="0"/>
              <w:rPr>
                <w:sz w:val="20"/>
                <w:szCs w:val="20"/>
                <w:color w:val="auto"/>
              </w:rPr>
            </w:pPr>
          </w:p>
        </w:tc>
        <w:tc>
          <w:tcPr>
            <w:tcW w:w="400" w:type="dxa"/>
            <w:vAlign w:val="bottom"/>
            <w:gridSpan w:val="3"/>
          </w:tcPr>
          <w:p>
            <w:pPr>
              <w:jc w:val="right"/>
              <w:ind w:right="72"/>
              <w:spacing w:after="0" w:line="237" w:lineRule="exact"/>
              <w:rPr>
                <w:sz w:val="20"/>
                <w:szCs w:val="20"/>
                <w:color w:val="auto"/>
              </w:rPr>
            </w:pPr>
            <w:r>
              <w:rPr>
                <w:rFonts w:ascii="Arial" w:cs="Arial" w:eastAsia="Arial" w:hAnsi="Arial"/>
                <w:sz w:val="22"/>
                <w:szCs w:val="22"/>
                <w:b w:val="1"/>
                <w:bCs w:val="1"/>
                <w:color w:val="auto"/>
                <w:w w:val="81"/>
              </w:rPr>
              <w:t>58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60" w:type="dxa"/>
            <w:vAlign w:val="bottom"/>
            <w:gridSpan w:val="17"/>
          </w:tcPr>
          <w:p>
            <w:pPr>
              <w:spacing w:after="0" w:line="237" w:lineRule="exact"/>
              <w:rPr>
                <w:rFonts w:ascii="Arial" w:cs="Arial" w:eastAsia="Arial" w:hAnsi="Arial"/>
                <w:sz w:val="22"/>
                <w:szCs w:val="22"/>
                <w:b w:val="1"/>
                <w:bCs w:val="1"/>
                <w:color w:val="0000FF"/>
                <w:w w:val="84"/>
              </w:rPr>
            </w:pPr>
            <w:hyperlink w:anchor="page80">
              <w:r>
                <w:rPr>
                  <w:rFonts w:ascii="Arial" w:cs="Arial" w:eastAsia="Arial" w:hAnsi="Arial"/>
                  <w:sz w:val="22"/>
                  <w:szCs w:val="22"/>
                  <w:b w:val="1"/>
                  <w:bCs w:val="1"/>
                  <w:color w:val="0000FF"/>
                  <w:w w:val="84"/>
                </w:rPr>
                <w:t xml:space="preserve">Section </w:t>
              </w:r>
            </w:hyperlink>
            <w:r>
              <w:rPr>
                <w:rFonts w:ascii="Arial" w:cs="Arial" w:eastAsia="Arial" w:hAnsi="Arial"/>
                <w:sz w:val="22"/>
                <w:szCs w:val="22"/>
                <w:b w:val="1"/>
                <w:bCs w:val="1"/>
                <w:color w:val="0000FF"/>
                <w:w w:val="84"/>
              </w:rPr>
              <w:t>14.5Costs, Expenses and Taxes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w w:val="97"/>
              </w:rPr>
              <w:t>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80" w:type="dxa"/>
            <w:vAlign w:val="bottom"/>
            <w:tcBorders>
              <w:top w:val="single" w:sz="8" w:color="0000FF"/>
            </w:tcBorders>
            <w:gridSpan w:val="13"/>
          </w:tcPr>
          <w:p>
            <w:pPr>
              <w:spacing w:after="0" w:line="237" w:lineRule="exact"/>
              <w:rPr>
                <w:rFonts w:ascii="Arial" w:cs="Arial" w:eastAsia="Arial" w:hAnsi="Arial"/>
                <w:sz w:val="22"/>
                <w:szCs w:val="22"/>
                <w:b w:val="1"/>
                <w:bCs w:val="1"/>
                <w:color w:val="0000FF"/>
                <w:w w:val="98"/>
              </w:rPr>
            </w:pPr>
            <w:hyperlink w:anchor="page81">
              <w:r>
                <w:rPr>
                  <w:rFonts w:ascii="Arial" w:cs="Arial" w:eastAsia="Arial" w:hAnsi="Arial"/>
                  <w:sz w:val="22"/>
                  <w:szCs w:val="22"/>
                  <w:b w:val="1"/>
                  <w:bCs w:val="1"/>
                  <w:color w:val="0000FF"/>
                  <w:w w:val="98"/>
                </w:rPr>
                <w:t xml:space="preserve">Section </w:t>
              </w:r>
            </w:hyperlink>
            <w:r>
              <w:rPr>
                <w:rFonts w:ascii="Arial" w:cs="Arial" w:eastAsia="Arial" w:hAnsi="Arial"/>
                <w:sz w:val="22"/>
                <w:szCs w:val="22"/>
                <w:b w:val="1"/>
                <w:bCs w:val="1"/>
                <w:color w:val="0000FF"/>
                <w:w w:val="98"/>
              </w:rPr>
              <w:t xml:space="preserve">14.6No Proceedings  </w:t>
            </w:r>
            <w:r>
              <w:rPr>
                <w:rFonts w:ascii="Arial" w:cs="Arial" w:eastAsia="Arial" w:hAnsi="Arial"/>
                <w:sz w:val="22"/>
                <w:szCs w:val="22"/>
                <w:b w:val="1"/>
                <w:bCs w:val="1"/>
                <w:color w:val="000000"/>
                <w:w w:val="98"/>
              </w:rPr>
              <w:t>59</w:t>
            </w: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60" w:type="dxa"/>
            <w:vAlign w:val="bottom"/>
            <w:gridSpan w:val="28"/>
          </w:tcPr>
          <w:p>
            <w:pPr>
              <w:spacing w:after="0" w:line="237" w:lineRule="exact"/>
              <w:rPr>
                <w:rFonts w:ascii="Arial" w:cs="Arial" w:eastAsia="Arial" w:hAnsi="Arial"/>
                <w:sz w:val="22"/>
                <w:szCs w:val="22"/>
                <w:b w:val="1"/>
                <w:bCs w:val="1"/>
                <w:color w:val="0000FF"/>
                <w:w w:val="90"/>
              </w:rPr>
            </w:pPr>
            <w:hyperlink w:anchor="page81">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14.7Confidentiality of Seller Information</w:t>
            </w:r>
          </w:p>
        </w:tc>
        <w:tc>
          <w:tcPr>
            <w:tcW w:w="1060" w:type="dxa"/>
            <w:vAlign w:val="bottom"/>
          </w:tcPr>
          <w:p>
            <w:pPr>
              <w:jc w:val="right"/>
              <w:ind w:right="592"/>
              <w:spacing w:after="0" w:line="237" w:lineRule="exact"/>
              <w:rPr>
                <w:sz w:val="20"/>
                <w:szCs w:val="20"/>
                <w:color w:val="auto"/>
              </w:rPr>
            </w:pPr>
            <w:r>
              <w:rPr>
                <w:rFonts w:ascii="Arial" w:cs="Arial" w:eastAsia="Arial" w:hAnsi="Arial"/>
                <w:sz w:val="22"/>
                <w:szCs w:val="22"/>
                <w:b w:val="1"/>
                <w:bCs w:val="1"/>
                <w:color w:val="auto"/>
              </w:rPr>
              <w:t>60</w:t>
            </w: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60" w:type="dxa"/>
            <w:vAlign w:val="bottom"/>
            <w:tcBorders>
              <w:top w:val="single" w:sz="8" w:color="0000FF"/>
            </w:tcBorders>
            <w:gridSpan w:val="24"/>
          </w:tcPr>
          <w:p>
            <w:pPr>
              <w:spacing w:after="0" w:line="237" w:lineRule="exact"/>
              <w:rPr>
                <w:rFonts w:ascii="Arial" w:cs="Arial" w:eastAsia="Arial" w:hAnsi="Arial"/>
                <w:sz w:val="22"/>
                <w:szCs w:val="22"/>
                <w:b w:val="1"/>
                <w:bCs w:val="1"/>
                <w:color w:val="0000FF"/>
                <w:w w:val="89"/>
              </w:rPr>
            </w:pPr>
            <w:hyperlink w:anchor="page82">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14.8Captions and Cross References</w:t>
            </w:r>
          </w:p>
        </w:tc>
        <w:tc>
          <w:tcPr>
            <w:tcW w:w="300" w:type="dxa"/>
            <w:vAlign w:val="bottom"/>
            <w:tcBorders>
              <w:top w:val="single" w:sz="8" w:color="0000FF"/>
            </w:tcBorders>
            <w:gridSpan w:val="2"/>
          </w:tcPr>
          <w:p>
            <w:pPr>
              <w:jc w:val="right"/>
              <w:ind w:right="60"/>
              <w:spacing w:after="0" w:line="237" w:lineRule="exact"/>
              <w:rPr>
                <w:sz w:val="20"/>
                <w:szCs w:val="20"/>
                <w:color w:val="auto"/>
              </w:rPr>
            </w:pPr>
            <w:r>
              <w:rPr>
                <w:rFonts w:ascii="Arial" w:cs="Arial" w:eastAsia="Arial" w:hAnsi="Arial"/>
                <w:sz w:val="22"/>
                <w:szCs w:val="22"/>
                <w:b w:val="1"/>
                <w:bCs w:val="1"/>
                <w:color w:val="auto"/>
                <w:w w:val="89"/>
              </w:rPr>
              <w:t>62</w:t>
            </w:r>
          </w:p>
        </w:tc>
        <w:tc>
          <w:tcPr>
            <w:tcW w:w="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80" w:type="dxa"/>
            <w:vAlign w:val="bottom"/>
            <w:tcBorders>
              <w:top w:val="single" w:sz="8" w:color="0000FF"/>
            </w:tcBorders>
            <w:gridSpan w:val="6"/>
          </w:tcPr>
          <w:p>
            <w:pPr>
              <w:spacing w:after="0" w:line="237" w:lineRule="exact"/>
              <w:rPr>
                <w:rFonts w:ascii="Arial" w:cs="Arial" w:eastAsia="Arial" w:hAnsi="Arial"/>
                <w:sz w:val="22"/>
                <w:szCs w:val="22"/>
                <w:b w:val="1"/>
                <w:bCs w:val="1"/>
                <w:color w:val="0000FF"/>
                <w:w w:val="93"/>
              </w:rPr>
            </w:pPr>
            <w:hyperlink w:anchor="page82">
              <w:r>
                <w:rPr>
                  <w:rFonts w:ascii="Arial" w:cs="Arial" w:eastAsia="Arial" w:hAnsi="Arial"/>
                  <w:sz w:val="22"/>
                  <w:szCs w:val="22"/>
                  <w:b w:val="1"/>
                  <w:bCs w:val="1"/>
                  <w:color w:val="0000FF"/>
                  <w:w w:val="93"/>
                </w:rPr>
                <w:t xml:space="preserve">Section </w:t>
              </w:r>
            </w:hyperlink>
            <w:r>
              <w:rPr>
                <w:rFonts w:ascii="Arial" w:cs="Arial" w:eastAsia="Arial" w:hAnsi="Arial"/>
                <w:sz w:val="22"/>
                <w:szCs w:val="22"/>
                <w:b w:val="1"/>
                <w:bCs w:val="1"/>
                <w:color w:val="0000FF"/>
                <w:w w:val="93"/>
              </w:rPr>
              <w:t>14.9Integration</w:t>
            </w:r>
          </w:p>
        </w:tc>
        <w:tc>
          <w:tcPr>
            <w:tcW w:w="380" w:type="dxa"/>
            <w:vAlign w:val="bottom"/>
            <w:tcBorders>
              <w:top w:val="single" w:sz="8" w:color="0000FF"/>
            </w:tcBorders>
            <w:gridSpan w:val="2"/>
          </w:tcPr>
          <w:p>
            <w:pPr>
              <w:jc w:val="right"/>
              <w:ind w:right="80"/>
              <w:spacing w:after="0" w:line="237" w:lineRule="exact"/>
              <w:rPr>
                <w:sz w:val="20"/>
                <w:szCs w:val="20"/>
                <w:color w:val="auto"/>
              </w:rPr>
            </w:pPr>
            <w:r>
              <w:rPr>
                <w:rFonts w:ascii="Arial" w:cs="Arial" w:eastAsia="Arial" w:hAnsi="Arial"/>
                <w:sz w:val="22"/>
                <w:szCs w:val="22"/>
                <w:b w:val="1"/>
                <w:bCs w:val="1"/>
                <w:color w:val="auto"/>
              </w:rPr>
              <w:t>62</w:t>
            </w: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Borders>
              <w:bottom w:val="single" w:sz="8" w:color="0000FF"/>
            </w:tcBorders>
            <w:gridSpan w:val="8"/>
          </w:tcPr>
          <w:p>
            <w:pPr>
              <w:spacing w:after="0" w:line="237" w:lineRule="exact"/>
              <w:rPr>
                <w:rFonts w:ascii="Arial" w:cs="Arial" w:eastAsia="Arial" w:hAnsi="Arial"/>
                <w:sz w:val="22"/>
                <w:szCs w:val="22"/>
                <w:b w:val="1"/>
                <w:bCs w:val="1"/>
                <w:color w:val="0000FF"/>
                <w:w w:val="88"/>
              </w:rPr>
            </w:pPr>
            <w:hyperlink w:anchor="page82">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14.10Governing Law</w:t>
            </w:r>
          </w:p>
        </w:tc>
        <w:tc>
          <w:tcPr>
            <w:tcW w:w="140" w:type="dxa"/>
            <w:vAlign w:val="bottom"/>
            <w:gridSpan w:val="2"/>
          </w:tcPr>
          <w:p>
            <w:pPr>
              <w:spacing w:after="0"/>
              <w:rPr>
                <w:sz w:val="20"/>
                <w:szCs w:val="20"/>
                <w:color w:val="auto"/>
              </w:rPr>
            </w:pPr>
          </w:p>
        </w:tc>
        <w:tc>
          <w:tcPr>
            <w:tcW w:w="3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80" w:type="dxa"/>
            <w:vAlign w:val="bottom"/>
            <w:gridSpan w:val="13"/>
          </w:tcPr>
          <w:p>
            <w:pPr>
              <w:spacing w:after="0" w:line="237" w:lineRule="exact"/>
              <w:rPr>
                <w:rFonts w:ascii="Arial" w:cs="Arial" w:eastAsia="Arial" w:hAnsi="Arial"/>
                <w:sz w:val="22"/>
                <w:szCs w:val="22"/>
                <w:b w:val="1"/>
                <w:bCs w:val="1"/>
                <w:color w:val="0000FF"/>
                <w:w w:val="93"/>
              </w:rPr>
            </w:pPr>
            <w:hyperlink w:anchor="page82">
              <w:r>
                <w:rPr>
                  <w:rFonts w:ascii="Arial" w:cs="Arial" w:eastAsia="Arial" w:hAnsi="Arial"/>
                  <w:sz w:val="22"/>
                  <w:szCs w:val="22"/>
                  <w:b w:val="1"/>
                  <w:bCs w:val="1"/>
                  <w:color w:val="0000FF"/>
                  <w:w w:val="93"/>
                </w:rPr>
                <w:t xml:space="preserve">Section </w:t>
              </w:r>
            </w:hyperlink>
            <w:r>
              <w:rPr>
                <w:rFonts w:ascii="Arial" w:cs="Arial" w:eastAsia="Arial" w:hAnsi="Arial"/>
                <w:sz w:val="22"/>
                <w:szCs w:val="22"/>
                <w:b w:val="1"/>
                <w:bCs w:val="1"/>
                <w:color w:val="0000FF"/>
                <w:w w:val="93"/>
              </w:rPr>
              <w:t>14.11Waiver Of Jury Trial</w:t>
            </w:r>
          </w:p>
        </w:tc>
        <w:tc>
          <w:tcPr>
            <w:tcW w:w="40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auto"/>
              </w:rPr>
              <w:t>62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60" w:type="dxa"/>
            <w:vAlign w:val="bottom"/>
            <w:gridSpan w:val="12"/>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40" w:type="dxa"/>
            <w:vAlign w:val="bottom"/>
            <w:gridSpan w:val="30"/>
          </w:tcPr>
          <w:p>
            <w:pPr>
              <w:spacing w:after="0" w:line="237" w:lineRule="exact"/>
              <w:rPr>
                <w:rFonts w:ascii="Arial" w:cs="Arial" w:eastAsia="Arial" w:hAnsi="Arial"/>
                <w:sz w:val="22"/>
                <w:szCs w:val="22"/>
                <w:b w:val="1"/>
                <w:bCs w:val="1"/>
                <w:color w:val="0000FF"/>
                <w:w w:val="90"/>
              </w:rPr>
            </w:pPr>
            <w:hyperlink w:anchor="page82">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 xml:space="preserve">14.12Consent To Jurisdiction; Waiver Of Immunities  </w:t>
            </w:r>
            <w:r>
              <w:rPr>
                <w:rFonts w:ascii="Arial" w:cs="Arial" w:eastAsia="Arial" w:hAnsi="Arial"/>
                <w:sz w:val="22"/>
                <w:szCs w:val="22"/>
                <w:b w:val="1"/>
                <w:bCs w:val="1"/>
                <w:color w:val="000000"/>
                <w:w w:val="90"/>
              </w:rPr>
              <w:t>62</w:t>
            </w: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tcBorders>
              <w:top w:val="single" w:sz="8" w:color="0000FF"/>
              <w:bottom w:val="single" w:sz="8" w:color="0000FF"/>
            </w:tcBorders>
            <w:gridSpan w:val="18"/>
          </w:tcPr>
          <w:p>
            <w:pPr>
              <w:spacing w:after="0" w:line="237" w:lineRule="exact"/>
              <w:rPr>
                <w:rFonts w:ascii="Arial" w:cs="Arial" w:eastAsia="Arial" w:hAnsi="Arial"/>
                <w:sz w:val="22"/>
                <w:szCs w:val="22"/>
                <w:b w:val="1"/>
                <w:bCs w:val="1"/>
                <w:color w:val="0000FF"/>
                <w:w w:val="88"/>
              </w:rPr>
            </w:pPr>
            <w:hyperlink w:anchor="page83">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14.13Execution in Counterparts</w:t>
            </w: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gridSpan w:val="4"/>
          </w:tcPr>
          <w:p>
            <w:pPr>
              <w:jc w:val="right"/>
              <w:ind w:right="20"/>
              <w:spacing w:after="0" w:line="237" w:lineRule="exact"/>
              <w:rPr>
                <w:sz w:val="20"/>
                <w:szCs w:val="20"/>
                <w:color w:val="auto"/>
              </w:rPr>
            </w:pPr>
            <w:r>
              <w:rPr>
                <w:rFonts w:ascii="Arial" w:cs="Arial" w:eastAsia="Arial" w:hAnsi="Arial"/>
                <w:sz w:val="22"/>
                <w:szCs w:val="22"/>
                <w:b w:val="1"/>
                <w:bCs w:val="1"/>
                <w:color w:val="auto"/>
              </w:rPr>
              <w:t>63</w:t>
            </w: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6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60" w:type="dxa"/>
            <w:vAlign w:val="bottom"/>
            <w:gridSpan w:val="28"/>
          </w:tcPr>
          <w:p>
            <w:pPr>
              <w:spacing w:after="0" w:line="237" w:lineRule="exact"/>
              <w:rPr>
                <w:rFonts w:ascii="Arial" w:cs="Arial" w:eastAsia="Arial" w:hAnsi="Arial"/>
                <w:sz w:val="22"/>
                <w:szCs w:val="22"/>
                <w:b w:val="1"/>
                <w:bCs w:val="1"/>
                <w:color w:val="0000FF"/>
                <w:w w:val="89"/>
              </w:rPr>
            </w:pPr>
            <w:hyperlink w:anchor="page83">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14.14No Recourse Against Other Parties</w:t>
            </w:r>
          </w:p>
        </w:tc>
        <w:tc>
          <w:tcPr>
            <w:tcW w:w="1060" w:type="dxa"/>
            <w:vAlign w:val="bottom"/>
          </w:tcPr>
          <w:p>
            <w:pPr>
              <w:jc w:val="right"/>
              <w:ind w:right="632"/>
              <w:spacing w:after="0" w:line="237" w:lineRule="exact"/>
              <w:rPr>
                <w:sz w:val="20"/>
                <w:szCs w:val="20"/>
                <w:color w:val="auto"/>
              </w:rPr>
            </w:pPr>
            <w:r>
              <w:rPr>
                <w:rFonts w:ascii="Arial" w:cs="Arial" w:eastAsia="Arial" w:hAnsi="Arial"/>
                <w:sz w:val="22"/>
                <w:szCs w:val="22"/>
                <w:b w:val="1"/>
                <w:bCs w:val="1"/>
                <w:color w:val="auto"/>
              </w:rPr>
              <w:t>63</w:t>
            </w: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7"/>
          </w:tcPr>
          <w:p>
            <w:pPr>
              <w:spacing w:after="0" w:line="237" w:lineRule="exact"/>
              <w:rPr>
                <w:rFonts w:ascii="Arial" w:cs="Arial" w:eastAsia="Arial" w:hAnsi="Arial"/>
                <w:sz w:val="22"/>
                <w:szCs w:val="22"/>
                <w:b w:val="1"/>
                <w:bCs w:val="1"/>
                <w:color w:val="0000FF"/>
                <w:w w:val="86"/>
              </w:rPr>
            </w:pPr>
            <w:hyperlink w:anchor="page83">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14.15Severability of Provisions</w:t>
            </w: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gridSpan w:val="3"/>
          </w:tcPr>
          <w:p>
            <w:pPr>
              <w:jc w:val="right"/>
              <w:ind w:right="20"/>
              <w:spacing w:after="0" w:line="237" w:lineRule="exact"/>
              <w:rPr>
                <w:sz w:val="20"/>
                <w:szCs w:val="20"/>
                <w:color w:val="auto"/>
              </w:rPr>
            </w:pPr>
            <w:r>
              <w:rPr>
                <w:rFonts w:ascii="Arial" w:cs="Arial" w:eastAsia="Arial" w:hAnsi="Arial"/>
                <w:sz w:val="22"/>
                <w:szCs w:val="22"/>
                <w:b w:val="1"/>
                <w:bCs w:val="1"/>
                <w:color w:val="auto"/>
              </w:rPr>
              <w:t>64</w:t>
            </w: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60" w:type="dxa"/>
            <w:vAlign w:val="bottom"/>
            <w:gridSpan w:val="24"/>
          </w:tcPr>
          <w:p>
            <w:pPr>
              <w:spacing w:after="0" w:line="237" w:lineRule="exact"/>
              <w:rPr>
                <w:rFonts w:ascii="Arial" w:cs="Arial" w:eastAsia="Arial" w:hAnsi="Arial"/>
                <w:sz w:val="22"/>
                <w:szCs w:val="22"/>
                <w:b w:val="1"/>
                <w:bCs w:val="1"/>
                <w:color w:val="0000FF"/>
                <w:w w:val="91"/>
              </w:rPr>
            </w:pPr>
            <w:hyperlink w:anchor="page83">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14.16Amendment and Restatement</w:t>
            </w:r>
          </w:p>
        </w:tc>
        <w:tc>
          <w:tcPr>
            <w:tcW w:w="300" w:type="dxa"/>
            <w:vAlign w:val="bottom"/>
            <w:gridSpan w:val="2"/>
          </w:tcPr>
          <w:p>
            <w:pPr>
              <w:jc w:val="right"/>
              <w:ind w:right="60"/>
              <w:spacing w:after="0" w:line="237" w:lineRule="exact"/>
              <w:rPr>
                <w:sz w:val="20"/>
                <w:szCs w:val="20"/>
                <w:color w:val="auto"/>
              </w:rPr>
            </w:pPr>
            <w:r>
              <w:rPr>
                <w:rFonts w:ascii="Arial" w:cs="Arial" w:eastAsia="Arial" w:hAnsi="Arial"/>
                <w:sz w:val="22"/>
                <w:szCs w:val="22"/>
                <w:b w:val="1"/>
                <w:bCs w:val="1"/>
                <w:color w:val="auto"/>
                <w:w w:val="89"/>
              </w:rPr>
              <w:t>64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750"/>
        </w:trPr>
        <w:tc>
          <w:tcPr>
            <w:tcW w:w="1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APPENDIX</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7"/>
        </w:trPr>
        <w:tc>
          <w:tcPr>
            <w:tcW w:w="1300" w:type="dxa"/>
            <w:vAlign w:val="bottom"/>
            <w:gridSpan w:val="2"/>
          </w:tcPr>
          <w:p>
            <w:pPr>
              <w:spacing w:after="0"/>
              <w:rPr>
                <w:sz w:val="20"/>
                <w:szCs w:val="20"/>
                <w:color w:val="auto"/>
              </w:rPr>
            </w:pPr>
            <w:r>
              <w:rPr>
                <w:rFonts w:ascii="Arial" w:cs="Arial" w:eastAsia="Arial" w:hAnsi="Arial"/>
                <w:sz w:val="22"/>
                <w:szCs w:val="22"/>
                <w:color w:val="auto"/>
              </w:rPr>
              <w:t>Appendix A</w:t>
            </w:r>
          </w:p>
        </w:tc>
        <w:tc>
          <w:tcPr>
            <w:tcW w:w="3580" w:type="dxa"/>
            <w:vAlign w:val="bottom"/>
            <w:gridSpan w:val="7"/>
          </w:tcPr>
          <w:p>
            <w:pPr>
              <w:ind w:left="660"/>
              <w:spacing w:after="0"/>
              <w:rPr>
                <w:sz w:val="20"/>
                <w:szCs w:val="20"/>
                <w:color w:val="auto"/>
              </w:rPr>
            </w:pPr>
            <w:r>
              <w:rPr>
                <w:rFonts w:ascii="Arial" w:cs="Arial" w:eastAsia="Arial" w:hAnsi="Arial"/>
                <w:sz w:val="22"/>
                <w:szCs w:val="22"/>
                <w:color w:val="auto"/>
              </w:rPr>
              <w:t>Definitions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240" w:type="dxa"/>
            <w:vAlign w:val="bottom"/>
          </w:tcPr>
          <w:p>
            <w:pPr>
              <w:spacing w:after="0"/>
              <w:rPr>
                <w:sz w:val="21"/>
                <w:szCs w:val="21"/>
                <w:color w:val="auto"/>
              </w:rPr>
            </w:pPr>
          </w:p>
        </w:tc>
        <w:tc>
          <w:tcPr>
            <w:tcW w:w="6740" w:type="dxa"/>
            <w:vAlign w:val="bottom"/>
          </w:tcPr>
          <w:p>
            <w:pPr>
              <w:spacing w:after="0"/>
              <w:rPr>
                <w:sz w:val="21"/>
                <w:szCs w:val="21"/>
                <w:color w:val="auto"/>
              </w:rPr>
            </w:pPr>
          </w:p>
        </w:tc>
      </w:tr>
      <w:tr>
        <w:trPr>
          <w:trHeight w:val="269"/>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6.1(n)</w:t>
            </w:r>
          </w:p>
        </w:tc>
        <w:tc>
          <w:tcPr>
            <w:tcW w:w="6740" w:type="dxa"/>
            <w:vAlign w:val="bottom"/>
          </w:tcPr>
          <w:p>
            <w:pPr>
              <w:ind w:left="120"/>
              <w:spacing w:after="0"/>
              <w:rPr>
                <w:sz w:val="20"/>
                <w:szCs w:val="20"/>
                <w:color w:val="auto"/>
              </w:rPr>
            </w:pPr>
            <w:r>
              <w:rPr>
                <w:rFonts w:ascii="Arial" w:cs="Arial" w:eastAsia="Arial" w:hAnsi="Arial"/>
                <w:sz w:val="22"/>
                <w:szCs w:val="22"/>
                <w:color w:val="auto"/>
                <w:w w:val="89"/>
              </w:rPr>
              <w:t>List of Offices of the Master Servicer and the Seller where Records are Kept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6.1(o)</w:t>
            </w:r>
          </w:p>
        </w:tc>
        <w:tc>
          <w:tcPr>
            <w:tcW w:w="6740" w:type="dxa"/>
            <w:vAlign w:val="bottom"/>
          </w:tcPr>
          <w:p>
            <w:pPr>
              <w:ind w:left="120"/>
              <w:spacing w:after="0"/>
              <w:rPr>
                <w:sz w:val="20"/>
                <w:szCs w:val="20"/>
                <w:color w:val="auto"/>
              </w:rPr>
            </w:pPr>
            <w:r>
              <w:rPr>
                <w:rFonts w:ascii="Arial" w:cs="Arial" w:eastAsia="Arial" w:hAnsi="Arial"/>
                <w:sz w:val="22"/>
                <w:szCs w:val="22"/>
                <w:color w:val="auto"/>
              </w:rPr>
              <w:t>List of Lockbox Banks and Lockbox Accounts</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6.1(u)</w:t>
            </w:r>
          </w:p>
        </w:tc>
        <w:tc>
          <w:tcPr>
            <w:tcW w:w="6740" w:type="dxa"/>
            <w:vAlign w:val="bottom"/>
          </w:tcPr>
          <w:p>
            <w:pPr>
              <w:ind w:left="120"/>
              <w:spacing w:after="0"/>
              <w:rPr>
                <w:sz w:val="20"/>
                <w:szCs w:val="20"/>
                <w:color w:val="auto"/>
              </w:rPr>
            </w:pPr>
            <w:r>
              <w:rPr>
                <w:rFonts w:ascii="Arial" w:cs="Arial" w:eastAsia="Arial" w:hAnsi="Arial"/>
                <w:sz w:val="22"/>
                <w:szCs w:val="22"/>
                <w:color w:val="auto"/>
              </w:rPr>
              <w:t>Capitalization of Seller</w:t>
            </w:r>
          </w:p>
        </w:tc>
      </w:tr>
      <w:tr>
        <w:trPr>
          <w:trHeight w:val="275"/>
        </w:trPr>
        <w:tc>
          <w:tcPr>
            <w:tcW w:w="1500" w:type="dxa"/>
            <w:vAlign w:val="bottom"/>
            <w:gridSpan w:val="3"/>
          </w:tcPr>
          <w:p>
            <w:pPr>
              <w:spacing w:after="0"/>
              <w:rPr>
                <w:sz w:val="20"/>
                <w:szCs w:val="20"/>
                <w:color w:val="auto"/>
              </w:rPr>
            </w:pPr>
            <w:r>
              <w:rPr>
                <w:rFonts w:ascii="Arial" w:cs="Arial" w:eastAsia="Arial" w:hAnsi="Arial"/>
                <w:sz w:val="22"/>
                <w:szCs w:val="22"/>
                <w:color w:val="auto"/>
              </w:rPr>
              <w:t>Schedule 14.2</w:t>
            </w:r>
          </w:p>
        </w:tc>
        <w:tc>
          <w:tcPr>
            <w:tcW w:w="6740" w:type="dxa"/>
            <w:vAlign w:val="bottom"/>
          </w:tcPr>
          <w:p>
            <w:pPr>
              <w:ind w:left="120"/>
              <w:spacing w:after="0"/>
              <w:rPr>
                <w:sz w:val="20"/>
                <w:szCs w:val="20"/>
                <w:color w:val="auto"/>
              </w:rPr>
            </w:pPr>
            <w:r>
              <w:rPr>
                <w:rFonts w:ascii="Arial" w:cs="Arial" w:eastAsia="Arial" w:hAnsi="Arial"/>
                <w:sz w:val="22"/>
                <w:szCs w:val="22"/>
                <w:color w:val="auto"/>
              </w:rPr>
              <w:t>Notice Addresses</w:t>
            </w:r>
          </w:p>
        </w:tc>
      </w:tr>
      <w:tr>
        <w:trPr>
          <w:trHeight w:val="463"/>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500" w:type="dxa"/>
            <w:vAlign w:val="bottom"/>
            <w:gridSpan w:val="2"/>
          </w:tcPr>
          <w:p>
            <w:pPr>
              <w:spacing w:after="0"/>
              <w:rPr>
                <w:sz w:val="24"/>
                <w:szCs w:val="24"/>
                <w:color w:val="auto"/>
              </w:rPr>
            </w:pPr>
          </w:p>
        </w:tc>
        <w:tc>
          <w:tcPr>
            <w:tcW w:w="6740" w:type="dxa"/>
            <w:vAlign w:val="bottom"/>
          </w:tcPr>
          <w:p>
            <w:pPr>
              <w:spacing w:after="0"/>
              <w:rPr>
                <w:sz w:val="24"/>
                <w:szCs w:val="24"/>
                <w:color w:val="auto"/>
              </w:rPr>
            </w:pPr>
          </w:p>
        </w:tc>
      </w:tr>
      <w:tr>
        <w:trPr>
          <w:trHeight w:val="269"/>
        </w:trPr>
        <w:tc>
          <w:tcPr>
            <w:tcW w:w="1500" w:type="dxa"/>
            <w:vAlign w:val="bottom"/>
            <w:gridSpan w:val="3"/>
          </w:tcPr>
          <w:p>
            <w:pPr>
              <w:spacing w:after="0"/>
              <w:rPr>
                <w:sz w:val="20"/>
                <w:szCs w:val="20"/>
                <w:color w:val="auto"/>
              </w:rPr>
            </w:pPr>
            <w:r>
              <w:rPr>
                <w:rFonts w:ascii="Arial" w:cs="Arial" w:eastAsia="Arial" w:hAnsi="Arial"/>
                <w:sz w:val="22"/>
                <w:szCs w:val="22"/>
                <w:color w:val="auto"/>
              </w:rPr>
              <w:t>Exhibit 1.2(a)</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Purchase Request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3.1(a)</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Information Package</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9"/>
              </w:rPr>
              <w:t>Exhibit 3.1(a)-2</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Weekly Report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A-1</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Lockbox Agreement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B</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Certificate of Financial Officer</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C</w:t>
            </w:r>
          </w:p>
        </w:tc>
        <w:tc>
          <w:tcPr>
            <w:tcW w:w="6740" w:type="dxa"/>
            <w:vAlign w:val="bottom"/>
          </w:tcPr>
          <w:p>
            <w:pPr>
              <w:ind w:left="120"/>
              <w:spacing w:after="0"/>
              <w:rPr>
                <w:sz w:val="20"/>
                <w:szCs w:val="20"/>
                <w:color w:val="auto"/>
              </w:rPr>
            </w:pPr>
            <w:r>
              <w:rPr>
                <w:rFonts w:ascii="Arial" w:cs="Arial" w:eastAsia="Arial" w:hAnsi="Arial"/>
                <w:sz w:val="22"/>
                <w:szCs w:val="22"/>
                <w:color w:val="auto"/>
              </w:rPr>
              <w:t>Credit and Collection Policy of Lennox Industries Inc.</w:t>
            </w:r>
          </w:p>
        </w:tc>
      </w:tr>
      <w:tr>
        <w:trPr>
          <w:trHeight w:val="275"/>
        </w:trPr>
        <w:tc>
          <w:tcPr>
            <w:tcW w:w="1500" w:type="dxa"/>
            <w:vAlign w:val="bottom"/>
            <w:gridSpan w:val="3"/>
          </w:tcPr>
          <w:p>
            <w:pPr>
              <w:spacing w:after="0"/>
              <w:rPr>
                <w:sz w:val="20"/>
                <w:szCs w:val="20"/>
                <w:color w:val="auto"/>
              </w:rPr>
            </w:pPr>
            <w:r>
              <w:rPr>
                <w:rFonts w:ascii="Arial" w:cs="Arial" w:eastAsia="Arial" w:hAnsi="Arial"/>
                <w:sz w:val="22"/>
                <w:szCs w:val="22"/>
                <w:color w:val="auto"/>
              </w:rPr>
              <w:t>Exhibit D</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Assignment and Acceptance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AMENDED AND RESTATED RECEIVABLES PURCHASE AGREEMENT</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Dated as of November 18, 2011</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AMENDED AND RESTATED RECEIVABLES PURCHASE AGREEMENT (the “</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 among:</w:t>
      </w:r>
    </w:p>
    <w:p>
      <w:pPr>
        <w:spacing w:after="0" w:line="220" w:lineRule="exact"/>
        <w:rPr>
          <w:sz w:val="20"/>
          <w:szCs w:val="20"/>
          <w:color w:val="auto"/>
        </w:rPr>
      </w:pPr>
    </w:p>
    <w:p>
      <w:pPr>
        <w:ind w:left="1120" w:hanging="464"/>
        <w:spacing w:after="0"/>
        <w:tabs>
          <w:tab w:leader="none" w:pos="11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LPAC CORP., a Delaware corporation (together with its successors and permitted assigns, the “</w:t>
      </w:r>
      <w:r>
        <w:rPr>
          <w:rFonts w:ascii="Arial" w:cs="Arial" w:eastAsia="Arial" w:hAnsi="Arial"/>
          <w:sz w:val="22"/>
          <w:szCs w:val="22"/>
          <w:i w:val="1"/>
          <w:iCs w:val="1"/>
          <w:u w:val="single" w:color="auto"/>
          <w:color w:val="auto"/>
        </w:rPr>
        <w:t>Seller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312" w:lineRule="auto"/>
        <w:tabs>
          <w:tab w:leader="none" w:pos="1116" w:val="left"/>
        </w:tabs>
        <w:numPr>
          <w:ilvl w:val="0"/>
          <w:numId w:val="10"/>
        </w:numPr>
        <w:rPr>
          <w:rFonts w:ascii="Arial" w:cs="Arial" w:eastAsia="Arial" w:hAnsi="Arial"/>
          <w:sz w:val="19"/>
          <w:szCs w:val="19"/>
          <w:color w:val="auto"/>
        </w:rPr>
      </w:pPr>
      <w:r>
        <w:rPr>
          <w:rFonts w:ascii="Arial" w:cs="Arial" w:eastAsia="Arial" w:hAnsi="Arial"/>
          <w:sz w:val="19"/>
          <w:szCs w:val="19"/>
          <w:color w:val="auto"/>
        </w:rPr>
        <w:t>LENNOX INDUSTRIES INC., a Delaware corporation (together with its successors, “</w:t>
      </w:r>
      <w:r>
        <w:rPr>
          <w:rFonts w:ascii="Arial" w:cs="Arial" w:eastAsia="Arial" w:hAnsi="Arial"/>
          <w:sz w:val="19"/>
          <w:szCs w:val="19"/>
          <w:i w:val="1"/>
          <w:iCs w:val="1"/>
          <w:u w:val="single" w:color="auto"/>
          <w:color w:val="auto"/>
        </w:rPr>
        <w:t>Lennox</w:t>
      </w:r>
      <w:r>
        <w:rPr>
          <w:rFonts w:ascii="Arial" w:cs="Arial" w:eastAsia="Arial" w:hAnsi="Arial"/>
          <w:sz w:val="19"/>
          <w:szCs w:val="19"/>
          <w:color w:val="auto"/>
        </w:rPr>
        <w:t xml:space="preserve">”), as master servicer hereunder (in such capacity, together with any successor master servicer appointed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the “</w:t>
      </w:r>
      <w:r>
        <w:rPr>
          <w:rFonts w:ascii="Arial" w:cs="Arial" w:eastAsia="Arial" w:hAnsi="Arial"/>
          <w:sz w:val="19"/>
          <w:szCs w:val="19"/>
          <w:i w:val="1"/>
          <w:iCs w:val="1"/>
          <w:u w:val="single" w:color="auto"/>
          <w:color w:val="auto"/>
        </w:rPr>
        <w:t>Master Servicer</w:t>
      </w:r>
      <w:r>
        <w:rPr>
          <w:rFonts w:ascii="Arial" w:cs="Arial" w:eastAsia="Arial" w:hAnsi="Arial"/>
          <w:sz w:val="19"/>
          <w:szCs w:val="19"/>
          <w:color w:val="auto"/>
        </w:rPr>
        <w:t>”, Lennox in its capacity as the Master Servicer, together with the Seller, each a “</w:t>
      </w:r>
      <w:r>
        <w:rPr>
          <w:rFonts w:ascii="Arial" w:cs="Arial" w:eastAsia="Arial" w:hAnsi="Arial"/>
          <w:sz w:val="19"/>
          <w:szCs w:val="19"/>
          <w:i w:val="1"/>
          <w:iCs w:val="1"/>
          <w:u w:val="single" w:color="auto"/>
          <w:color w:val="auto"/>
        </w:rPr>
        <w:t>Seller Party</w:t>
      </w:r>
      <w:r>
        <w:rPr>
          <w:rFonts w:ascii="Arial" w:cs="Arial" w:eastAsia="Arial" w:hAnsi="Arial"/>
          <w:sz w:val="19"/>
          <w:szCs w:val="19"/>
          <w:color w:val="auto"/>
        </w:rPr>
        <w:t>” and collectively the “</w:t>
      </w:r>
      <w:r>
        <w:rPr>
          <w:rFonts w:ascii="Arial" w:cs="Arial" w:eastAsia="Arial" w:hAnsi="Arial"/>
          <w:sz w:val="19"/>
          <w:szCs w:val="19"/>
          <w:i w:val="1"/>
          <w:iCs w:val="1"/>
          <w:u w:val="single" w:color="auto"/>
          <w:color w:val="auto"/>
        </w:rPr>
        <w:t>Seller Parties</w:t>
      </w:r>
      <w:r>
        <w:rPr>
          <w:rFonts w:ascii="Arial" w:cs="Arial" w:eastAsia="Arial" w:hAnsi="Arial"/>
          <w:sz w:val="19"/>
          <w:szCs w:val="19"/>
          <w:color w:val="auto"/>
        </w:rPr>
        <w:t>”),</w:t>
      </w:r>
    </w:p>
    <w:p>
      <w:pPr>
        <w:sectPr>
          <w:pgSz w:w="11900" w:h="16838" w:orient="portrait"/>
          <w:cols w:equalWidth="0" w:num="1">
            <w:col w:w="11260"/>
          </w:cols>
          <w:pgMar w:left="240" w:top="103" w:right="399" w:bottom="0" w:gutter="0" w:footer="0" w:header="0"/>
        </w:sectPr>
      </w:pPr>
    </w:p>
    <w:bookmarkStart w:id="47" w:name="page48"/>
    <w:bookmarkEnd w:id="47"/>
    <w:p>
      <w:pPr>
        <w:ind w:right="60" w:firstLine="656"/>
        <w:spacing w:after="0" w:line="263" w:lineRule="auto"/>
        <w:tabs>
          <w:tab w:leader="none" w:pos="1112" w:val="left"/>
        </w:tabs>
        <w:numPr>
          <w:ilvl w:val="0"/>
          <w:numId w:val="11"/>
        </w:numPr>
        <w:rPr>
          <w:rFonts w:ascii="Arial" w:cs="Arial" w:eastAsia="Arial" w:hAnsi="Arial"/>
          <w:sz w:val="22"/>
          <w:szCs w:val="22"/>
          <w:color w:val="auto"/>
        </w:rPr>
      </w:pPr>
      <w:r>
        <w:rPr>
          <w:rFonts w:ascii="Arial" w:cs="Arial" w:eastAsia="Arial" w:hAnsi="Arial"/>
          <w:sz w:val="22"/>
          <w:szCs w:val="22"/>
          <w:color w:val="auto"/>
        </w:rPr>
        <w:t>VICTORY RECEIVABLES CORPORATION, a Delaware corporation, as a Purchaser (in such capacity, together with any successors and assigns thereto in such capacity, the “</w:t>
      </w:r>
      <w:r>
        <w:rPr>
          <w:rFonts w:ascii="Arial" w:cs="Arial" w:eastAsia="Arial" w:hAnsi="Arial"/>
          <w:sz w:val="22"/>
          <w:szCs w:val="22"/>
          <w:i w:val="1"/>
          <w:iCs w:val="1"/>
          <w:u w:val="single" w:color="auto"/>
          <w:color w:val="auto"/>
        </w:rPr>
        <w:t>BTMU Purchaser</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60" w:firstLine="656"/>
        <w:spacing w:after="0" w:line="250" w:lineRule="auto"/>
        <w:tabs>
          <w:tab w:leader="none" w:pos="1112"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BANK OF TOKYO-MITSUBISHI UFJ, LTD., (“</w:t>
      </w:r>
      <w:r>
        <w:rPr>
          <w:rFonts w:ascii="Arial" w:cs="Arial" w:eastAsia="Arial" w:hAnsi="Arial"/>
          <w:sz w:val="22"/>
          <w:szCs w:val="22"/>
          <w:i w:val="1"/>
          <w:iCs w:val="1"/>
          <w:u w:val="single" w:color="auto"/>
          <w:color w:val="auto"/>
        </w:rPr>
        <w:t>BTMU</w:t>
      </w:r>
      <w:r>
        <w:rPr>
          <w:rFonts w:ascii="Arial" w:cs="Arial" w:eastAsia="Arial" w:hAnsi="Arial"/>
          <w:sz w:val="22"/>
          <w:szCs w:val="22"/>
          <w:color w:val="auto"/>
        </w:rPr>
        <w:t>”), as (a) administrative agent for the Investors (in such capacity, together with any successors and assigns thereto in such capacity, the “</w:t>
      </w:r>
      <w:r>
        <w:rPr>
          <w:rFonts w:ascii="Arial" w:cs="Arial" w:eastAsia="Arial" w:hAnsi="Arial"/>
          <w:sz w:val="22"/>
          <w:szCs w:val="22"/>
          <w:i w:val="1"/>
          <w:iCs w:val="1"/>
          <w:u w:val="single" w:color="auto"/>
          <w:color w:val="auto"/>
        </w:rPr>
        <w:t>Administrative Agent</w:t>
      </w:r>
      <w:r>
        <w:rPr>
          <w:rFonts w:ascii="Arial" w:cs="Arial" w:eastAsia="Arial" w:hAnsi="Arial"/>
          <w:sz w:val="22"/>
          <w:szCs w:val="22"/>
          <w:color w:val="auto"/>
        </w:rPr>
        <w:t>”), (b) the purchaser agent for the BTMU Purchaser Group (in such capacity, together with any successors and assigns thereto in such capacity, the “</w:t>
      </w:r>
      <w:r>
        <w:rPr>
          <w:rFonts w:ascii="Arial" w:cs="Arial" w:eastAsia="Arial" w:hAnsi="Arial"/>
          <w:sz w:val="22"/>
          <w:szCs w:val="22"/>
          <w:i w:val="1"/>
          <w:iCs w:val="1"/>
          <w:u w:val="single" w:color="auto"/>
          <w:color w:val="auto"/>
        </w:rPr>
        <w:t>BTMU</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Purchaser Agent</w:t>
      </w:r>
      <w:r>
        <w:rPr>
          <w:rFonts w:ascii="Arial" w:cs="Arial" w:eastAsia="Arial" w:hAnsi="Arial"/>
          <w:sz w:val="22"/>
          <w:szCs w:val="22"/>
          <w:color w:val="auto"/>
        </w:rPr>
        <w:t>”) and (c) a BTMU Liquidity Bank, and</w:t>
      </w:r>
    </w:p>
    <w:p>
      <w:pPr>
        <w:spacing w:after="0" w:line="188" w:lineRule="exact"/>
        <w:rPr>
          <w:rFonts w:ascii="Arial" w:cs="Arial" w:eastAsia="Arial" w:hAnsi="Arial"/>
          <w:sz w:val="22"/>
          <w:szCs w:val="22"/>
          <w:color w:val="auto"/>
        </w:rPr>
      </w:pPr>
    </w:p>
    <w:p>
      <w:pPr>
        <w:ind w:right="180" w:firstLine="656"/>
        <w:spacing w:after="0" w:line="253" w:lineRule="auto"/>
        <w:tabs>
          <w:tab w:leader="none" w:pos="1112" w:val="left"/>
        </w:tabs>
        <w:numPr>
          <w:ilvl w:val="0"/>
          <w:numId w:val="11"/>
        </w:numPr>
        <w:rPr>
          <w:rFonts w:ascii="Arial" w:cs="Arial" w:eastAsia="Arial" w:hAnsi="Arial"/>
          <w:sz w:val="22"/>
          <w:szCs w:val="22"/>
          <w:color w:val="auto"/>
        </w:rPr>
      </w:pPr>
      <w:r>
        <w:rPr>
          <w:rFonts w:ascii="Arial" w:cs="Arial" w:eastAsia="Arial" w:hAnsi="Arial"/>
          <w:sz w:val="22"/>
          <w:szCs w:val="22"/>
          <w:color w:val="auto"/>
        </w:rPr>
        <w:t>WELLS FARGO BANK, NATIONAL ASSOCIATION (“</w:t>
      </w:r>
      <w:r>
        <w:rPr>
          <w:rFonts w:ascii="Arial" w:cs="Arial" w:eastAsia="Arial" w:hAnsi="Arial"/>
          <w:sz w:val="22"/>
          <w:szCs w:val="22"/>
          <w:i w:val="1"/>
          <w:iCs w:val="1"/>
          <w:u w:val="single" w:color="auto"/>
          <w:color w:val="auto"/>
        </w:rPr>
        <w:t>WFB</w:t>
      </w:r>
      <w:r>
        <w:rPr>
          <w:rFonts w:ascii="Arial" w:cs="Arial" w:eastAsia="Arial" w:hAnsi="Arial"/>
          <w:sz w:val="22"/>
          <w:szCs w:val="22"/>
          <w:color w:val="auto"/>
        </w:rPr>
        <w:t>”), as (a) the purchaser agent for the WFB Purchaser Group (in such capacity, together with any successors and assigns thereto in such capacity, the “</w:t>
      </w:r>
      <w:r>
        <w:rPr>
          <w:rFonts w:ascii="Arial" w:cs="Arial" w:eastAsia="Arial" w:hAnsi="Arial"/>
          <w:sz w:val="22"/>
          <w:szCs w:val="22"/>
          <w:i w:val="1"/>
          <w:iCs w:val="1"/>
          <w:u w:val="single" w:color="auto"/>
          <w:color w:val="auto"/>
        </w:rPr>
        <w:t>WFB Purchaser Agent</w:t>
      </w:r>
      <w:r>
        <w:rPr>
          <w:rFonts w:ascii="Arial" w:cs="Arial" w:eastAsia="Arial" w:hAnsi="Arial"/>
          <w:sz w:val="22"/>
          <w:szCs w:val="22"/>
          <w:color w:val="auto"/>
        </w:rPr>
        <w:t>”) and (b) a WFB Liquidity Bank.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Unless otherwise indicated, capitalized terms used in this Agreement are defined in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Background</w:t>
      </w:r>
    </w:p>
    <w:p>
      <w:pPr>
        <w:spacing w:after="0" w:line="220" w:lineRule="exact"/>
        <w:rPr>
          <w:sz w:val="20"/>
          <w:szCs w:val="20"/>
          <w:color w:val="auto"/>
        </w:rPr>
      </w:pPr>
    </w:p>
    <w:p>
      <w:pPr>
        <w:ind w:right="460" w:firstLine="656"/>
        <w:spacing w:after="0" w:line="263" w:lineRule="auto"/>
        <w:tabs>
          <w:tab w:leader="none" w:pos="1015"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 of the date hereof, Lennox, Allied, Heatcraft Inc. and Heatcraft own 100% of the issued and outstanding capital stock of the Seller, a special purpose corporation.</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Originators are engaged in the heating, ventilating, air conditioning and refrigeration businesses.</w:t>
      </w:r>
    </w:p>
    <w:p>
      <w:pPr>
        <w:spacing w:after="0" w:line="219" w:lineRule="exact"/>
        <w:rPr>
          <w:rFonts w:ascii="Arial" w:cs="Arial" w:eastAsia="Arial" w:hAnsi="Arial"/>
          <w:sz w:val="22"/>
          <w:szCs w:val="22"/>
          <w:color w:val="auto"/>
        </w:rPr>
      </w:pPr>
    </w:p>
    <w:p>
      <w:pPr>
        <w:ind w:firstLine="656"/>
        <w:spacing w:after="0" w:line="286" w:lineRule="auto"/>
        <w:tabs>
          <w:tab w:leader="none" w:pos="1026" w:val="left"/>
        </w:tabs>
        <w:numPr>
          <w:ilvl w:val="0"/>
          <w:numId w:val="12"/>
        </w:numPr>
        <w:rPr>
          <w:rFonts w:ascii="Arial" w:cs="Arial" w:eastAsia="Arial" w:hAnsi="Arial"/>
          <w:sz w:val="19"/>
          <w:szCs w:val="19"/>
          <w:color w:val="auto"/>
        </w:rPr>
      </w:pPr>
      <w:r>
        <w:rPr>
          <w:rFonts w:ascii="Arial" w:cs="Arial" w:eastAsia="Arial" w:hAnsi="Arial"/>
          <w:sz w:val="19"/>
          <w:szCs w:val="19"/>
          <w:color w:val="auto"/>
        </w:rPr>
        <w:t>On June 19, 2000, Lennox, Heatcraft Inc. and the Seller entered into a “Purchase and Sale Agreement” (as amended, modified or supplemented prior to the date of the A&amp;R Sale Agreement (as defined below), the “</w:t>
      </w:r>
      <w:r>
        <w:rPr>
          <w:rFonts w:ascii="Arial" w:cs="Arial" w:eastAsia="Arial" w:hAnsi="Arial"/>
          <w:sz w:val="19"/>
          <w:szCs w:val="19"/>
          <w:u w:val="single" w:color="auto"/>
          <w:color w:val="auto"/>
        </w:rPr>
        <w:t>Initial Sale Agreement</w:t>
      </w:r>
      <w:r>
        <w:rPr>
          <w:rFonts w:ascii="Arial" w:cs="Arial" w:eastAsia="Arial" w:hAnsi="Arial"/>
          <w:sz w:val="19"/>
          <w:szCs w:val="19"/>
          <w:color w:val="auto"/>
        </w:rPr>
        <w:t>”) under which Lennox and Heatcraft Inc. transferred certain Receivables and Related Rights (each as defined in the Initial Sale Agreement) to the Seller as part of the capitalization of the Seller and thereafter Lennox and Heatcraft Inc. sold and contributed to the Seller, and the Seller purchased and accepted as contributions from Lennox and Heatcraft Inc., Receivables and Related Rights (each as defined in the Initial Sale Agreement). On November 25, 2009, Lennox and the Seller agreed to amend and restate the Initial Sale Agreement pursuant to the “Amended and Restated Purchase and Sale Agreement” (as amended, modified or supplemented prior to the date hereof, the “</w:t>
      </w:r>
      <w:r>
        <w:rPr>
          <w:rFonts w:ascii="Arial" w:cs="Arial" w:eastAsia="Arial" w:hAnsi="Arial"/>
          <w:sz w:val="19"/>
          <w:szCs w:val="19"/>
          <w:u w:val="single" w:color="auto"/>
          <w:color w:val="auto"/>
        </w:rPr>
        <w:t>A&amp;R Sale Agreement</w:t>
      </w:r>
      <w:r>
        <w:rPr>
          <w:rFonts w:ascii="Arial" w:cs="Arial" w:eastAsia="Arial" w:hAnsi="Arial"/>
          <w:sz w:val="19"/>
          <w:szCs w:val="19"/>
          <w:color w:val="auto"/>
        </w:rPr>
        <w:t>”) under which Lennox continued to sell and contribute to the Seller, and the Seller continued to purchase and accept as contributions from Lennox, Receivables and Related Rights (each as defined in the A&amp;R Sale Agreement). Concurrently with the execution of this Agreement, Lennox, Allied, Heatcraft Refrigeration, Lennox Hearth and the Seller agreed to amend and restate the A&amp;R Sale Agreement pursuant to the Sale Agreement under which each of Lennox, Allied, Heatcraft Refrigeration and Lennox Hearth sell and contribute to the Seller, and the Seller purchases and accepts as contributions from Lennox, Allied, Heatcraft Refrigeration and Lennox Hearth, all of their respective right, title and interest in and to the Pool Receivables and certain related property in accordance with the terms and subject to the conditions set forth in the Sale Agreement. In March, 2012, Lennox Hearth was removed as an Originator.</w:t>
      </w:r>
    </w:p>
    <w:p>
      <w:pPr>
        <w:spacing w:after="0" w:line="159" w:lineRule="exact"/>
        <w:rPr>
          <w:rFonts w:ascii="Arial" w:cs="Arial" w:eastAsia="Arial" w:hAnsi="Arial"/>
          <w:sz w:val="19"/>
          <w:szCs w:val="19"/>
          <w:color w:val="auto"/>
        </w:rPr>
      </w:pPr>
    </w:p>
    <w:p>
      <w:pPr>
        <w:ind w:right="80" w:firstLine="656"/>
        <w:spacing w:after="0" w:line="246" w:lineRule="auto"/>
        <w:tabs>
          <w:tab w:leader="none" w:pos="1026" w:val="left"/>
        </w:tabs>
        <w:numPr>
          <w:ilvl w:val="0"/>
          <w:numId w:val="12"/>
        </w:numPr>
        <w:rPr>
          <w:rFonts w:ascii="Arial" w:cs="Arial" w:eastAsia="Arial" w:hAnsi="Arial"/>
          <w:sz w:val="22"/>
          <w:szCs w:val="22"/>
          <w:color w:val="auto"/>
        </w:rPr>
      </w:pPr>
      <w:r>
        <w:rPr>
          <w:rFonts w:ascii="Arial" w:cs="Arial" w:eastAsia="Arial" w:hAnsi="Arial"/>
          <w:sz w:val="22"/>
          <w:szCs w:val="22"/>
          <w:color w:val="auto"/>
        </w:rPr>
        <w:t>On November 25, 2009, the Seller, the Master Servicer, the BTMU Purchaser, the BTMU Purchaser Agent, the BTMU Liquidity Bank and the Administrative Agent entered into a Receivables Purchase Agreement (as amended, modified or supplemented prior to the date hereof, the “</w:t>
      </w:r>
      <w:r>
        <w:rPr>
          <w:rFonts w:ascii="Arial" w:cs="Arial" w:eastAsia="Arial" w:hAnsi="Arial"/>
          <w:sz w:val="22"/>
          <w:szCs w:val="22"/>
          <w:u w:val="single" w:color="auto"/>
          <w:color w:val="auto"/>
        </w:rPr>
        <w:t>Prior RPA</w:t>
      </w:r>
      <w:r>
        <w:rPr>
          <w:rFonts w:ascii="Arial" w:cs="Arial" w:eastAsia="Arial" w:hAnsi="Arial"/>
          <w:sz w:val="22"/>
          <w:szCs w:val="22"/>
          <w:color w:val="auto"/>
        </w:rPr>
        <w:t>”) under which the Seller has sold, and the Purchasers (as defined in the Prior RPA) (or to the extent any such Purchaser declines, each Liquidity Bank (as defined in the Prior RPA) in such Purchaser’s Purchaser Group (as defined in the Prior RPA)) has purchased, from time to time, undivided percentage ownership interests, referred to therein as the Asset Interest (as defined in the Prior RPA), in the Pool Receivables (as defined in the Prior RPA) and related property.</w:t>
      </w:r>
    </w:p>
    <w:p>
      <w:pPr>
        <w:spacing w:after="0" w:line="197" w:lineRule="exact"/>
        <w:rPr>
          <w:rFonts w:ascii="Arial" w:cs="Arial" w:eastAsia="Arial" w:hAnsi="Arial"/>
          <w:sz w:val="22"/>
          <w:szCs w:val="22"/>
          <w:color w:val="auto"/>
        </w:rPr>
      </w:pPr>
    </w:p>
    <w:p>
      <w:pPr>
        <w:ind w:right="460" w:firstLine="656"/>
        <w:spacing w:after="0" w:line="302" w:lineRule="auto"/>
        <w:tabs>
          <w:tab w:leader="none" w:pos="1023"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Seller has requested the Purchasers, and the Purchasers (or to the extent any Purchaser in a Purchaser Group declines or any Purchaser Group has no Purchasers, each Liquidity Bank in such Purchaser Group party hereto) have agreed, subject to the terms and conditions contained in this Agreement, to continue to purchase from the Seller from time to time undivided percentage ownership interests, referred to herein as the Asset Interest, in the Pool Receivables and related property.</w:t>
      </w:r>
    </w:p>
    <w:p>
      <w:pPr>
        <w:spacing w:after="0" w:line="142" w:lineRule="exact"/>
        <w:rPr>
          <w:rFonts w:ascii="Arial" w:cs="Arial" w:eastAsia="Arial" w:hAnsi="Arial"/>
          <w:sz w:val="19"/>
          <w:szCs w:val="19"/>
          <w:color w:val="auto"/>
        </w:rPr>
      </w:pPr>
    </w:p>
    <w:p>
      <w:pPr>
        <w:ind w:right="60" w:firstLine="656"/>
        <w:spacing w:after="0" w:line="253" w:lineRule="auto"/>
        <w:tabs>
          <w:tab w:leader="none" w:pos="10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Seller and the Investors also desire that, subject to the terms and conditions of this Agreement, certain of the daily Collections in respect of the Asset Interests be reinvested in Pool Receivables, which reinvestment shall constitute part of the Asset Interests.</w:t>
      </w:r>
    </w:p>
    <w:p>
      <w:pPr>
        <w:spacing w:after="0" w:line="185" w:lineRule="exact"/>
        <w:rPr>
          <w:rFonts w:ascii="Arial" w:cs="Arial" w:eastAsia="Arial" w:hAnsi="Arial"/>
          <w:sz w:val="22"/>
          <w:szCs w:val="22"/>
          <w:color w:val="auto"/>
        </w:rPr>
      </w:pPr>
    </w:p>
    <w:p>
      <w:pPr>
        <w:ind w:right="120" w:firstLine="656"/>
        <w:spacing w:after="0" w:line="263" w:lineRule="auto"/>
        <w:tabs>
          <w:tab w:leader="none" w:pos="1023"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parties to this Agreement also desire that, pursuant to the terms hereof, Lennox be appointed, and act, as the initial Master Servicer of the Pool Receivables and related property.</w:t>
      </w:r>
    </w:p>
    <w:p>
      <w:pPr>
        <w:spacing w:after="0" w:line="174" w:lineRule="exact"/>
        <w:rPr>
          <w:rFonts w:ascii="Arial" w:cs="Arial" w:eastAsia="Arial" w:hAnsi="Arial"/>
          <w:sz w:val="22"/>
          <w:szCs w:val="22"/>
          <w:color w:val="auto"/>
        </w:rPr>
      </w:pPr>
    </w:p>
    <w:p>
      <w:pPr>
        <w:ind w:right="40" w:firstLine="656"/>
        <w:spacing w:after="0" w:line="253" w:lineRule="auto"/>
        <w:tabs>
          <w:tab w:leader="none" w:pos="1026" w:val="left"/>
        </w:tabs>
        <w:numPr>
          <w:ilvl w:val="0"/>
          <w:numId w:val="12"/>
        </w:numPr>
        <w:rPr>
          <w:rFonts w:ascii="Arial" w:cs="Arial" w:eastAsia="Arial" w:hAnsi="Arial"/>
          <w:sz w:val="22"/>
          <w:szCs w:val="22"/>
          <w:color w:val="auto"/>
        </w:rPr>
      </w:pPr>
      <w:r>
        <w:rPr>
          <w:rFonts w:ascii="Arial" w:cs="Arial" w:eastAsia="Arial" w:hAnsi="Arial"/>
          <w:sz w:val="22"/>
          <w:szCs w:val="22"/>
          <w:color w:val="auto"/>
        </w:rPr>
        <w:t>BTMU has been requested, and is willing, to act as the Administrative Agent and the BTMU Purchaser Agent under this Agreement. On November 13, 2017 (the “</w:t>
      </w:r>
      <w:r>
        <w:rPr>
          <w:rFonts w:ascii="Arial" w:cs="Arial" w:eastAsia="Arial" w:hAnsi="Arial"/>
          <w:sz w:val="22"/>
          <w:szCs w:val="22"/>
          <w:i w:val="1"/>
          <w:iCs w:val="1"/>
          <w:u w:val="single" w:color="auto"/>
          <w:color w:val="auto"/>
        </w:rPr>
        <w:t>Sixth Amendment Date</w:t>
      </w:r>
      <w:r>
        <w:rPr>
          <w:rFonts w:ascii="Arial" w:cs="Arial" w:eastAsia="Arial" w:hAnsi="Arial"/>
          <w:sz w:val="22"/>
          <w:szCs w:val="22"/>
          <w:color w:val="auto"/>
        </w:rPr>
        <w:t>”), WFB has been requested, and is willing, to act as the WFB Purchaser Agent under this Agreement.</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parties hereto wish to amend and restate the Prior RPA in its entirety.</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agreements herein contained, the parties hereto hereby agree that the Prior RPA shall be amended and restated in its entirety as follows:</w:t>
      </w:r>
    </w:p>
    <w:p>
      <w:pPr>
        <w:sectPr>
          <w:pgSz w:w="11900" w:h="16838" w:orient="portrait"/>
          <w:cols w:equalWidth="0" w:num="1">
            <w:col w:w="11420"/>
          </w:cols>
          <w:pgMar w:left="240" w:top="132" w:right="239" w:bottom="0" w:gutter="0" w:footer="0" w:header="0"/>
        </w:sectPr>
      </w:pPr>
    </w:p>
    <w:bookmarkStart w:id="48" w:name="page49"/>
    <w:bookmarkEnd w:id="48"/>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w:t>
      </w:r>
    </w:p>
    <w:p>
      <w:pPr>
        <w:spacing w:after="0" w:line="274" w:lineRule="exact"/>
        <w:rPr>
          <w:sz w:val="20"/>
          <w:szCs w:val="20"/>
          <w:color w:val="auto"/>
        </w:rPr>
      </w:pPr>
    </w:p>
    <w:p>
      <w:pPr>
        <w:ind w:left="4440"/>
        <w:spacing w:after="0"/>
        <w:rPr>
          <w:sz w:val="20"/>
          <w:szCs w:val="20"/>
          <w:color w:val="auto"/>
        </w:rPr>
      </w:pPr>
      <w:r>
        <w:rPr>
          <w:rFonts w:ascii="Arial" w:cs="Arial" w:eastAsia="Arial" w:hAnsi="Arial"/>
          <w:sz w:val="22"/>
          <w:szCs w:val="22"/>
          <w:u w:val="single" w:color="auto"/>
          <w:color w:val="auto"/>
        </w:rPr>
        <w:t>Purchases and Reinvestments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color w:val="auto"/>
        </w:rPr>
        <w:t>Commitments to Purchase; Limits on Purchasers’ Obligations</w:t>
      </w:r>
      <w:r>
        <w:rPr>
          <w:rFonts w:ascii="Arial" w:cs="Arial" w:eastAsia="Arial" w:hAnsi="Arial"/>
          <w:sz w:val="19"/>
          <w:szCs w:val="19"/>
          <w:b w:val="1"/>
          <w:bCs w:val="1"/>
          <w:color w:val="auto"/>
        </w:rPr>
        <w:t>.</w:t>
      </w:r>
    </w:p>
    <w:p>
      <w:pPr>
        <w:spacing w:after="0" w:line="239"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Upon the terms and subject to the conditions of this Agreement (including, without limitation, </w:t>
      </w:r>
      <w:r>
        <w:rPr>
          <w:rFonts w:ascii="Arial" w:cs="Arial" w:eastAsia="Arial" w:hAnsi="Arial"/>
          <w:sz w:val="19"/>
          <w:szCs w:val="19"/>
          <w:u w:val="single" w:color="auto"/>
          <w:color w:val="auto"/>
        </w:rPr>
        <w:t>Article V</w:t>
      </w:r>
      <w:r>
        <w:rPr>
          <w:rFonts w:ascii="Arial" w:cs="Arial" w:eastAsia="Arial" w:hAnsi="Arial"/>
          <w:sz w:val="19"/>
          <w:szCs w:val="19"/>
          <w:color w:val="auto"/>
        </w:rPr>
        <w:t>), from time to time prior to the Termination Date, the Seller may request that the Investors purchase from the Seller undivided percentage ownership interests in Pool Receivables and Related Assets, and (a) the Purchasers may, in their sole discretion, make such purchase, or (b) if</w:t>
      </w:r>
    </w:p>
    <w:p>
      <w:pPr>
        <w:spacing w:after="0" w:line="1" w:lineRule="exact"/>
        <w:rPr>
          <w:sz w:val="20"/>
          <w:szCs w:val="20"/>
          <w:color w:val="auto"/>
        </w:rPr>
      </w:pPr>
    </w:p>
    <w:p>
      <w:pPr>
        <w:ind w:right="60" w:firstLine="8"/>
        <w:spacing w:after="0" w:line="284" w:lineRule="auto"/>
        <w:tabs>
          <w:tab w:leader="none" w:pos="3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Purchaser in a Purchaser Group shall decline to make such Purchase or (y) any Purchaser Group has no Purchasers, one or more Liquidity Banks party to this Agreement in such Purchaser Group shall make such purchase (in any such case, each being a “</w:t>
      </w:r>
      <w:r>
        <w:rPr>
          <w:rFonts w:ascii="Arial" w:cs="Arial" w:eastAsia="Arial" w:hAnsi="Arial"/>
          <w:sz w:val="19"/>
          <w:szCs w:val="19"/>
          <w:i w:val="1"/>
          <w:iCs w:val="1"/>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Purchase shall be made by any Investor if, after giving effect thereto (and after giving effect to any reductions in the Invested Amount or any Purchaser Group Invested Amount to be made on the date of such Purchase (whether from the distributions of Collections or otherwise)), (i) the Invested Amount would exceed the Purchase Limit in effect at such time, (ii) the Purchaser Group Invested Amount of such Investor’s Purchaser Group would exceed such Purchaser Group’s Purchaser Group Limit in effect at such time or (iii) the Asset Interest would exceed 100% (the “</w:t>
      </w:r>
      <w:r>
        <w:rPr>
          <w:rFonts w:ascii="Arial" w:cs="Arial" w:eastAsia="Arial" w:hAnsi="Arial"/>
          <w:sz w:val="19"/>
          <w:szCs w:val="19"/>
          <w:i w:val="1"/>
          <w:iCs w:val="1"/>
          <w:u w:val="single" w:color="auto"/>
          <w:color w:val="auto"/>
        </w:rPr>
        <w:t>Allocation Limit</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each Purchase made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have a purchase price equal to at least $1,000,000 and shall be an integral multiple of $100,000. Notwithstanding anything to the contrary herein, the amount available for any Purchase hereunder shall be calculated based on the most recently delivered Information Package and not based on the most recently delivered Interim Information Package;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Purchases shall be permitted hereunder if the calculations in any Interim Information Package delivered after the most recently delivered Information Package show that (either before or after giving effect to such Purchase) (i) the Invested Amount would exceed the Purchase Limit in effect at such time, (ii) the Purchaser Group Invested Amount of any Purchaser Group would exceed the Purchaser Group Limit of such Purchaser Group in effect at such time, or (iii) the Asset Interest would exceed the Allocation Limit.</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color w:val="auto"/>
        </w:rPr>
        <w:t>Purchase Procedures; Assignment of the Investors’ Interests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288" w:lineRule="auto"/>
        <w:tabs>
          <w:tab w:leader="none" w:pos="106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Purchase Request</w:t>
      </w:r>
      <w:r>
        <w:rPr>
          <w:rFonts w:ascii="Arial" w:cs="Arial" w:eastAsia="Arial" w:hAnsi="Arial"/>
          <w:sz w:val="19"/>
          <w:szCs w:val="19"/>
          <w:color w:val="auto"/>
        </w:rPr>
        <w:t xml:space="preserve">. Each Purchase from the Seller by the Purchasers or the Liquidity Banks, as applicable, shall be made on notice from the Seller to the Administrative Agent and each Purchaser Agent (on behalf of the Investors in such Purchaser Agent’s Purchaser Group) received by the Administrative Agent and each such Purchaser Agent not later than 12:00 noon (New York City time) on the second Business Day preceding the date of such proposed Purchase. Each such notice of a proposed Purchase shall be substantially in the form of </w:t>
      </w:r>
      <w:r>
        <w:rPr>
          <w:rFonts w:ascii="Arial" w:cs="Arial" w:eastAsia="Arial" w:hAnsi="Arial"/>
          <w:sz w:val="19"/>
          <w:szCs w:val="19"/>
          <w:u w:val="single" w:color="auto"/>
          <w:color w:val="auto"/>
        </w:rPr>
        <w:t>Exhibit 1.2(a)</w:t>
      </w:r>
      <w:r>
        <w:rPr>
          <w:rFonts w:ascii="Arial" w:cs="Arial" w:eastAsia="Arial" w:hAnsi="Arial"/>
          <w:sz w:val="19"/>
          <w:szCs w:val="19"/>
          <w:color w:val="auto"/>
        </w:rPr>
        <w:t xml:space="preserve"> and shall specify, among other items, the desired amount to be paid to the Seller and the date of such Purchase. The Administrative Agent shall promptly forward such notice, together with the Administrative Agent’s determination of the Pro Rata Share of such desired purchase amount for each Purchaser Group, to each Purchaser Agent (on behalf of the Investors in such Purchaser Agent’s Purchaser Group) by telecopier or e-mail. Each Purchaser Agent which has a Purchaser in its Purchaser Group shall promptly upon receipt notify such Purchaser of any such notice. If (x) any Purchaser in a Purchaser Group has determined not to make the proposed purchase or (y) any Purchaser Group has no Purchaser, the Purchaser Agent of such Purchaser Group shall promptly send notice of the proposed purchase to each Liquidity Bank in such Purchaser Group by telecopier or e-mail specifying the date of such proposed purchase, and such Liquidity Bank’s Percentage multiplied by the Pro Rata Share with respect to such Purchaser Group of the amount of such Purchase. The Seller shall not request more than one Purchase in any calendar week.</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60" w:firstLine="656"/>
        <w:spacing w:after="0" w:line="262" w:lineRule="auto"/>
        <w:tabs>
          <w:tab w:leader="none" w:pos="108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Funding of Purchase</w:t>
      </w:r>
      <w:r>
        <w:rPr>
          <w:rFonts w:ascii="Arial" w:cs="Arial" w:eastAsia="Arial" w:hAnsi="Arial"/>
          <w:sz w:val="21"/>
          <w:szCs w:val="21"/>
          <w:color w:val="auto"/>
        </w:rPr>
        <w:t xml:space="preserve">. On the date of each Purchase, the Investors in each Purchaser Group shall, upon satisfaction of the applicable conditions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make available to the Seller (through the Purchaser Agent of such Investors’ Purchaser Group) its applicable Pro Rata Share of the amount of the Purchase in same day funds by wire transfer to the Seller’s Account. Each Liquidity Bank’s obligation shall be several, such that the failure of any Liquidity Bank to make available to the Seller any funds in connection with any purchase shall not relieve any other Liquidity Bank of its obligation, if any, hereunder to make funds available on the date of such purchase, but no Liquidity Bank shall be responsible for the failure of any other Liquidity Bank to make funds available in connection with any purchase.</w:t>
      </w:r>
    </w:p>
    <w:p>
      <w:pPr>
        <w:spacing w:after="0" w:line="180" w:lineRule="exact"/>
        <w:rPr>
          <w:rFonts w:ascii="Arial" w:cs="Arial" w:eastAsia="Arial" w:hAnsi="Arial"/>
          <w:sz w:val="21"/>
          <w:szCs w:val="21"/>
          <w:color w:val="auto"/>
        </w:rPr>
      </w:pPr>
    </w:p>
    <w:p>
      <w:pPr>
        <w:ind w:firstLine="656"/>
        <w:spacing w:after="0" w:line="270" w:lineRule="auto"/>
        <w:tabs>
          <w:tab w:leader="none" w:pos="1068"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Assignment of Asset Interests</w:t>
      </w:r>
      <w:r>
        <w:rPr>
          <w:rFonts w:ascii="Arial" w:cs="Arial" w:eastAsia="Arial" w:hAnsi="Arial"/>
          <w:sz w:val="21"/>
          <w:szCs w:val="21"/>
          <w:color w:val="auto"/>
        </w:rPr>
        <w:t>. The Seller hereby sells, assigns and transfers to the Administrative Agent, for the benefit of the applicable Investors in each Purchaser Group making each Purchase, effective on and as of the date of such Purchase and each Reinvestment hereunder, an undivided percentage ownership interest, to the extent of the portion of the Asset Interest then being purchased, in the Pool Receivables and the Related Assets with respect thereto.</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color w:val="auto"/>
        </w:rPr>
        <w:t>Reinvestments of Certain Collections; Payment of Remaining Collections</w:t>
      </w:r>
      <w:r>
        <w:rPr>
          <w:rFonts w:ascii="Arial" w:cs="Arial" w:eastAsia="Arial" w:hAnsi="Arial"/>
          <w:sz w:val="19"/>
          <w:szCs w:val="19"/>
          <w:b w:val="1"/>
          <w:bCs w:val="1"/>
          <w:color w:val="auto"/>
        </w:rPr>
        <w:t>.</w:t>
      </w:r>
    </w:p>
    <w:p>
      <w:pPr>
        <w:spacing w:after="0" w:line="239" w:lineRule="exact"/>
        <w:rPr>
          <w:sz w:val="20"/>
          <w:szCs w:val="20"/>
          <w:color w:val="auto"/>
        </w:rPr>
      </w:pPr>
    </w:p>
    <w:p>
      <w:pPr>
        <w:ind w:right="80" w:firstLine="656"/>
        <w:spacing w:after="0" w:line="276" w:lineRule="auto"/>
        <w:tabs>
          <w:tab w:leader="none" w:pos="10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On the close of business on each day during the period from the date of the first Purchase to the Final Payout Date, the Master Servicer will, out of all Collections received on such day:</w:t>
      </w:r>
    </w:p>
    <w:p>
      <w:pPr>
        <w:spacing w:after="0" w:line="160" w:lineRule="exact"/>
        <w:rPr>
          <w:rFonts w:ascii="Arial" w:cs="Arial" w:eastAsia="Arial" w:hAnsi="Arial"/>
          <w:sz w:val="22"/>
          <w:szCs w:val="22"/>
          <w:color w:val="auto"/>
        </w:rPr>
      </w:pPr>
    </w:p>
    <w:p>
      <w:pPr>
        <w:ind w:left="660" w:right="60" w:firstLine="645"/>
        <w:spacing w:after="0" w:line="276" w:lineRule="auto"/>
        <w:tabs>
          <w:tab w:leader="none" w:pos="1692" w:val="left"/>
        </w:tabs>
        <w:numPr>
          <w:ilvl w:val="1"/>
          <w:numId w:val="15"/>
        </w:numPr>
        <w:rPr>
          <w:rFonts w:ascii="Arial" w:cs="Arial" w:eastAsia="Arial" w:hAnsi="Arial"/>
          <w:sz w:val="22"/>
          <w:szCs w:val="22"/>
          <w:color w:val="auto"/>
        </w:rPr>
      </w:pPr>
      <w:r>
        <w:rPr>
          <w:rFonts w:ascii="Arial" w:cs="Arial" w:eastAsia="Arial" w:hAnsi="Arial"/>
          <w:sz w:val="22"/>
          <w:szCs w:val="22"/>
          <w:color w:val="auto"/>
        </w:rPr>
        <w:t>determine the portion of the Collections attributable to the Asset Interest by multiplying (A) the amount of such Collections times (B) the lesser of (i) the Asset Interest and (ii) 100%;</w:t>
      </w:r>
    </w:p>
    <w:p>
      <w:pPr>
        <w:spacing w:after="0" w:line="160" w:lineRule="exact"/>
        <w:rPr>
          <w:rFonts w:ascii="Arial" w:cs="Arial" w:eastAsia="Arial" w:hAnsi="Arial"/>
          <w:sz w:val="22"/>
          <w:szCs w:val="22"/>
          <w:color w:val="auto"/>
        </w:rPr>
      </w:pPr>
    </w:p>
    <w:p>
      <w:pPr>
        <w:ind w:left="660" w:right="220" w:firstLine="645"/>
        <w:spacing w:after="0" w:line="358" w:lineRule="auto"/>
        <w:tabs>
          <w:tab w:leader="none" w:pos="1752"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out of the portion of such Collections allocated to the Asset Interest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identify and hold in trust for the Purchaser Agents on behalf and for the benefit of their respective Purchaser Groups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ectPr>
          <w:pgSz w:w="11900" w:h="16866" w:orient="portrait"/>
          <w:cols w:equalWidth="0" w:num="1">
            <w:col w:w="11400"/>
          </w:cols>
          <w:pgMar w:left="240" w:top="132" w:right="259" w:bottom="0" w:gutter="0" w:footer="0" w:header="0"/>
        </w:sectPr>
      </w:pPr>
    </w:p>
    <w:bookmarkStart w:id="49" w:name="page50"/>
    <w:bookmarkEnd w:id="49"/>
    <w:p>
      <w:pPr>
        <w:ind w:left="660"/>
        <w:spacing w:after="0" w:line="247" w:lineRule="auto"/>
        <w:rPr>
          <w:sz w:val="20"/>
          <w:szCs w:val="20"/>
          <w:color w:val="auto"/>
        </w:rPr>
      </w:pPr>
      <w:r>
        <w:rPr>
          <w:rFonts w:ascii="Arial" w:cs="Arial" w:eastAsia="Arial" w:hAnsi="Arial"/>
          <w:sz w:val="22"/>
          <w:szCs w:val="22"/>
          <w:color w:val="auto"/>
        </w:rPr>
        <w:t xml:space="preserve">unless otherwise requested by any Purchaser Agent, on behalf of such Purchaser Agent’s Purchaser Group, such Collections shall not be required to be held in a separate account) an amount equal to the sum of the estimated amount of Earned Discount and CP Costs accrued in respect of each Asset Tranche (based on the rate information provided by each Agent pursuant to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all other amounts due to the Investors or the Agents hereunder and the Investors’ Share of the Servicing Fee allocable pursuant to </w:t>
      </w:r>
      <w:r>
        <w:rPr>
          <w:rFonts w:ascii="Arial" w:cs="Arial" w:eastAsia="Arial" w:hAnsi="Arial"/>
          <w:sz w:val="22"/>
          <w:szCs w:val="22"/>
          <w:u w:val="single" w:color="auto"/>
          <w:color w:val="auto"/>
        </w:rPr>
        <w:t>Section 3.1(d)</w:t>
      </w:r>
      <w:r>
        <w:rPr>
          <w:rFonts w:ascii="Arial" w:cs="Arial" w:eastAsia="Arial" w:hAnsi="Arial"/>
          <w:sz w:val="22"/>
          <w:szCs w:val="22"/>
          <w:color w:val="auto"/>
        </w:rPr>
        <w:t xml:space="preserve"> (in each case, accrued through such day) and not so previously identified; and</w:t>
      </w:r>
    </w:p>
    <w:p>
      <w:pPr>
        <w:spacing w:after="0" w:line="194" w:lineRule="exact"/>
        <w:rPr>
          <w:sz w:val="20"/>
          <w:szCs w:val="20"/>
          <w:color w:val="auto"/>
        </w:rPr>
      </w:pPr>
    </w:p>
    <w:p>
      <w:pPr>
        <w:ind w:left="660" w:right="160" w:firstLine="645"/>
        <w:spacing w:after="0" w:line="254" w:lineRule="auto"/>
        <w:tabs>
          <w:tab w:leader="none" w:pos="18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apply the Collections allocated to the Asset Interest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and not required to be identified and held in trust pursuant to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 to the purchase from the Seller of undivided percentage ownership interests in Pool Receivables and the Related Assets with respect to such Pool Receivables (each such purchase being a “</w:t>
      </w:r>
      <w:r>
        <w:rPr>
          <w:rFonts w:ascii="Arial" w:cs="Arial" w:eastAsia="Arial" w:hAnsi="Arial"/>
          <w:sz w:val="22"/>
          <w:szCs w:val="22"/>
          <w:i w:val="1"/>
          <w:iCs w:val="1"/>
          <w:u w:val="single" w:color="auto"/>
          <w:color w:val="auto"/>
        </w:rPr>
        <w:t>Reinvestment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rFonts w:ascii="Arial" w:cs="Arial" w:eastAsia="Arial" w:hAnsi="Arial"/>
          <w:sz w:val="22"/>
          <w:szCs w:val="22"/>
          <w:color w:val="auto"/>
        </w:rPr>
      </w:pPr>
    </w:p>
    <w:p>
      <w:pPr>
        <w:ind w:left="2440" w:hanging="487"/>
        <w:spacing w:after="0"/>
        <w:tabs>
          <w:tab w:leader="none" w:pos="2440" w:val="left"/>
        </w:tabs>
        <w:numPr>
          <w:ilvl w:val="1"/>
          <w:numId w:val="16"/>
        </w:numPr>
        <w:rPr>
          <w:rFonts w:ascii="Arial" w:cs="Arial" w:eastAsia="Arial" w:hAnsi="Arial"/>
          <w:sz w:val="19"/>
          <w:szCs w:val="19"/>
          <w:color w:val="auto"/>
        </w:rPr>
      </w:pPr>
      <w:r>
        <w:rPr>
          <w:rFonts w:ascii="Arial" w:cs="Arial" w:eastAsia="Arial" w:hAnsi="Arial"/>
          <w:sz w:val="19"/>
          <w:szCs w:val="19"/>
          <w:color w:val="auto"/>
        </w:rPr>
        <w:t>if, after giving effect to such Reinvestment, (i) the Asset Interest would exceed the Allocation Limit,</w:t>
      </w:r>
    </w:p>
    <w:p>
      <w:pPr>
        <w:spacing w:after="0" w:line="56" w:lineRule="exact"/>
        <w:rPr>
          <w:rFonts w:ascii="Arial" w:cs="Arial" w:eastAsia="Arial" w:hAnsi="Arial"/>
          <w:sz w:val="19"/>
          <w:szCs w:val="19"/>
          <w:color w:val="auto"/>
        </w:rPr>
      </w:pPr>
    </w:p>
    <w:p>
      <w:pPr>
        <w:ind w:left="1300" w:right="80" w:firstLine="5"/>
        <w:spacing w:after="0" w:line="291" w:lineRule="auto"/>
        <w:tabs>
          <w:tab w:leader="none" w:pos="1618"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Purchaser Group Invested Amount of any Purchaser Group would exceed such Purchaser Group’s Purchaser Group Limit in effect at such time or (iii) the Invested Amount would exceed the Purchase Limit in effect at such time, then the Master Servicer shall not make such Reinvestment, but shall identify and hold in trust for the benefit of the Investors, a portion of such Collections which, together with other Collections previously identified and then so held, shall equal the amount necessary to reduce (x) the Invested Amount to the Purchase Limit in effect at such time, (y) any Purchaser Group’s Purchaser Group Invested Amount to such Purchaser Group’s Purchaser Group Limit in effect at such time and (z) the Asset Interest to the Allocation Limit; and</w:t>
      </w:r>
    </w:p>
    <w:p>
      <w:pPr>
        <w:spacing w:after="0" w:line="153" w:lineRule="exact"/>
        <w:rPr>
          <w:rFonts w:ascii="Arial" w:cs="Arial" w:eastAsia="Arial" w:hAnsi="Arial"/>
          <w:sz w:val="19"/>
          <w:szCs w:val="19"/>
          <w:color w:val="auto"/>
        </w:rPr>
      </w:pPr>
    </w:p>
    <w:p>
      <w:pPr>
        <w:ind w:left="1300" w:right="20" w:firstLine="653"/>
        <w:spacing w:after="0" w:line="260" w:lineRule="auto"/>
        <w:tabs>
          <w:tab w:leader="none" w:pos="2416"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if any of the conditions precedent to Reinvestment in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subject to the proviso set forth in </w:t>
      </w:r>
      <w:r>
        <w:rPr>
          <w:rFonts w:ascii="Arial" w:cs="Arial" w:eastAsia="Arial" w:hAnsi="Arial"/>
          <w:sz w:val="22"/>
          <w:szCs w:val="22"/>
          <w:u w:val="single" w:color="auto"/>
          <w:color w:val="auto"/>
        </w:rPr>
        <w:t>Section 5.2</w:t>
      </w:r>
      <w:r>
        <w:rPr>
          <w:rFonts w:ascii="Arial" w:cs="Arial" w:eastAsia="Arial" w:hAnsi="Arial"/>
          <w:sz w:val="22"/>
          <w:szCs w:val="22"/>
          <w:color w:val="auto"/>
        </w:rPr>
        <w:t>, are not satisfied, then the Master Servicer shall not reinvest any of such remaining Collections, but shall identify them and hold them in trust for the benefit of the Investors; and</w:t>
      </w:r>
    </w:p>
    <w:p>
      <w:pPr>
        <w:spacing w:after="0" w:line="177" w:lineRule="exact"/>
        <w:rPr>
          <w:rFonts w:ascii="Arial" w:cs="Arial" w:eastAsia="Arial" w:hAnsi="Arial"/>
          <w:sz w:val="22"/>
          <w:szCs w:val="22"/>
          <w:color w:val="auto"/>
        </w:rPr>
      </w:pPr>
    </w:p>
    <w:p>
      <w:pPr>
        <w:ind w:left="1300" w:right="200" w:firstLine="653"/>
        <w:spacing w:after="0" w:line="260" w:lineRule="auto"/>
        <w:tabs>
          <w:tab w:leader="none" w:pos="2416"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if the Seller has commenced an optional reduction in the Invested Amount pursuant to </w:t>
      </w:r>
      <w:r>
        <w:rPr>
          <w:rFonts w:ascii="Arial" w:cs="Arial" w:eastAsia="Arial" w:hAnsi="Arial"/>
          <w:sz w:val="22"/>
          <w:szCs w:val="22"/>
          <w:u w:val="single" w:color="auto"/>
          <w:color w:val="auto"/>
        </w:rPr>
        <w:t>Section 3.2(b)</w:t>
      </w:r>
      <w:r>
        <w:rPr>
          <w:rFonts w:ascii="Arial" w:cs="Arial" w:eastAsia="Arial" w:hAnsi="Arial"/>
          <w:sz w:val="22"/>
          <w:szCs w:val="22"/>
          <w:color w:val="auto"/>
        </w:rPr>
        <w:t>, then the Master Servicer shall not reinvest any such remaining Collections until the amount not reinvested shall equal the desired reduction amount;</w:t>
      </w:r>
    </w:p>
    <w:p>
      <w:pPr>
        <w:spacing w:after="0" w:line="177" w:lineRule="exact"/>
        <w:rPr>
          <w:rFonts w:ascii="Arial" w:cs="Arial" w:eastAsia="Arial" w:hAnsi="Arial"/>
          <w:sz w:val="22"/>
          <w:szCs w:val="22"/>
          <w:color w:val="auto"/>
        </w:rPr>
      </w:pPr>
    </w:p>
    <w:p>
      <w:pPr>
        <w:ind w:left="660" w:right="260" w:firstLine="645"/>
        <w:spacing w:after="0" w:line="260" w:lineRule="auto"/>
        <w:tabs>
          <w:tab w:leader="none" w:pos="1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out of the portion of Collections not allocated to the Asset Interest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pay to the Master Servicer or set aside (at the option of the Master Servicer) the Seller’s Share of the Servicing Fee accrued through such day and not previously paid; and</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pay to the Seller (A) the remaining portion of Collections not allocated to the Asset Interest pursuant to</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and (B) the Collections applied to Reinvestment pursuant to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above.</w:t>
      </w:r>
    </w:p>
    <w:p>
      <w:pPr>
        <w:spacing w:after="0" w:line="215" w:lineRule="exact"/>
        <w:rPr>
          <w:sz w:val="20"/>
          <w:szCs w:val="20"/>
          <w:color w:val="auto"/>
        </w:rPr>
      </w:pPr>
    </w:p>
    <w:p>
      <w:pPr>
        <w:ind w:firstLine="656"/>
        <w:spacing w:after="0" w:line="288" w:lineRule="auto"/>
        <w:tabs>
          <w:tab w:leader="none" w:pos="108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Unreinvested Collections</w:t>
      </w:r>
      <w:r>
        <w:rPr>
          <w:rFonts w:ascii="Arial" w:cs="Arial" w:eastAsia="Arial" w:hAnsi="Arial"/>
          <w:sz w:val="19"/>
          <w:szCs w:val="19"/>
          <w:color w:val="auto"/>
        </w:rPr>
        <w:t xml:space="preserve">. The Master Servicer shall identify and hold in trust for the benefit of the Investors, all Collections which,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may not be reinvested in the Pool Receivables and the Related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requested by any Agent, such Collections need not be held in a segregated account. If, prior to the date when such Collections are required to be paid to any Purchaser Agent pursuant to </w:t>
      </w:r>
      <w:r>
        <w:rPr>
          <w:rFonts w:ascii="Arial" w:cs="Arial" w:eastAsia="Arial" w:hAnsi="Arial"/>
          <w:sz w:val="19"/>
          <w:szCs w:val="19"/>
          <w:u w:val="single" w:color="auto"/>
          <w:color w:val="auto"/>
        </w:rPr>
        <w:t>Section 1.3(c)(iv)</w:t>
      </w:r>
      <w:r>
        <w:rPr>
          <w:rFonts w:ascii="Arial" w:cs="Arial" w:eastAsia="Arial" w:hAnsi="Arial"/>
          <w:sz w:val="19"/>
          <w:szCs w:val="19"/>
          <w:color w:val="auto"/>
        </w:rPr>
        <w:t>, the amount of Collections so identified exceeds the amount, if any, necessary to reduce (i) the Invested Amount to the Purchase Limit in effect at such time,</w:t>
      </w:r>
    </w:p>
    <w:p>
      <w:pPr>
        <w:spacing w:after="0" w:line="3" w:lineRule="exact"/>
        <w:rPr>
          <w:rFonts w:ascii="Arial" w:cs="Arial" w:eastAsia="Arial" w:hAnsi="Arial"/>
          <w:sz w:val="19"/>
          <w:szCs w:val="19"/>
          <w:color w:val="auto"/>
        </w:rPr>
      </w:pPr>
    </w:p>
    <w:p>
      <w:pPr>
        <w:ind w:firstLine="8"/>
        <w:spacing w:after="0" w:line="281" w:lineRule="auto"/>
        <w:tabs>
          <w:tab w:leader="none" w:pos="318"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Purchaser Group Invested Amount of each Purchaser Group to the Purchaser Group Limit of such Purchaser Group in effect at such time and (iii) the Asset Interest to the Allocation Limit, and the conditions precedent to Reinvestment set forth in</w:t>
      </w:r>
    </w:p>
    <w:p>
      <w:pPr>
        <w:spacing w:after="0" w:line="1" w:lineRule="exact"/>
        <w:rPr>
          <w:rFonts w:ascii="Arial" w:cs="Arial" w:eastAsia="Arial" w:hAnsi="Arial"/>
          <w:sz w:val="19"/>
          <w:szCs w:val="19"/>
          <w:color w:val="auto"/>
        </w:rPr>
      </w:pPr>
    </w:p>
    <w:p>
      <w:pPr>
        <w:ind w:right="40"/>
        <w:spacing w:after="0" w:line="270" w:lineRule="auto"/>
        <w:rPr>
          <w:rFonts w:ascii="Arial" w:cs="Arial" w:eastAsia="Arial" w:hAnsi="Arial"/>
          <w:sz w:val="19"/>
          <w:szCs w:val="19"/>
          <w:color w:val="auto"/>
        </w:rPr>
      </w:pP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subject to the proviso set forth in </w:t>
      </w:r>
      <w:r>
        <w:rPr>
          <w:rFonts w:ascii="Arial" w:cs="Arial" w:eastAsia="Arial" w:hAnsi="Arial"/>
          <w:sz w:val="21"/>
          <w:szCs w:val="21"/>
          <w:u w:val="single" w:color="auto"/>
          <w:color w:val="auto"/>
        </w:rPr>
        <w:t>Section 5.2</w:t>
      </w:r>
      <w:r>
        <w:rPr>
          <w:rFonts w:ascii="Arial" w:cs="Arial" w:eastAsia="Arial" w:hAnsi="Arial"/>
          <w:sz w:val="21"/>
          <w:szCs w:val="21"/>
          <w:color w:val="auto"/>
        </w:rPr>
        <w:t>, are satisfied, then the Master Servicer shall apply such Collections (or, if less, a portion of such Collections equal to the amount of such excess) to the making of a Reinvestment.</w:t>
      </w:r>
    </w:p>
    <w:p>
      <w:pPr>
        <w:spacing w:after="0" w:line="168" w:lineRule="exact"/>
        <w:rPr>
          <w:rFonts w:ascii="Arial" w:cs="Arial" w:eastAsia="Arial" w:hAnsi="Arial"/>
          <w:sz w:val="19"/>
          <w:szCs w:val="19"/>
          <w:color w:val="auto"/>
        </w:rPr>
      </w:pPr>
    </w:p>
    <w:p>
      <w:pPr>
        <w:ind w:left="1080" w:hanging="424"/>
        <w:spacing w:after="0"/>
        <w:tabs>
          <w:tab w:leader="none" w:pos="108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Payment of Amounts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0" w:firstLine="645"/>
        <w:spacing w:after="0" w:line="250" w:lineRule="auto"/>
        <w:tabs>
          <w:tab w:leader="none" w:pos="1692" w:val="left"/>
        </w:tabs>
        <w:numPr>
          <w:ilvl w:val="2"/>
          <w:numId w:val="20"/>
        </w:numPr>
        <w:rPr>
          <w:rFonts w:ascii="Arial" w:cs="Arial" w:eastAsia="Arial" w:hAnsi="Arial"/>
          <w:sz w:val="22"/>
          <w:szCs w:val="22"/>
          <w:color w:val="auto"/>
        </w:rPr>
      </w:pPr>
      <w:r>
        <w:rPr>
          <w:rFonts w:ascii="Arial" w:cs="Arial" w:eastAsia="Arial" w:hAnsi="Arial"/>
          <w:sz w:val="22"/>
          <w:szCs w:val="22"/>
          <w:color w:val="auto"/>
        </w:rPr>
        <w:t xml:space="preserve">The Master Servicer shall pay all amounts of Collections identified pursuant to </w:t>
      </w:r>
      <w:r>
        <w:rPr>
          <w:rFonts w:ascii="Arial" w:cs="Arial" w:eastAsia="Arial" w:hAnsi="Arial"/>
          <w:sz w:val="22"/>
          <w:szCs w:val="22"/>
          <w:u w:val="single" w:color="auto"/>
          <w:color w:val="auto"/>
        </w:rPr>
        <w:t>Section 1.3(a)(ii)</w:t>
      </w:r>
      <w:r>
        <w:rPr>
          <w:rFonts w:ascii="Arial" w:cs="Arial" w:eastAsia="Arial" w:hAnsi="Arial"/>
          <w:sz w:val="22"/>
          <w:szCs w:val="22"/>
          <w:color w:val="auto"/>
        </w:rPr>
        <w:t xml:space="preserve"> in respect of Earned Discount on an Asset Tranche funded by a Liquidity Funding to the Purchaser Agent of each applicable Purchaser Group, on behalf of each Investor which funded such Liquidity Funding, on (x) other than with respect to the WFB Purchaser Group, the last day of the then current Yield Period for such Asset Tranche and (y) with respect to the WFB Purchaser Group, on the Settlement Date following the last day of each Yield Period for such Asset Tranche, in each case, as provided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660" w:right="80" w:firstLine="645"/>
        <w:spacing w:after="0" w:line="307" w:lineRule="auto"/>
        <w:tabs>
          <w:tab w:leader="none" w:pos="1752" w:val="left"/>
        </w:tabs>
        <w:numPr>
          <w:ilvl w:val="2"/>
          <w:numId w:val="20"/>
        </w:numPr>
        <w:rPr>
          <w:rFonts w:ascii="Arial" w:cs="Arial" w:eastAsia="Arial" w:hAnsi="Arial"/>
          <w:sz w:val="19"/>
          <w:szCs w:val="19"/>
          <w:color w:val="auto"/>
        </w:rPr>
      </w:pPr>
      <w:r>
        <w:rPr>
          <w:rFonts w:ascii="Arial" w:cs="Arial" w:eastAsia="Arial" w:hAnsi="Arial"/>
          <w:sz w:val="19"/>
          <w:szCs w:val="19"/>
          <w:color w:val="auto"/>
        </w:rPr>
        <w:t xml:space="preserve">The Master Servicer shall pay all amounts of Collections identified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in respect of CP Costs on an Asset Tranche funded by Commercial Paper Notes, to the Purchaser Agent of each applicable Purchaser Group, on behalf of the applicable Purchaser in such Purchaser Agent’s Purchaser Group, on the Settlement Date following the last day of each CP Accrual Period for such Asset Tranche, as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right="60" w:firstLine="645"/>
        <w:spacing w:after="0" w:line="260" w:lineRule="auto"/>
        <w:tabs>
          <w:tab w:leader="none" w:pos="1812" w:val="left"/>
        </w:tabs>
        <w:numPr>
          <w:ilvl w:val="2"/>
          <w:numId w:val="20"/>
        </w:numPr>
        <w:rPr>
          <w:rFonts w:ascii="Arial" w:cs="Arial" w:eastAsia="Arial" w:hAnsi="Arial"/>
          <w:sz w:val="22"/>
          <w:szCs w:val="22"/>
          <w:color w:val="auto"/>
        </w:rPr>
      </w:pPr>
      <w:r>
        <w:rPr>
          <w:rFonts w:ascii="Arial" w:cs="Arial" w:eastAsia="Arial" w:hAnsi="Arial"/>
          <w:sz w:val="22"/>
          <w:szCs w:val="22"/>
          <w:color w:val="auto"/>
        </w:rPr>
        <w:t xml:space="preserve">The Master Servicer shall pay all amounts of Collections identified pursuant to </w:t>
      </w:r>
      <w:r>
        <w:rPr>
          <w:rFonts w:ascii="Arial" w:cs="Arial" w:eastAsia="Arial" w:hAnsi="Arial"/>
          <w:sz w:val="22"/>
          <w:szCs w:val="22"/>
          <w:u w:val="single" w:color="auto"/>
          <w:color w:val="auto"/>
        </w:rPr>
        <w:t>Section 1.3(a)(ii)</w:t>
      </w:r>
      <w:r>
        <w:rPr>
          <w:rFonts w:ascii="Arial" w:cs="Arial" w:eastAsia="Arial" w:hAnsi="Arial"/>
          <w:sz w:val="22"/>
          <w:szCs w:val="22"/>
          <w:color w:val="auto"/>
        </w:rPr>
        <w:t xml:space="preserve"> and not applied pursuant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to each Purchaser Agent, on behalf of such Purchaser Agent’s Purchaser Group, on each Settlement Date for each Collection Period, as provided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ectPr>
          <w:pgSz w:w="11900" w:h="16838" w:orient="portrait"/>
          <w:cols w:equalWidth="0" w:num="1">
            <w:col w:w="11400"/>
          </w:cols>
          <w:pgMar w:left="240" w:top="132" w:right="259" w:bottom="234" w:gutter="0" w:footer="0" w:header="0"/>
        </w:sectPr>
      </w:pPr>
    </w:p>
    <w:bookmarkStart w:id="50" w:name="page51"/>
    <w:bookmarkEnd w:id="50"/>
    <w:p>
      <w:pPr>
        <w:ind w:left="660" w:firstLine="645"/>
        <w:spacing w:after="0" w:line="262" w:lineRule="auto"/>
        <w:tabs>
          <w:tab w:leader="none" w:pos="1800" w:val="left"/>
        </w:tabs>
        <w:numPr>
          <w:ilvl w:val="1"/>
          <w:numId w:val="21"/>
        </w:numPr>
        <w:rPr>
          <w:rFonts w:ascii="Arial" w:cs="Arial" w:eastAsia="Arial" w:hAnsi="Arial"/>
          <w:sz w:val="21"/>
          <w:szCs w:val="21"/>
          <w:color w:val="auto"/>
        </w:rPr>
      </w:pPr>
      <w:r>
        <w:rPr>
          <w:rFonts w:ascii="Arial" w:cs="Arial" w:eastAsia="Arial" w:hAnsi="Arial"/>
          <w:sz w:val="21"/>
          <w:szCs w:val="21"/>
          <w:color w:val="auto"/>
        </w:rPr>
        <w:t xml:space="preserve">The Master Servicer shall pay all amounts of Collections identified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to the Administrative Agent, for prompt distribution to each Purchaser Agent, (A) on the last day of the then current Yield Period for any Asset Tranche of such Purchaser Agent’s Purchaser Group funded by a Liquidity Funding, as provided in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in an amount not exceeding such Purchaser Group’s Tranche Investment of such Asset Tranche, and (B) on the last day of the then current CP Accrual Period for any Asset Tranche of such Purchaser Agent’s Purchaser Group funded by Commercial Paper Notes, as provided in </w:t>
      </w:r>
      <w:r>
        <w:rPr>
          <w:rFonts w:ascii="Arial" w:cs="Arial" w:eastAsia="Arial" w:hAnsi="Arial"/>
          <w:sz w:val="21"/>
          <w:szCs w:val="21"/>
          <w:u w:val="single" w:color="auto"/>
          <w:color w:val="auto"/>
        </w:rPr>
        <w:t>Section 3.1(b)</w:t>
      </w:r>
      <w:r>
        <w:rPr>
          <w:rFonts w:ascii="Arial" w:cs="Arial" w:eastAsia="Arial" w:hAnsi="Arial"/>
          <w:sz w:val="21"/>
          <w:szCs w:val="21"/>
          <w:color w:val="auto"/>
        </w:rPr>
        <w:t>, in an amount not exceeding such Purchaser Group’s Tranche Investment of such Asset Tranche.</w:t>
      </w:r>
    </w:p>
    <w:p>
      <w:pPr>
        <w:spacing w:after="0" w:line="180" w:lineRule="exact"/>
        <w:rPr>
          <w:rFonts w:ascii="Arial" w:cs="Arial" w:eastAsia="Arial" w:hAnsi="Arial"/>
          <w:sz w:val="21"/>
          <w:szCs w:val="21"/>
          <w:color w:val="auto"/>
        </w:rPr>
      </w:pPr>
    </w:p>
    <w:p>
      <w:pPr>
        <w:ind w:right="60" w:firstLine="656"/>
        <w:spacing w:after="0" w:line="287" w:lineRule="auto"/>
        <w:tabs>
          <w:tab w:leader="none" w:pos="108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Funds Under Sale Agreement</w:t>
      </w:r>
      <w:r>
        <w:rPr>
          <w:rFonts w:ascii="Arial" w:cs="Arial" w:eastAsia="Arial" w:hAnsi="Arial"/>
          <w:sz w:val="19"/>
          <w:szCs w:val="19"/>
          <w:color w:val="auto"/>
        </w:rPr>
        <w:t xml:space="preserve">. Upon the written request of the Administrative Agent, at the request of any Purchaser Agent, given at any time when (i) based on the most recent Information Package, or Interim Information Package, as the case may be, either (A) the Asset Interest would exceed the Allocation Limit, (B) any Purchaser Group’s Purchaser Group Invested Amount would exceed such Purchaser Group’s Purchaser Group Limit in effect at such time or, (C) the Invested Amount would exceed the Purchase Limit in effect at such time, or (ii) a Liquidation Event or Unmatured Liquidation Event shall have occurred and be continuing, the Seller shall identify all funds that under the Sale Agreement would be applied to repay principal of the Initial Seller Notes (as defined in the Sale Agreement) owing to the Originators. The Seller may make withdrawals of such funds only for the purposes of (x) at any time, purchasing Receivables from an Originator in accordance with the Sale Agreement; (y) on the Settlement Date for any Collection Period, making payments in accordance with the last sentence of </w:t>
      </w:r>
      <w:r>
        <w:rPr>
          <w:rFonts w:ascii="Arial" w:cs="Arial" w:eastAsia="Arial" w:hAnsi="Arial"/>
          <w:sz w:val="19"/>
          <w:szCs w:val="19"/>
          <w:u w:val="single" w:color="auto"/>
          <w:color w:val="auto"/>
        </w:rPr>
        <w:t>Section 3.1(c)(ii)</w:t>
      </w:r>
      <w:r>
        <w:rPr>
          <w:rFonts w:ascii="Arial" w:cs="Arial" w:eastAsia="Arial" w:hAnsi="Arial"/>
          <w:sz w:val="19"/>
          <w:szCs w:val="19"/>
          <w:color w:val="auto"/>
        </w:rPr>
        <w:t xml:space="preserve">, and (z) on the Settlement Date for any Collection Period, if, on the basis of the most recent Information Package or Interim Information Package, as the case may be, and after giving effect to any payment made to the Master Servicer on such date pursuant to the last sentence of </w:t>
      </w:r>
      <w:r>
        <w:rPr>
          <w:rFonts w:ascii="Arial" w:cs="Arial" w:eastAsia="Arial" w:hAnsi="Arial"/>
          <w:sz w:val="19"/>
          <w:szCs w:val="19"/>
          <w:u w:val="single" w:color="auto"/>
          <w:color w:val="auto"/>
        </w:rPr>
        <w:t>Section 3.1(c)(ii)</w:t>
      </w:r>
      <w:r>
        <w:rPr>
          <w:rFonts w:ascii="Arial" w:cs="Arial" w:eastAsia="Arial" w:hAnsi="Arial"/>
          <w:sz w:val="19"/>
          <w:szCs w:val="19"/>
          <w:color w:val="auto"/>
        </w:rPr>
        <w:t xml:space="preserve">, (I) the Invested Amount does not exceed the Purchase Limit in effect at such time, (II) no Purchaser Group Invested Amount exceeds the related Purchaser Group Limit in effect at such time and (III) the Asset Interest does not exceed the Allocation Limit,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Liquidation Event or Unmatured Liquidation Event shall have occurred and be continuing, repaying principal of the Initial Seller Notes in accordance with this Agreement and the Sale Agreement.</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color w:val="auto"/>
        </w:rPr>
        <w:t>Asset Interest</w:t>
      </w:r>
      <w:r>
        <w:rPr>
          <w:rFonts w:ascii="Arial" w:cs="Arial" w:eastAsia="Arial" w:hAnsi="Arial"/>
          <w:sz w:val="19"/>
          <w:szCs w:val="19"/>
          <w:b w:val="1"/>
          <w:bCs w:val="1"/>
          <w:color w:val="auto"/>
        </w:rPr>
        <w:t>.</w:t>
      </w:r>
    </w:p>
    <w:p>
      <w:pPr>
        <w:spacing w:after="0" w:line="239" w:lineRule="exact"/>
        <w:rPr>
          <w:sz w:val="20"/>
          <w:szCs w:val="20"/>
          <w:color w:val="auto"/>
        </w:rPr>
      </w:pPr>
    </w:p>
    <w:p>
      <w:pPr>
        <w:ind w:right="80" w:firstLine="656"/>
        <w:spacing w:after="0" w:line="260" w:lineRule="auto"/>
        <w:tabs>
          <w:tab w:leader="none" w:pos="106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Components of Asset Interest</w:t>
      </w:r>
      <w:r>
        <w:rPr>
          <w:rFonts w:ascii="Arial" w:cs="Arial" w:eastAsia="Arial" w:hAnsi="Arial"/>
          <w:sz w:val="22"/>
          <w:szCs w:val="22"/>
          <w:color w:val="auto"/>
        </w:rPr>
        <w:t>. On any date the Asset Interest will represent the Investors’ undivided percentage ownership interest in all then outstanding Pool Receivables and all Related Assets with respect to such Pool Receivables as at such date.</w:t>
      </w:r>
    </w:p>
    <w:p>
      <w:pPr>
        <w:spacing w:after="0" w:line="177" w:lineRule="exact"/>
        <w:rPr>
          <w:rFonts w:ascii="Arial" w:cs="Arial" w:eastAsia="Arial" w:hAnsi="Arial"/>
          <w:sz w:val="22"/>
          <w:szCs w:val="22"/>
          <w:color w:val="auto"/>
        </w:rPr>
      </w:pPr>
    </w:p>
    <w:p>
      <w:pPr>
        <w:ind w:right="740" w:firstLine="656"/>
        <w:spacing w:after="0" w:line="276" w:lineRule="auto"/>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Computation of Asset Interest</w:t>
      </w:r>
      <w:r>
        <w:rPr>
          <w:rFonts w:ascii="Arial" w:cs="Arial" w:eastAsia="Arial" w:hAnsi="Arial"/>
          <w:sz w:val="22"/>
          <w:szCs w:val="22"/>
          <w:color w:val="auto"/>
        </w:rPr>
        <w:t>. On any date, the Asset Interest will be equal to the percentage equivalent of the following fraction: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900" w:type="dxa"/>
            <w:vAlign w:val="bottom"/>
            <w:gridSpan w:val="2"/>
          </w:tcPr>
          <w:p>
            <w:pPr>
              <w:jc w:val="center"/>
              <w:ind w:right="1260"/>
              <w:spacing w:after="0"/>
              <w:rPr>
                <w:sz w:val="20"/>
                <w:szCs w:val="20"/>
                <w:color w:val="auto"/>
              </w:rPr>
            </w:pPr>
            <w:r>
              <w:rPr>
                <w:rFonts w:ascii="Arial" w:cs="Arial" w:eastAsia="Arial" w:hAnsi="Arial"/>
                <w:sz w:val="22"/>
                <w:szCs w:val="22"/>
                <w:color w:val="auto"/>
                <w:w w:val="97"/>
              </w:rPr>
              <w:t>IA+RR</w:t>
            </w:r>
          </w:p>
        </w:tc>
        <w:tc>
          <w:tcPr>
            <w:tcW w:w="0" w:type="dxa"/>
            <w:vAlign w:val="bottom"/>
          </w:tcPr>
          <w:p>
            <w:pPr>
              <w:spacing w:after="0"/>
              <w:rPr>
                <w:sz w:val="1"/>
                <w:szCs w:val="1"/>
                <w:color w:val="auto"/>
              </w:rPr>
            </w:pPr>
          </w:p>
        </w:tc>
      </w:tr>
      <w:tr>
        <w:trPr>
          <w:trHeight w:val="287"/>
        </w:trPr>
        <w:tc>
          <w:tcPr>
            <w:tcW w:w="1740" w:type="dxa"/>
            <w:vAlign w:val="bottom"/>
            <w:vMerge w:val="restart"/>
          </w:tcPr>
          <w:p>
            <w:pPr>
              <w:spacing w:after="0"/>
              <w:rPr>
                <w:sz w:val="20"/>
                <w:szCs w:val="20"/>
                <w:color w:val="auto"/>
              </w:rPr>
            </w:pPr>
            <w:r>
              <w:rPr>
                <w:rFonts w:ascii="Arial" w:cs="Arial" w:eastAsia="Arial" w:hAnsi="Arial"/>
                <w:sz w:val="22"/>
                <w:szCs w:val="22"/>
                <w:color w:val="auto"/>
              </w:rPr>
              <w:t>where:</w:t>
            </w: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2"/>
              </w:rPr>
              <w:t>NPB</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300"/>
              <w:spacing w:after="0"/>
              <w:rPr>
                <w:sz w:val="20"/>
                <w:szCs w:val="20"/>
                <w:color w:val="auto"/>
              </w:rPr>
            </w:pPr>
            <w:r>
              <w:rPr>
                <w:rFonts w:ascii="Arial" w:cs="Arial" w:eastAsia="Arial" w:hAnsi="Arial"/>
                <w:sz w:val="22"/>
                <w:szCs w:val="22"/>
                <w:color w:val="auto"/>
              </w:rPr>
              <w:t>IA</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77"/>
              </w:rPr>
              <w:t>=</w:t>
            </w:r>
          </w:p>
        </w:tc>
        <w:tc>
          <w:tcPr>
            <w:tcW w:w="5200" w:type="dxa"/>
            <w:vAlign w:val="bottom"/>
            <w:gridSpan w:val="3"/>
          </w:tcPr>
          <w:p>
            <w:pPr>
              <w:ind w:left="20"/>
              <w:spacing w:after="0"/>
              <w:rPr>
                <w:sz w:val="20"/>
                <w:szCs w:val="20"/>
                <w:color w:val="auto"/>
              </w:rPr>
            </w:pPr>
            <w:r>
              <w:rPr>
                <w:rFonts w:ascii="Arial" w:cs="Arial" w:eastAsia="Arial" w:hAnsi="Arial"/>
                <w:sz w:val="22"/>
                <w:szCs w:val="22"/>
                <w:color w:val="auto"/>
                <w:w w:val="97"/>
              </w:rPr>
              <w:t>the Invested Amount on the date of such computation;</w:t>
            </w:r>
          </w:p>
        </w:tc>
        <w:tc>
          <w:tcPr>
            <w:tcW w:w="0" w:type="dxa"/>
            <w:vAlign w:val="bottom"/>
          </w:tcPr>
          <w:p>
            <w:pPr>
              <w:spacing w:after="0"/>
              <w:rPr>
                <w:sz w:val="1"/>
                <w:szCs w:val="1"/>
                <w:color w:val="auto"/>
              </w:rPr>
            </w:pPr>
          </w:p>
        </w:tc>
      </w:tr>
      <w:tr>
        <w:trPr>
          <w:trHeight w:val="473"/>
        </w:trPr>
        <w:tc>
          <w:tcPr>
            <w:tcW w:w="1740" w:type="dxa"/>
            <w:vAlign w:val="bottom"/>
          </w:tcPr>
          <w:p>
            <w:pPr>
              <w:ind w:left="1300"/>
              <w:spacing w:after="0"/>
              <w:rPr>
                <w:sz w:val="20"/>
                <w:szCs w:val="20"/>
                <w:color w:val="auto"/>
              </w:rPr>
            </w:pPr>
            <w:r>
              <w:rPr>
                <w:rFonts w:ascii="Arial" w:cs="Arial" w:eastAsia="Arial" w:hAnsi="Arial"/>
                <w:sz w:val="22"/>
                <w:szCs w:val="22"/>
                <w:color w:val="auto"/>
              </w:rPr>
              <w:t>RR</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5200" w:type="dxa"/>
            <w:vAlign w:val="bottom"/>
            <w:gridSpan w:val="3"/>
          </w:tcPr>
          <w:p>
            <w:pPr>
              <w:ind w:left="80"/>
              <w:spacing w:after="0"/>
              <w:rPr>
                <w:sz w:val="20"/>
                <w:szCs w:val="20"/>
                <w:color w:val="auto"/>
              </w:rPr>
            </w:pPr>
            <w:r>
              <w:rPr>
                <w:rFonts w:ascii="Arial" w:cs="Arial" w:eastAsia="Arial" w:hAnsi="Arial"/>
                <w:sz w:val="22"/>
                <w:szCs w:val="22"/>
                <w:color w:val="auto"/>
                <w:w w:val="87"/>
              </w:rPr>
              <w:t>the Required Reserve on the date of such computation; and</w:t>
            </w:r>
          </w:p>
        </w:tc>
        <w:tc>
          <w:tcPr>
            <w:tcW w:w="0" w:type="dxa"/>
            <w:vAlign w:val="bottom"/>
          </w:tcPr>
          <w:p>
            <w:pPr>
              <w:spacing w:after="0"/>
              <w:rPr>
                <w:sz w:val="1"/>
                <w:szCs w:val="1"/>
                <w:color w:val="auto"/>
              </w:rPr>
            </w:pPr>
          </w:p>
        </w:tc>
      </w:tr>
      <w:tr>
        <w:trPr>
          <w:trHeight w:val="473"/>
        </w:trPr>
        <w:tc>
          <w:tcPr>
            <w:tcW w:w="1740" w:type="dxa"/>
            <w:vAlign w:val="bottom"/>
          </w:tcPr>
          <w:p>
            <w:pPr>
              <w:ind w:left="1300"/>
              <w:spacing w:after="0"/>
              <w:rPr>
                <w:sz w:val="20"/>
                <w:szCs w:val="20"/>
                <w:color w:val="auto"/>
              </w:rPr>
            </w:pPr>
            <w:r>
              <w:rPr>
                <w:rFonts w:ascii="Arial" w:cs="Arial" w:eastAsia="Arial" w:hAnsi="Arial"/>
                <w:sz w:val="22"/>
                <w:szCs w:val="22"/>
                <w:color w:val="auto"/>
                <w:w w:val="92"/>
              </w:rPr>
              <w:t>NPB</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5200" w:type="dxa"/>
            <w:vAlign w:val="bottom"/>
            <w:gridSpan w:val="3"/>
          </w:tcPr>
          <w:p>
            <w:pPr>
              <w:ind w:left="220"/>
              <w:spacing w:after="0"/>
              <w:rPr>
                <w:sz w:val="20"/>
                <w:szCs w:val="20"/>
                <w:color w:val="auto"/>
              </w:rPr>
            </w:pPr>
            <w:r>
              <w:rPr>
                <w:rFonts w:ascii="Arial" w:cs="Arial" w:eastAsia="Arial" w:hAnsi="Arial"/>
                <w:sz w:val="22"/>
                <w:szCs w:val="22"/>
                <w:color w:val="auto"/>
                <w:w w:val="93"/>
              </w:rPr>
              <w:t>the Net Pool Balance on the date of such computation;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Asset Interest during the Liquidation Period shall equal 100%.</w:t>
      </w:r>
    </w:p>
    <w:p>
      <w:pPr>
        <w:spacing w:after="0" w:line="220" w:lineRule="exact"/>
        <w:rPr>
          <w:sz w:val="20"/>
          <w:szCs w:val="20"/>
          <w:color w:val="auto"/>
        </w:rPr>
      </w:pPr>
    </w:p>
    <w:p>
      <w:pPr>
        <w:ind w:right="20" w:firstLine="656"/>
        <w:spacing w:after="0" w:line="261" w:lineRule="auto"/>
        <w:tabs>
          <w:tab w:leader="none" w:pos="106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Frequency of Computation</w:t>
      </w:r>
      <w:r>
        <w:rPr>
          <w:rFonts w:ascii="Arial" w:cs="Arial" w:eastAsia="Arial" w:hAnsi="Arial"/>
          <w:sz w:val="21"/>
          <w:szCs w:val="21"/>
          <w:color w:val="auto"/>
        </w:rPr>
        <w:t xml:space="preserve">. The Asset Interest shall be computed (i) as provided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as of the Cut-Off Date for each Collection Period, and (ii) on the Settlement Date following each Reporting Date, after giving effect to the payments made pursuant to </w:t>
      </w:r>
      <w:r>
        <w:rPr>
          <w:rFonts w:ascii="Arial" w:cs="Arial" w:eastAsia="Arial" w:hAnsi="Arial"/>
          <w:sz w:val="21"/>
          <w:szCs w:val="21"/>
          <w:u w:val="single" w:color="auto"/>
          <w:color w:val="auto"/>
        </w:rPr>
        <w:t>Section 3.1</w:t>
      </w:r>
      <w:r>
        <w:rPr>
          <w:rFonts w:ascii="Arial" w:cs="Arial" w:eastAsia="Arial" w:hAnsi="Arial"/>
          <w:sz w:val="21"/>
          <w:szCs w:val="21"/>
          <w:color w:val="auto"/>
        </w:rPr>
        <w:t>. In addition, at any time, the Administrative Agent, at the request of any Purchaser Agent, may require the Master Servicer to provide an interim report (an “</w:t>
      </w:r>
      <w:r>
        <w:rPr>
          <w:rFonts w:ascii="Arial" w:cs="Arial" w:eastAsia="Arial" w:hAnsi="Arial"/>
          <w:sz w:val="21"/>
          <w:szCs w:val="21"/>
          <w:i w:val="1"/>
          <w:iCs w:val="1"/>
          <w:u w:val="single" w:color="auto"/>
          <w:color w:val="auto"/>
        </w:rPr>
        <w:t>Interim Information Package</w:t>
      </w:r>
      <w:r>
        <w:rPr>
          <w:rFonts w:ascii="Arial" w:cs="Arial" w:eastAsia="Arial" w:hAnsi="Arial"/>
          <w:sz w:val="21"/>
          <w:szCs w:val="21"/>
          <w:color w:val="auto"/>
        </w:rPr>
        <w:t>”), based on the information then available to the Master Servicer, for purposes of computing the Asset Interest, any Purchaser Group Invested Amount or the Invested Amount as of any other date, and the Master Servicer agrees to do so within five (5) (or three (3), if a Liquidation Event, Unmatured Liquidation Event or a Credit Event has occurred and is continuing) Business Days of its receipt of the Administrative Agent’s request (such date, the “</w:t>
      </w:r>
      <w:r>
        <w:rPr>
          <w:rFonts w:ascii="Arial" w:cs="Arial" w:eastAsia="Arial" w:hAnsi="Arial"/>
          <w:sz w:val="21"/>
          <w:szCs w:val="21"/>
          <w:i w:val="1"/>
          <w:iCs w:val="1"/>
          <w:u w:val="single" w:color="auto"/>
          <w:color w:val="auto"/>
        </w:rPr>
        <w:t>Interim Reporting Date</w:t>
      </w:r>
      <w:r>
        <w:rPr>
          <w:rFonts w:ascii="Arial" w:cs="Arial" w:eastAsia="Arial" w:hAnsi="Arial"/>
          <w:sz w:val="21"/>
          <w:szCs w:val="21"/>
          <w:color w:val="auto"/>
        </w:rPr>
        <w: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Computational Rules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color w:val="auto"/>
        </w:rPr>
        <w:t>Selection, Dividing or Combining of Asset Tranches</w:t>
      </w:r>
      <w:r>
        <w:rPr>
          <w:rFonts w:ascii="Arial" w:cs="Arial" w:eastAsia="Arial" w:hAnsi="Arial"/>
          <w:sz w:val="19"/>
          <w:szCs w:val="19"/>
          <w:b w:val="1"/>
          <w:bCs w:val="1"/>
          <w:color w:val="auto"/>
        </w:rPr>
        <w:t>.</w:t>
      </w:r>
    </w:p>
    <w:p>
      <w:pPr>
        <w:spacing w:after="0" w:line="239" w:lineRule="exact"/>
        <w:rPr>
          <w:sz w:val="20"/>
          <w:szCs w:val="20"/>
          <w:color w:val="auto"/>
        </w:rPr>
      </w:pPr>
    </w:p>
    <w:p>
      <w:pPr>
        <w:ind w:right="240" w:firstLine="648"/>
        <w:spacing w:after="0" w:line="294" w:lineRule="auto"/>
        <w:rPr>
          <w:sz w:val="20"/>
          <w:szCs w:val="20"/>
          <w:color w:val="auto"/>
        </w:rPr>
      </w:pPr>
      <w:r>
        <w:rPr>
          <w:rFonts w:ascii="Arial" w:cs="Arial" w:eastAsia="Arial" w:hAnsi="Arial"/>
          <w:sz w:val="19"/>
          <w:szCs w:val="19"/>
          <w:color w:val="auto"/>
        </w:rPr>
        <w:t>Each Purchaser Agent shall, from time to time for purposes of computing Earned Discount on that portion of the Asset Interest funded with Liquidity Fundings made by such Purchaser Agent’s Purchaser Group, divide any Asset Interest into Asset Tranches or combine two or more Asset Tranches into one Asset Tranche. The applicable Earned Discount Rate may be different for each Asset Tranche funded by a Liquidity Funding. The Purchaser Group Invested Amount of such Purchaser Agent’s Purchaser Group shall be allocated to each Asset Tranche by such Purchaser Agent, on behalf of the Investors in such Purchaser Agent’s Purchaser Group, to reflect the funding sources for the Asset Interest, so that:</w:t>
      </w:r>
    </w:p>
    <w:p>
      <w:pPr>
        <w:sectPr>
          <w:pgSz w:w="11900" w:h="16838" w:orient="portrait"/>
          <w:cols w:equalWidth="0" w:num="1">
            <w:col w:w="11400"/>
          </w:cols>
          <w:pgMar w:left="240" w:top="132" w:right="259" w:bottom="0" w:gutter="0" w:footer="0" w:header="0"/>
        </w:sectPr>
      </w:pPr>
    </w:p>
    <w:bookmarkStart w:id="51" w:name="page52"/>
    <w:bookmarkEnd w:id="51"/>
    <w:p>
      <w:pPr>
        <w:ind w:right="260" w:firstLine="656"/>
        <w:spacing w:after="0" w:line="278" w:lineRule="auto"/>
        <w:tabs>
          <w:tab w:leader="none" w:pos="1068"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there will be a single Asset Tranche equal to the excess of the applicable Purchaser Group Invested Amount over the aggregate amount allocated at such time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below, which Asset Tranche shall reflect the portion of the Asset Interest funded by Commercial Paper Notes of the Purchasers in such Purchaser Group, if any; and</w:t>
      </w:r>
    </w:p>
    <w:p>
      <w:pPr>
        <w:spacing w:after="0" w:line="160" w:lineRule="exact"/>
        <w:rPr>
          <w:rFonts w:ascii="Arial" w:cs="Arial" w:eastAsia="Arial" w:hAnsi="Arial"/>
          <w:sz w:val="21"/>
          <w:szCs w:val="21"/>
          <w:color w:val="auto"/>
        </w:rPr>
      </w:pPr>
    </w:p>
    <w:p>
      <w:pPr>
        <w:ind w:right="140" w:firstLine="656"/>
        <w:spacing w:after="0" w:line="260" w:lineRule="auto"/>
        <w:tabs>
          <w:tab w:leader="none" w:pos="10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there may be one or more Asset Tranches, selected by such Purchaser Agent, on behalf of the Liquidity Banks in such Purchaser Agent’s Purchaser Group, reflecting the portion or portions of the Asset Interest funded by outstanding Liquidity Fundings of such Purchaser Group.</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color w:val="auto"/>
        </w:rPr>
        <w:t>Computation of Invested Amount and Purchaser Group’s Tranche Investment</w:t>
      </w:r>
      <w:r>
        <w:rPr>
          <w:rFonts w:ascii="Arial" w:cs="Arial" w:eastAsia="Arial" w:hAnsi="Arial"/>
          <w:sz w:val="19"/>
          <w:szCs w:val="19"/>
          <w:b w:val="1"/>
          <w:bCs w:val="1"/>
          <w:color w:val="auto"/>
        </w:rPr>
        <w:t>.</w:t>
      </w:r>
    </w:p>
    <w:p>
      <w:pPr>
        <w:spacing w:after="0" w:line="23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making any determination of the Invested Amount, any Purchaser Group Invested Amount and any Purchaser Group’s Tranche Investment, the following rules shall apply:</w:t>
      </w:r>
    </w:p>
    <w:p>
      <w:pPr>
        <w:spacing w:after="0" w:line="175" w:lineRule="exact"/>
        <w:rPr>
          <w:sz w:val="20"/>
          <w:szCs w:val="20"/>
          <w:color w:val="auto"/>
        </w:rPr>
      </w:pPr>
    </w:p>
    <w:p>
      <w:pPr>
        <w:ind w:right="100" w:firstLine="656"/>
        <w:spacing w:after="0" w:line="320" w:lineRule="auto"/>
        <w:tabs>
          <w:tab w:leader="none" w:pos="1068"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Invested Amount and each Purchaser Group Invested Amount, as the case may be, shall not be considered reduced by any allocation, setting aside or distribution of any portion of Collections unless such Collections shall have been actually delivered hereunder to the appropriate Purchaser Agent, on behalf of the Investors in such Purchaser Agent’s Purchaser Group;</w:t>
      </w:r>
    </w:p>
    <w:p>
      <w:pPr>
        <w:spacing w:after="0" w:line="125" w:lineRule="exact"/>
        <w:rPr>
          <w:rFonts w:ascii="Arial" w:cs="Arial" w:eastAsia="Arial" w:hAnsi="Arial"/>
          <w:sz w:val="19"/>
          <w:szCs w:val="19"/>
          <w:color w:val="auto"/>
        </w:rPr>
      </w:pPr>
    </w:p>
    <w:p>
      <w:pPr>
        <w:jc w:val="both"/>
        <w:ind w:right="100" w:firstLine="656"/>
        <w:spacing w:after="0" w:line="260" w:lineRule="auto"/>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Invested Amount and each Purchaser Group Invested Amount, as the case may be, shall not be considered reduced by any distribution of any portion of Collections if at any time such distribution is rescinded or must otherwise be returned for any reason; and</w:t>
      </w:r>
    </w:p>
    <w:p>
      <w:pPr>
        <w:spacing w:after="0" w:line="177" w:lineRule="exact"/>
        <w:rPr>
          <w:rFonts w:ascii="Arial" w:cs="Arial" w:eastAsia="Arial" w:hAnsi="Arial"/>
          <w:sz w:val="22"/>
          <w:szCs w:val="22"/>
          <w:color w:val="auto"/>
        </w:rPr>
      </w:pPr>
    </w:p>
    <w:p>
      <w:pPr>
        <w:ind w:right="280" w:firstLine="656"/>
        <w:spacing w:after="0" w:line="320" w:lineRule="auto"/>
        <w:tabs>
          <w:tab w:leader="none" w:pos="1068"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there is any reduction in the Invested Amount or any Purchaser Group Invested Amount, as the case may be, there shall be a corresponding reduction to each applicable Purchaser Group’s Tranche Investment with respect to one or more Asset Tranches selected by each Purchaser Agent, on behalf of such Purchaser Agent’s Purchaser Group, in its discretion.</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color w:val="auto"/>
        </w:rPr>
        <w:t>Computation of Concentration Limits and Unpaid Balance</w:t>
      </w:r>
      <w:r>
        <w:rPr>
          <w:rFonts w:ascii="Arial" w:cs="Arial" w:eastAsia="Arial" w:hAnsi="Arial"/>
          <w:sz w:val="19"/>
          <w:szCs w:val="19"/>
          <w:b w:val="1"/>
          <w:bCs w:val="1"/>
          <w:color w:val="auto"/>
        </w:rPr>
        <w:t>.</w:t>
      </w:r>
    </w:p>
    <w:p>
      <w:pPr>
        <w:spacing w:after="0" w:line="239"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The Obligor Concentration Limits and the aggregate Unpaid Balance of Pool Receivables of any Obligor and its Affiliated Obligors (if any) shall be calculated as if such Obligor and its Affiliated Obligors were one Obligor.</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color w:val="auto"/>
        </w:rPr>
        <w:t>Computation of Earned Discount</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making any determination of Earned Discount, the following rules shall apply:</w:t>
      </w:r>
    </w:p>
    <w:p>
      <w:pPr>
        <w:spacing w:after="0" w:line="220" w:lineRule="exact"/>
        <w:rPr>
          <w:sz w:val="20"/>
          <w:szCs w:val="20"/>
          <w:color w:val="auto"/>
        </w:rPr>
      </w:pPr>
    </w:p>
    <w:p>
      <w:pPr>
        <w:ind w:right="120" w:firstLine="656"/>
        <w:spacing w:after="0" w:line="260" w:lineRule="auto"/>
        <w:tabs>
          <w:tab w:leader="none" w:pos="1068" w:val="left"/>
        </w:tabs>
        <w:numPr>
          <w:ilvl w:val="0"/>
          <w:numId w:val="27"/>
        </w:numPr>
        <w:rPr>
          <w:rFonts w:ascii="Arial" w:cs="Arial" w:eastAsia="Arial" w:hAnsi="Arial"/>
          <w:sz w:val="22"/>
          <w:szCs w:val="22"/>
          <w:color w:val="auto"/>
        </w:rPr>
      </w:pPr>
      <w:r>
        <w:rPr>
          <w:rFonts w:ascii="Arial" w:cs="Arial" w:eastAsia="Arial" w:hAnsi="Arial"/>
          <w:sz w:val="22"/>
          <w:szCs w:val="22"/>
          <w:color w:val="auto"/>
        </w:rPr>
        <w:t>each Purchaser Agent, on behalf of the Liquidity Banks in such Purchaser Agent’s Purchaser Group, shall determine the Earned Discount accruing with respect to each Asset Tranche funded by a Liquidity Funding of such Purchaser Group for each Yield Period, in accordance with the definition of Earned Discount;</w:t>
      </w:r>
    </w:p>
    <w:p>
      <w:pPr>
        <w:spacing w:after="0" w:line="177" w:lineRule="exact"/>
        <w:rPr>
          <w:rFonts w:ascii="Arial" w:cs="Arial" w:eastAsia="Arial" w:hAnsi="Arial"/>
          <w:sz w:val="22"/>
          <w:szCs w:val="22"/>
          <w:color w:val="auto"/>
        </w:rPr>
      </w:pPr>
    </w:p>
    <w:p>
      <w:pPr>
        <w:ind w:right="180" w:firstLine="656"/>
        <w:spacing w:after="0" w:line="276" w:lineRule="auto"/>
        <w:tabs>
          <w:tab w:leader="none" w:pos="10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provision of this Agreement shall require the payment or permit the collection of Earned Discount in excess of the maximum permitted by applicable law; and</w:t>
      </w:r>
    </w:p>
    <w:p>
      <w:pPr>
        <w:spacing w:after="0" w:line="160" w:lineRule="exact"/>
        <w:rPr>
          <w:rFonts w:ascii="Arial" w:cs="Arial" w:eastAsia="Arial" w:hAnsi="Arial"/>
          <w:sz w:val="22"/>
          <w:szCs w:val="22"/>
          <w:color w:val="auto"/>
        </w:rPr>
      </w:pPr>
    </w:p>
    <w:p>
      <w:pPr>
        <w:ind w:right="820" w:firstLine="656"/>
        <w:spacing w:after="0" w:line="276" w:lineRule="auto"/>
        <w:tabs>
          <w:tab w:leader="none" w:pos="106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Earned Discount for any Asset Tranche shall not be considered paid by any distribution if at any time such distribution is rescinded or must otherwise be returned for any reason.</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It is the intent of the Purchasers to fund their portion of the Asset Interest by the issuance of Commercial Paper Notes. If, for any reason, any Purchaser is unable, or determines that it is undesirable, to issue Commercial Paper Notes to fund its portion of the Asset Interest, or is unable to repay such Commercial Paper Notes upon the maturity thereof, either such Purchaser will draw on Liquidity Fundings by a Liquidity Bank in such Purchaser’s Purchaser Group or such Liquidity Bank will make a Purchase directly, to the extent available. If any Purchaser makes such a Liquidity Funding, the Earned Discount will be payable by the Seller based on the Bank Rate with respect to such portion of the Asset Interest funded by such Liquidity Funding.</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color w:val="auto"/>
        </w:rPr>
        <w:t>Estimates of Earned Discount Rate, Fees, etc</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For purposes of determining the amounts required to be identified by Master Servicer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each Purchaser Agent, on behalf of the Investors in such Purchaser Agent’s Purchaser Group, shall notify (x) the Master Servicer (and, if Lennox is not the Master Servicer, the Seller) and the Administrative Agent from time to time of such Purchaser Group’s Tranche Investment of each Asset Tranche and the Earned Discount Rate applicable to each Asset Tranche funded by a Liquidity Funding of such Purchaser Group and (y) the Master Servicer (and, if Lennox is not the Master Servicer, the Seller) and, solely to the extent requested by it in its reasonable discretion, the Administrative Agent, the CP Costs applicable to each Asset Tranche funded by Commercial Paper Notes of such Purchaser Group and the rates at which fees and other amounts are accruing hereunder. It is understood and agreed that (a) the CP Costs for any Asset Tranche funded by the issuance of Commercial Paper Notes for any Purchaser Group are determined in arrears and may change from one applicable CP Accrual Period to the next, (b) the Earned Discount Rate for any Asset Tranche funded by a Liquidity Funding of any Purchaser Group may change from one applicable Yield Period to the next, and the Bank Rate and the WFB LIBO Rate used to calculate the Earned Discount Rate may change from time to time during an applicable Yield Period, (c) certain rate information provided by any Purchaser Agent to the Master Servicer and the Administrative Agent shall be based upon such Purchaser Agent’s good faith estimate, (d) the amount of Earned Discount</w:t>
      </w:r>
    </w:p>
    <w:p>
      <w:pPr>
        <w:sectPr>
          <w:pgSz w:w="11900" w:h="16838" w:orient="portrait"/>
          <w:cols w:equalWidth="0" w:num="1">
            <w:col w:w="11420"/>
          </w:cols>
          <w:pgMar w:left="240" w:top="132" w:right="239" w:bottom="0" w:gutter="0" w:footer="0" w:header="0"/>
        </w:sectPr>
      </w:pPr>
    </w:p>
    <w:bookmarkStart w:id="52" w:name="page53"/>
    <w:bookmarkEnd w:id="52"/>
    <w:p>
      <w:pPr>
        <w:spacing w:after="0" w:line="88" w:lineRule="exact"/>
        <w:rPr>
          <w:sz w:val="20"/>
          <w:szCs w:val="20"/>
          <w:color w:val="auto"/>
        </w:rPr>
      </w:pPr>
    </w:p>
    <w:p>
      <w:pPr>
        <w:ind w:right="180"/>
        <w:spacing w:after="0" w:line="294" w:lineRule="auto"/>
        <w:rPr>
          <w:sz w:val="20"/>
          <w:szCs w:val="20"/>
          <w:color w:val="auto"/>
        </w:rPr>
      </w:pPr>
      <w:r>
        <w:rPr>
          <w:rFonts w:ascii="Arial" w:cs="Arial" w:eastAsia="Arial" w:hAnsi="Arial"/>
          <w:sz w:val="19"/>
          <w:szCs w:val="19"/>
          <w:color w:val="auto"/>
        </w:rPr>
        <w:t xml:space="preserve">actually accrued with respect to an Asset Tranche funded by a Liquidity Funding of any Purchaser Group during any Yield Period may exceed, or be less than, the amount identified with respect thereto by Master Servicer, and (e) the amount of fees or other amounts payable by the Seller hereunder which have accrued hereunder with respect to any Collection Period may exceed, or be less than, the amount identified with respect thereto by the Master Servicer. Failure to identify any amount so accrued shall not relieve the Master Servicer of its obligation to remit Collections to each Purchaser Agent, on behalf of the Investors in such Purchaser Agent’s Purchaser Group, with respect to such accrued amount, as and to the extent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Settlements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8"/>
          <w:szCs w:val="18"/>
          <w:color w:val="auto"/>
        </w:rPr>
        <w:t>Settlement Procedures</w:t>
      </w:r>
      <w:r>
        <w:rPr>
          <w:rFonts w:ascii="Arial" w:cs="Arial" w:eastAsia="Arial" w:hAnsi="Arial"/>
          <w:sz w:val="18"/>
          <w:szCs w:val="18"/>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will take the following actions with respect to each Collection Period:</w:t>
      </w:r>
    </w:p>
    <w:p>
      <w:pPr>
        <w:spacing w:after="0" w:line="220" w:lineRule="exact"/>
        <w:rPr>
          <w:sz w:val="20"/>
          <w:szCs w:val="20"/>
          <w:color w:val="auto"/>
        </w:rPr>
      </w:pPr>
    </w:p>
    <w:p>
      <w:pPr>
        <w:ind w:right="180" w:firstLine="656"/>
        <w:spacing w:after="0" w:line="301" w:lineRule="auto"/>
        <w:tabs>
          <w:tab w:leader="none" w:pos="1068"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Information Package</w:t>
      </w:r>
      <w:r>
        <w:rPr>
          <w:rFonts w:ascii="Arial" w:cs="Arial" w:eastAsia="Arial" w:hAnsi="Arial"/>
          <w:sz w:val="21"/>
          <w:szCs w:val="21"/>
          <w:color w:val="auto"/>
        </w:rPr>
        <w:t>. On each Reporting Date the Master Servicer shall deliver to the Administrative Agent and each Purchaser Agent, on behalf of such Purchaser Agent’s Purchaser Group, the relevant Information Package.</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Earned Discount and CP Costs; Other Amounts Due</w:t>
      </w:r>
      <w:r>
        <w:rPr>
          <w:rFonts w:ascii="Arial" w:cs="Arial" w:eastAsia="Arial" w:hAnsi="Arial"/>
          <w:sz w:val="21"/>
          <w:szCs w:val="21"/>
          <w:color w:val="auto"/>
        </w:rPr>
        <w:t>. Not later than 12:00 noon (New York, New York time) on:</w:t>
      </w:r>
    </w:p>
    <w:p>
      <w:pPr>
        <w:spacing w:after="0" w:line="244" w:lineRule="exact"/>
        <w:rPr>
          <w:rFonts w:ascii="Arial" w:cs="Arial" w:eastAsia="Arial" w:hAnsi="Arial"/>
          <w:sz w:val="21"/>
          <w:szCs w:val="21"/>
          <w:color w:val="auto"/>
        </w:rPr>
      </w:pPr>
    </w:p>
    <w:p>
      <w:pPr>
        <w:ind w:left="660" w:right="20" w:firstLine="645"/>
        <w:spacing w:after="0" w:line="254" w:lineRule="auto"/>
        <w:tabs>
          <w:tab w:leader="none" w:pos="1692"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Business Day before the last day of each Yield Period, each Purchaser Agent (other than the WFB Purchaser Agent) shall notify the Master Servicer and the Administrative Agent of the amount of Earned Discount accrued with respect to any Asset Tranche funded by a Liquidity Funding by such Purchaser Agent’s Purchaser Group corresponding to such Yield Period;</w:t>
      </w:r>
    </w:p>
    <w:p>
      <w:pPr>
        <w:spacing w:after="0" w:line="174" w:lineRule="exact"/>
        <w:rPr>
          <w:rFonts w:ascii="Arial" w:cs="Arial" w:eastAsia="Arial" w:hAnsi="Arial"/>
          <w:sz w:val="22"/>
          <w:szCs w:val="22"/>
          <w:color w:val="auto"/>
        </w:rPr>
      </w:pPr>
    </w:p>
    <w:p>
      <w:pPr>
        <w:ind w:left="660" w:right="20" w:firstLine="645"/>
        <w:spacing w:after="0" w:line="252" w:lineRule="auto"/>
        <w:tabs>
          <w:tab w:leader="none" w:pos="1752"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fifth (5</w:t>
      </w:r>
      <w:r>
        <w:rPr>
          <w:rFonts w:ascii="Arial" w:cs="Arial" w:eastAsia="Arial" w:hAnsi="Arial"/>
          <w:sz w:val="27"/>
          <w:szCs w:val="27"/>
          <w:color w:val="auto"/>
          <w:vertAlign w:val="superscript"/>
        </w:rPr>
        <w:t>th</w:t>
      </w:r>
      <w:r>
        <w:rPr>
          <w:rFonts w:ascii="Arial" w:cs="Arial" w:eastAsia="Arial" w:hAnsi="Arial"/>
          <w:sz w:val="21"/>
          <w:szCs w:val="21"/>
          <w:color w:val="auto"/>
        </w:rPr>
        <w:t>) Business Day before each Reporting Date, (x) each Purchaser Agent shall notify the Master Servicer of the CP Costs accrued during the most recently ended CP Accrual Period (if any) with respect to any Asset Tranche funded with Commercial Paper Notes by such Purchaser Agent’s Purchaser Group during all or any portion of such CP Accrual Period and (y) the WFB Purchaser Agent shall notify the Master Servicer and the Administrative Agent of the amount of Earned Discount accrued during the most recently ended Yield Period with respect to each Asset Tranche funded by the WFB Purchaser Group during all or any portion of such Yield Period;</w:t>
      </w:r>
    </w:p>
    <w:p>
      <w:pPr>
        <w:spacing w:after="0" w:line="186" w:lineRule="exact"/>
        <w:rPr>
          <w:rFonts w:ascii="Arial" w:cs="Arial" w:eastAsia="Arial" w:hAnsi="Arial"/>
          <w:sz w:val="21"/>
          <w:szCs w:val="21"/>
          <w:color w:val="auto"/>
        </w:rPr>
      </w:pPr>
    </w:p>
    <w:p>
      <w:pPr>
        <w:ind w:left="660" w:right="180" w:firstLine="645"/>
        <w:spacing w:after="0" w:line="320" w:lineRule="auto"/>
        <w:tabs>
          <w:tab w:leader="none" w:pos="1812"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last day of each Yield Period, the Master Servicer shall pay to each Purchaser Agent (other than the WFB Purchaser Agent) for the benefit of the Liquidity Banks in such Purchaser Agent’s Purchaser Group the amount of the Earned Discount accrued on the Asset Tranches of such Purchaser Group funded by Liquidity Fundings;</w:t>
      </w:r>
    </w:p>
    <w:p>
      <w:pPr>
        <w:spacing w:after="0" w:line="125" w:lineRule="exact"/>
        <w:rPr>
          <w:rFonts w:ascii="Arial" w:cs="Arial" w:eastAsia="Arial" w:hAnsi="Arial"/>
          <w:sz w:val="19"/>
          <w:szCs w:val="19"/>
          <w:color w:val="auto"/>
        </w:rPr>
      </w:pPr>
    </w:p>
    <w:p>
      <w:pPr>
        <w:ind w:left="660" w:firstLine="645"/>
        <w:spacing w:after="0" w:line="251" w:lineRule="auto"/>
        <w:tabs>
          <w:tab w:leader="none" w:pos="18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each Settlement Date, the Master Servicer shall pay to (x) each Purchaser Agent for the benefit of the Purchaser in such Purchaser Agent’s Purchaser Group the amount of the CP Costs accrued for the related CP Accrual Period (if any) on the Asset Tranches of such Purchaser Group funded with Commercial Paper Notes and (y) the WFB Purchaser Agent for the benefit of the WFB Liquidity Banks the amount of the Earned Discount accrued for the related Yield Period on the Asset Tranches of the WFB Purchaser Group;</w:t>
      </w:r>
    </w:p>
    <w:p>
      <w:pPr>
        <w:spacing w:after="0" w:line="189" w:lineRule="exact"/>
        <w:rPr>
          <w:rFonts w:ascii="Arial" w:cs="Arial" w:eastAsia="Arial" w:hAnsi="Arial"/>
          <w:sz w:val="22"/>
          <w:szCs w:val="22"/>
          <w:color w:val="auto"/>
        </w:rPr>
      </w:pPr>
    </w:p>
    <w:p>
      <w:pPr>
        <w:ind w:left="660" w:right="40" w:firstLine="645"/>
        <w:spacing w:after="0" w:line="254" w:lineRule="auto"/>
        <w:tabs>
          <w:tab w:leader="none" w:pos="17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the Business Day before each Reporting Date, each Purchaser Agent, on behalf of such Purchaser Agent’s Purchaser Group, shall notify the Master Servicer and the Administrative Agent of all Broken Funding Costs, fees and other amounts accrued and payable by the Seller under this Agreement to any Investor during the prior calendar month (other than amounts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below); and</w:t>
      </w:r>
    </w:p>
    <w:p>
      <w:pPr>
        <w:spacing w:after="0" w:line="185" w:lineRule="exact"/>
        <w:rPr>
          <w:rFonts w:ascii="Arial" w:cs="Arial" w:eastAsia="Arial" w:hAnsi="Arial"/>
          <w:sz w:val="22"/>
          <w:szCs w:val="22"/>
          <w:color w:val="auto"/>
        </w:rPr>
      </w:pPr>
    </w:p>
    <w:p>
      <w:pPr>
        <w:ind w:left="660" w:right="20" w:firstLine="645"/>
        <w:spacing w:after="0" w:line="320" w:lineRule="auto"/>
        <w:tabs>
          <w:tab w:leader="none" w:pos="18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each Settlement Date, the Master Servicer shall pay to each Purchaser Agent, for the benefit of such Purchaser Agent’s Purchaser Group, the amount of any Broken Funding Costs, fees and other amounts (to the extent of Collections attributable to the Asset Interest funded by such Purchaser Group during such Collection Period) for such Collection Period.</w:t>
      </w:r>
    </w:p>
    <w:p>
      <w:pPr>
        <w:spacing w:after="0" w:line="1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 xml:space="preserve">Such payments shall be made out of amounts identified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for such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Collections attributable to the Asset Interest funded by such Purchaser Group during such Collection Period are not sufficient to make such payment, such payment shall be made out of funds paid by the Master Servicer to the Seller (which amounts the Seller hereby agrees to pay to the Master Servicer), up to the aggregate amount of Collections applied to Reinvestments under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during the related Reporting Period.</w:t>
      </w:r>
    </w:p>
    <w:p>
      <w:pPr>
        <w:spacing w:after="0" w:line="1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Asset Interest Computations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140" w:firstLine="645"/>
        <w:spacing w:after="0" w:line="294" w:lineRule="auto"/>
        <w:tabs>
          <w:tab w:leader="none" w:pos="16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On each Reporting Date, the Master Servicer shall compute, as of the related Cut-Off Date and based upon the assumptions in the next sentence, (A) the Asset Interest, (B) the amount of the reduction or increase (if any) in the Asset Interest since the most recently preceding Cut-Off Date, (C) the excess (if any) of the Asset Interest over the Allocation Limit, (D) the excess (if any) of the Purchaser Group Invested Amount of any Purchaser Group over such Purchaser Group’s Purchaser Group Limit in effect at such time and (E) the excess (if any) of the Invested Amount over the Purchase Limit in effect at such time. Such calculations shall be based upon the assumptions that the (i) information in the most recently delivered Information Package is correct, and (ii) Collections identified pursuant to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will be paid to</w:t>
      </w:r>
    </w:p>
    <w:p>
      <w:pPr>
        <w:sectPr>
          <w:pgSz w:w="11900" w:h="16926" w:orient="portrait"/>
          <w:cols w:equalWidth="0" w:num="1">
            <w:col w:w="11420"/>
          </w:cols>
          <w:pgMar w:left="240" w:top="132" w:right="239" w:bottom="0" w:gutter="0" w:footer="0" w:header="0"/>
        </w:sectPr>
      </w:pPr>
    </w:p>
    <w:bookmarkStart w:id="53" w:name="page54"/>
    <w:bookmarkEnd w:id="53"/>
    <w:p>
      <w:pPr>
        <w:ind w:left="4" w:right="120"/>
        <w:spacing w:after="0" w:line="263" w:lineRule="auto"/>
        <w:rPr>
          <w:sz w:val="20"/>
          <w:szCs w:val="20"/>
          <w:color w:val="auto"/>
        </w:rPr>
      </w:pPr>
      <w:r>
        <w:rPr>
          <w:rFonts w:ascii="Arial" w:cs="Arial" w:eastAsia="Arial" w:hAnsi="Arial"/>
          <w:sz w:val="22"/>
          <w:szCs w:val="22"/>
          <w:color w:val="auto"/>
        </w:rPr>
        <w:t>each Purchaser Agent, for the benefit such Purchaser Agent’s Purchaser Group, on the Settlement Date for such Collection Period.</w:t>
      </w:r>
    </w:p>
    <w:p>
      <w:pPr>
        <w:spacing w:after="0" w:line="175" w:lineRule="exact"/>
        <w:rPr>
          <w:sz w:val="20"/>
          <w:szCs w:val="20"/>
          <w:color w:val="auto"/>
        </w:rPr>
      </w:pPr>
    </w:p>
    <w:p>
      <w:pPr>
        <w:ind w:left="4" w:firstLine="645"/>
        <w:spacing w:after="0" w:line="289" w:lineRule="auto"/>
        <w:tabs>
          <w:tab w:leader="none" w:pos="109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If, according to the computations made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 the Asset Interest exceeds the Allocation Limit, (B) the Purchaser Group Invested Amount of any Purchaser Group exceeds such Purchaser Group’s Purchaser Group Limit in effect at such time or (C) the Invested Amount exceeds the Purchase Limit in effect at such time, then on the related Settlement Date, the Master Servicer shall pay to the applicable Purchaser Agent, for the benefit of each Investor in such Purchaser Agent’s Purchaser Group (to the extent of Collections attributable to the Asset Interest funded by such Purchaser Group and not previously paid to such Purchaser Agent) the amount necessary to reduce (i) the Invested Amount to the Purchase Limit in effect at such time, (ii) the Purchaser Group Invested Amount of each Purchaser Group to such Purchaser Group’s Purchaser Group Limit in effect at such time and (iii) the Asset Interest to the Allocation Limit. Such payment shall be made out of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for such purpose and, to the extent such amounts were not so identified, the Seller hereby agrees to pay such amounts to the Master Servicer to the extent of Collections applied to Reinvestment under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during the relevant Collection Period.</w:t>
      </w:r>
    </w:p>
    <w:p>
      <w:pPr>
        <w:spacing w:after="0" w:line="158" w:lineRule="exact"/>
        <w:rPr>
          <w:rFonts w:ascii="Arial" w:cs="Arial" w:eastAsia="Arial" w:hAnsi="Arial"/>
          <w:sz w:val="19"/>
          <w:szCs w:val="19"/>
          <w:color w:val="auto"/>
        </w:rPr>
      </w:pPr>
    </w:p>
    <w:p>
      <w:pPr>
        <w:ind w:left="4" w:firstLine="645"/>
        <w:spacing w:after="0" w:line="294" w:lineRule="auto"/>
        <w:tabs>
          <w:tab w:leader="none" w:pos="115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In addition to the payments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and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during the Liquidation Period, the Master Servicer shall pay to each Purchaser Agent, for the benefit of the applicable Investors in such Purchaser Agent’s Purchaser Group and for application to the reduction of the Invested Amount, all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on (A) the last day of the current Yield Period for any Asset Tranche funded by a Liquidity Funding of such Purchaser Group, in an amount not exceeding such Purchaser Group’s Tranche Investment of such Asset Tranche, and (B) the last day of the each CP Accrual Period for any Asset Tranche funded by Commercial Paper Notes of such Purchaser Group, in an amount not exceeding such Purchaser Group’s Tranche Investment of such Asset Tranche.</w:t>
      </w:r>
    </w:p>
    <w:p>
      <w:pPr>
        <w:spacing w:after="0" w:line="152" w:lineRule="exact"/>
        <w:rPr>
          <w:rFonts w:ascii="Arial" w:cs="Arial" w:eastAsia="Arial" w:hAnsi="Arial"/>
          <w:sz w:val="19"/>
          <w:szCs w:val="19"/>
          <w:color w:val="auto"/>
        </w:rPr>
      </w:pPr>
    </w:p>
    <w:p>
      <w:pPr>
        <w:ind w:left="4" w:right="40" w:firstLine="645"/>
        <w:spacing w:after="0" w:line="288" w:lineRule="auto"/>
        <w:tabs>
          <w:tab w:leader="none" w:pos="1144" w:val="left"/>
        </w:tabs>
        <w:numPr>
          <w:ilvl w:val="1"/>
          <w:numId w:val="30"/>
        </w:numPr>
        <w:rPr>
          <w:rFonts w:ascii="Arial" w:cs="Arial" w:eastAsia="Arial" w:hAnsi="Arial"/>
          <w:sz w:val="19"/>
          <w:szCs w:val="19"/>
          <w:color w:val="auto"/>
        </w:rPr>
      </w:pPr>
      <w:r>
        <w:rPr>
          <w:rFonts w:ascii="Arial" w:cs="Arial" w:eastAsia="Arial" w:hAnsi="Arial"/>
          <w:sz w:val="19"/>
          <w:szCs w:val="19"/>
          <w:color w:val="auto"/>
        </w:rPr>
        <w:t>On the Interim Reporting Date for each Interim Reporting Period, the Master Servicer shall compute, as of the related Interim Cut-Off Date and based upon the assumptions in the next sentence, (A) the Asset Interest, (B) the amount of the reduction or increase (if any) in the Asset Interest since the most recently preceding Cut-Off Date or Interim Cut-Off Date, (C) the excess (if any) of the Asset Interest over the Allocation Limit, (D) the excess (if any) of the Purchaser Group Invested Amount of any Purchaser Group over such Purchaser Group’s Purchaser Group Limit in effect at such time and</w:t>
      </w:r>
    </w:p>
    <w:p>
      <w:pPr>
        <w:spacing w:after="0" w:line="3" w:lineRule="exact"/>
        <w:rPr>
          <w:rFonts w:ascii="Arial" w:cs="Arial" w:eastAsia="Arial" w:hAnsi="Arial"/>
          <w:sz w:val="19"/>
          <w:szCs w:val="19"/>
          <w:color w:val="auto"/>
        </w:rPr>
      </w:pPr>
    </w:p>
    <w:p>
      <w:pPr>
        <w:ind w:left="4" w:right="200" w:hanging="4"/>
        <w:spacing w:after="0" w:line="260" w:lineRule="auto"/>
        <w:tabs>
          <w:tab w:leader="none" w:pos="334"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the excess (if any) of the Invested Amount over the Purchase Limit in effect at such time. Such calculations shall be based upon the assumptions that (i) the information in the most recently delivered Interim Information Package is correct, and (ii) Collections identified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will be paid to each Purchaser Agent, for the benefit of such Purchaser Agent’s Purchaser Group, on the Settlement Date for such Collection Period.</w:t>
      </w:r>
    </w:p>
    <w:p>
      <w:pPr>
        <w:spacing w:after="0" w:line="178" w:lineRule="exact"/>
        <w:rPr>
          <w:rFonts w:ascii="Arial" w:cs="Arial" w:eastAsia="Arial" w:hAnsi="Arial"/>
          <w:sz w:val="21"/>
          <w:szCs w:val="21"/>
          <w:color w:val="auto"/>
        </w:rPr>
      </w:pPr>
    </w:p>
    <w:p>
      <w:pPr>
        <w:ind w:left="4" w:right="40" w:firstLine="645"/>
        <w:spacing w:after="0" w:line="288" w:lineRule="auto"/>
        <w:tabs>
          <w:tab w:leader="none" w:pos="1084"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If, according to the computations made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(A) the Asset Interest exceeds the Allocation Limit, (B) the Purchaser Group Invested Amount of any Purchaser Group exceeds such Purchaser Group’s Purchaser Group Limit in effect at such time or (C) the Invested Amount exceeds the Purchase Limit in effect at such time, then on the Interim Settlement Date for such Interim Reporting Period, the Master Servicer shall pay to the applicable Purchaser Agent, for the benefit of the Investors in such Purchaser Agent’s Purchaser Group (to the extent of Collections during the related Interim Reporting Period attributable to the Asset Interest funded by the such Purchaser Group and not previously paid to such Purchaser Agent) the amount necessary to reduce (i) the Invested Amount to the Purchase Limit in effect at such time, (ii) the Purchaser Group Invested Amount of any Purchaser Group to such Purchaser Group’s Purchaser Group Limit in effect at such time and (iii) the Asset Interest to the Allocation Limit. Such payment shall be made out of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for such purpose and, to the extent such amounts were not so identified, the Seller hereby agrees to pay such amounts to the Master Servicer to the extent of Collections applied to Reinvestment under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during the relevant Interim Reporting Period.</w:t>
      </w:r>
    </w:p>
    <w:p>
      <w:pPr>
        <w:spacing w:after="0" w:line="163" w:lineRule="exact"/>
        <w:rPr>
          <w:sz w:val="20"/>
          <w:szCs w:val="20"/>
          <w:color w:val="auto"/>
        </w:rPr>
      </w:pPr>
    </w:p>
    <w:p>
      <w:pPr>
        <w:ind w:left="-656" w:right="380" w:firstLine="656"/>
        <w:spacing w:after="0" w:line="358" w:lineRule="auto"/>
        <w:tabs>
          <w:tab w:leader="none" w:pos="42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Order of Application</w:t>
      </w:r>
      <w:r>
        <w:rPr>
          <w:rFonts w:ascii="Arial" w:cs="Arial" w:eastAsia="Arial" w:hAnsi="Arial"/>
          <w:sz w:val="19"/>
          <w:szCs w:val="19"/>
          <w:color w:val="auto"/>
        </w:rPr>
        <w:t xml:space="preserve">. Upon receipt by each Purchaser Agent of funds distributed pursuant to this </w:t>
      </w:r>
      <w:r>
        <w:rPr>
          <w:rFonts w:ascii="Arial" w:cs="Arial" w:eastAsia="Arial" w:hAnsi="Arial"/>
          <w:sz w:val="19"/>
          <w:szCs w:val="19"/>
          <w:u w:val="single" w:color="auto"/>
          <w:color w:val="auto"/>
        </w:rPr>
        <w:t>Section 3.1</w:t>
      </w:r>
      <w:r>
        <w:rPr>
          <w:rFonts w:ascii="Arial" w:cs="Arial" w:eastAsia="Arial" w:hAnsi="Arial"/>
          <w:sz w:val="19"/>
          <w:szCs w:val="19"/>
          <w:color w:val="auto"/>
        </w:rPr>
        <w:t>, such Purchaser Agent shall apply them to the items specified in the subclauses below, in the order of priority of such subclauses:</w:t>
      </w:r>
    </w:p>
    <w:p>
      <w:pPr>
        <w:spacing w:after="0" w:line="90" w:lineRule="exact"/>
        <w:rPr>
          <w:rFonts w:ascii="Arial" w:cs="Arial" w:eastAsia="Arial" w:hAnsi="Arial"/>
          <w:sz w:val="19"/>
          <w:szCs w:val="19"/>
          <w:color w:val="auto"/>
        </w:rPr>
      </w:pPr>
    </w:p>
    <w:p>
      <w:pPr>
        <w:ind w:left="4" w:right="840" w:firstLine="645"/>
        <w:spacing w:after="0" w:line="358" w:lineRule="auto"/>
        <w:tabs>
          <w:tab w:leader="none" w:pos="1036" w:val="left"/>
        </w:tabs>
        <w:numPr>
          <w:ilvl w:val="1"/>
          <w:numId w:val="32"/>
        </w:numPr>
        <w:rPr>
          <w:rFonts w:ascii="Arial" w:cs="Arial" w:eastAsia="Arial" w:hAnsi="Arial"/>
          <w:sz w:val="19"/>
          <w:szCs w:val="19"/>
          <w:color w:val="auto"/>
        </w:rPr>
      </w:pPr>
      <w:r>
        <w:rPr>
          <w:rFonts w:ascii="Arial" w:cs="Arial" w:eastAsia="Arial" w:hAnsi="Arial"/>
          <w:sz w:val="19"/>
          <w:szCs w:val="19"/>
          <w:color w:val="auto"/>
        </w:rPr>
        <w:t>to accrued Earned Discount, CP Costs and Broken Funding Costs, plus any previously accrued Earned Discount, CP Costs and Broken Funding Costs not paid, to the extent owing to such Purchaser Group;</w:t>
      </w:r>
    </w:p>
    <w:p>
      <w:pPr>
        <w:spacing w:after="0" w:line="90" w:lineRule="exact"/>
        <w:rPr>
          <w:rFonts w:ascii="Arial" w:cs="Arial" w:eastAsia="Arial" w:hAnsi="Arial"/>
          <w:sz w:val="19"/>
          <w:szCs w:val="19"/>
          <w:color w:val="auto"/>
        </w:rPr>
      </w:pPr>
    </w:p>
    <w:p>
      <w:pPr>
        <w:ind w:left="4" w:right="60" w:firstLine="645"/>
        <w:spacing w:after="0" w:line="276" w:lineRule="auto"/>
        <w:tabs>
          <w:tab w:leader="none" w:pos="10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the Investors’ Share of such Purchaser Agent’s Purchaser Group of the accrued and unpaid Servicing Fee (if the Master Servicer is not Lennox or its Affiliate);</w:t>
      </w:r>
    </w:p>
    <w:p>
      <w:pPr>
        <w:spacing w:after="0" w:line="160" w:lineRule="exact"/>
        <w:rPr>
          <w:rFonts w:ascii="Arial" w:cs="Arial" w:eastAsia="Arial" w:hAnsi="Arial"/>
          <w:sz w:val="22"/>
          <w:szCs w:val="22"/>
          <w:color w:val="auto"/>
        </w:rPr>
      </w:pPr>
    </w:p>
    <w:p>
      <w:pPr>
        <w:ind w:left="4" w:right="100" w:firstLine="645"/>
        <w:spacing w:after="0" w:line="260" w:lineRule="auto"/>
        <w:tabs>
          <w:tab w:leader="none" w:pos="1156"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such Purchaser Agent’s Purchaser Group’s Pro Rata Share of the Program Fee and the Unused Fee accrued during such Collection Period, plus any previously accrued Program Fee and Unused Fee not paid on a prior Settlement Date;</w:t>
      </w:r>
    </w:p>
    <w:p>
      <w:pPr>
        <w:spacing w:after="0" w:line="177" w:lineRule="exact"/>
        <w:rPr>
          <w:rFonts w:ascii="Arial" w:cs="Arial" w:eastAsia="Arial" w:hAnsi="Arial"/>
          <w:sz w:val="22"/>
          <w:szCs w:val="22"/>
          <w:color w:val="auto"/>
        </w:rPr>
      </w:pPr>
    </w:p>
    <w:p>
      <w:pPr>
        <w:ind w:left="4" w:right="240" w:firstLine="645"/>
        <w:spacing w:after="0" w:line="358" w:lineRule="auto"/>
        <w:tabs>
          <w:tab w:leader="none" w:pos="1144"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to the reduction of the Invested Amount on a pro-rata basis, to the extent such reduction is required under </w:t>
      </w:r>
      <w:r>
        <w:rPr>
          <w:rFonts w:ascii="Arial" w:cs="Arial" w:eastAsia="Arial" w:hAnsi="Arial"/>
          <w:sz w:val="19"/>
          <w:szCs w:val="19"/>
          <w:u w:val="single" w:color="auto"/>
          <w:color w:val="auto"/>
        </w:rPr>
        <w:t>Section 3.1(c)</w:t>
      </w:r>
      <w:r>
        <w:rPr>
          <w:rFonts w:ascii="Arial" w:cs="Arial" w:eastAsia="Arial" w:hAnsi="Arial"/>
          <w:sz w:val="19"/>
          <w:szCs w:val="19"/>
          <w:color w:val="auto"/>
        </w:rPr>
        <w:t>, (and a corresponding reduction to each applicable Purchaser Group’s Purchaser Group Invested Amount);</w:t>
      </w:r>
    </w:p>
    <w:p>
      <w:pPr>
        <w:spacing w:after="0" w:line="90" w:lineRule="exact"/>
        <w:rPr>
          <w:rFonts w:ascii="Arial" w:cs="Arial" w:eastAsia="Arial" w:hAnsi="Arial"/>
          <w:sz w:val="19"/>
          <w:szCs w:val="19"/>
          <w:color w:val="auto"/>
        </w:rPr>
      </w:pPr>
    </w:p>
    <w:p>
      <w:pPr>
        <w:ind w:left="4" w:right="220" w:firstLine="645"/>
        <w:spacing w:after="0" w:line="260" w:lineRule="auto"/>
        <w:tabs>
          <w:tab w:leader="none" w:pos="1084"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to other accrued and unpaid amounts owing to any Investor or any Agent hereunder (except Earned Discount on any Asset Tranche funded by a Liquidity Funding of any Purchaser Group which has accrued but is not yet overdue under </w:t>
      </w:r>
      <w:r>
        <w:rPr>
          <w:rFonts w:ascii="Arial" w:cs="Arial" w:eastAsia="Arial" w:hAnsi="Arial"/>
          <w:sz w:val="22"/>
          <w:szCs w:val="22"/>
          <w:u w:val="single" w:color="auto"/>
          <w:color w:val="auto"/>
        </w:rPr>
        <w:t>Section 1.3(c)</w:t>
      </w:r>
      <w:r>
        <w:rPr>
          <w:rFonts w:ascii="Arial" w:cs="Arial" w:eastAsia="Arial" w:hAnsi="Arial"/>
          <w:sz w:val="22"/>
          <w:szCs w:val="22"/>
          <w:color w:val="auto"/>
        </w:rPr>
        <w:t>);</w:t>
      </w:r>
    </w:p>
    <w:p>
      <w:pPr>
        <w:sectPr>
          <w:pgSz w:w="11900" w:h="16838" w:orient="portrait"/>
          <w:cols w:equalWidth="0" w:num="1">
            <w:col w:w="10724"/>
          </w:cols>
          <w:pgMar w:left="896" w:top="132" w:right="279" w:bottom="0" w:gutter="0" w:footer="0" w:header="0"/>
        </w:sectPr>
      </w:pPr>
    </w:p>
    <w:bookmarkStart w:id="54" w:name="page55"/>
    <w:bookmarkEnd w:id="54"/>
    <w:p>
      <w:pPr>
        <w:ind w:left="660" w:right="40" w:firstLine="645"/>
        <w:spacing w:after="0" w:line="276" w:lineRule="auto"/>
        <w:tabs>
          <w:tab w:leader="none" w:pos="18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to the Investors’ Share of such Purchaser Agent’s Purchaser Group of the accrued and unpaid Servicing Fee (if the Master Servicer is Lennox or its Affiliate); and</w:t>
      </w:r>
    </w:p>
    <w:p>
      <w:pPr>
        <w:spacing w:after="0" w:line="160" w:lineRule="exact"/>
        <w:rPr>
          <w:rFonts w:ascii="Arial" w:cs="Arial" w:eastAsia="Arial" w:hAnsi="Arial"/>
          <w:sz w:val="22"/>
          <w:szCs w:val="22"/>
          <w:color w:val="auto"/>
        </w:rPr>
      </w:pPr>
    </w:p>
    <w:p>
      <w:pPr>
        <w:ind w:left="1860" w:hanging="555"/>
        <w:spacing w:after="0"/>
        <w:tabs>
          <w:tab w:leader="none" w:pos="18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to purchase newly originated Receivables prior to the Termination Date;</w:t>
      </w:r>
    </w:p>
    <w:p>
      <w:pPr>
        <w:spacing w:after="0" w:line="233"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all amounts received on any Interim Settlement Date or Weekly Settlement Date shall be applied (x) with respect to amounts received on any Weekly Settlement Date, as provided in </w:t>
      </w:r>
      <w:r>
        <w:rPr>
          <w:rFonts w:ascii="Arial" w:cs="Arial" w:eastAsia="Arial" w:hAnsi="Arial"/>
          <w:sz w:val="22"/>
          <w:szCs w:val="22"/>
          <w:u w:val="single" w:color="auto"/>
          <w:color w:val="auto"/>
        </w:rPr>
        <w:t>Section 3.1(c)(ii)</w:t>
      </w:r>
      <w:r>
        <w:rPr>
          <w:rFonts w:ascii="Arial" w:cs="Arial" w:eastAsia="Arial" w:hAnsi="Arial"/>
          <w:sz w:val="22"/>
          <w:szCs w:val="22"/>
          <w:color w:val="auto"/>
        </w:rPr>
        <w:t xml:space="preserve"> and (y) with respect to amounts received on any Interim Settlement Date, as provided in </w:t>
      </w:r>
      <w:r>
        <w:rPr>
          <w:rFonts w:ascii="Arial" w:cs="Arial" w:eastAsia="Arial" w:hAnsi="Arial"/>
          <w:sz w:val="22"/>
          <w:szCs w:val="22"/>
          <w:u w:val="single" w:color="auto"/>
          <w:color w:val="auto"/>
        </w:rPr>
        <w:t>Section 3.1(c)(v)</w:t>
      </w:r>
      <w:r>
        <w:rPr>
          <w:rFonts w:ascii="Arial" w:cs="Arial" w:eastAsia="Arial" w:hAnsi="Arial"/>
          <w:sz w:val="22"/>
          <w:szCs w:val="22"/>
          <w:color w:val="auto"/>
        </w:rPr>
        <w:t>.</w:t>
      </w:r>
    </w:p>
    <w:p>
      <w:pPr>
        <w:spacing w:after="0" w:line="186" w:lineRule="exact"/>
        <w:rPr>
          <w:sz w:val="20"/>
          <w:szCs w:val="20"/>
          <w:color w:val="auto"/>
        </w:rPr>
      </w:pPr>
    </w:p>
    <w:p>
      <w:pPr>
        <w:ind w:right="220" w:firstLine="656"/>
        <w:spacing w:after="0" w:line="320" w:lineRule="auto"/>
        <w:tabs>
          <w:tab w:leader="none" w:pos="106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Non-Distribution of Servicing Fee</w:t>
      </w:r>
      <w:r>
        <w:rPr>
          <w:rFonts w:ascii="Arial" w:cs="Arial" w:eastAsia="Arial" w:hAnsi="Arial"/>
          <w:sz w:val="19"/>
          <w:szCs w:val="19"/>
          <w:color w:val="auto"/>
        </w:rPr>
        <w:t xml:space="preserve">. Each Purchaser Agent hereby consents (which consent may be revoked at any time), to the retention by the Master Servicer of the amounts (if any)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respect of the Servicing Fee, in which case no distribution shall be made in respect of the Servicing Fee pursuant to </w:t>
      </w:r>
      <w:r>
        <w:rPr>
          <w:rFonts w:ascii="Arial" w:cs="Arial" w:eastAsia="Arial" w:hAnsi="Arial"/>
          <w:sz w:val="19"/>
          <w:szCs w:val="19"/>
          <w:u w:val="single" w:color="auto"/>
          <w:color w:val="auto"/>
        </w:rPr>
        <w:t>clause (d)(ii)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above.</w:t>
      </w:r>
    </w:p>
    <w:p>
      <w:pPr>
        <w:spacing w:after="0" w:line="125" w:lineRule="exact"/>
        <w:rPr>
          <w:rFonts w:ascii="Arial" w:cs="Arial" w:eastAsia="Arial" w:hAnsi="Arial"/>
          <w:sz w:val="19"/>
          <w:szCs w:val="19"/>
          <w:color w:val="auto"/>
        </w:rPr>
      </w:pPr>
    </w:p>
    <w:p>
      <w:pPr>
        <w:ind w:firstLine="656"/>
        <w:spacing w:after="0" w:line="264" w:lineRule="auto"/>
        <w:tabs>
          <w:tab w:leader="none" w:pos="104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Delayed Payment</w:t>
      </w:r>
      <w:r>
        <w:rPr>
          <w:rFonts w:ascii="Arial" w:cs="Arial" w:eastAsia="Arial" w:hAnsi="Arial"/>
          <w:sz w:val="21"/>
          <w:szCs w:val="21"/>
          <w:color w:val="auto"/>
        </w:rPr>
        <w:t xml:space="preserve">. If on any day described in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1.3(c)</w:t>
      </w:r>
      <w:r>
        <w:rPr>
          <w:rFonts w:ascii="Arial" w:cs="Arial" w:eastAsia="Arial" w:hAnsi="Arial"/>
          <w:sz w:val="21"/>
          <w:szCs w:val="21"/>
          <w:color w:val="auto"/>
        </w:rPr>
        <w:t xml:space="preserve"> in respect of accrued Earned Discount on Asset Tranches funded by Liquidity Fundings of any Purchaser Group, or accrued CP Costs on Asset Tranches funded by the issuance of Commercial Paper Notes issued by any Purchaser Group) the Master Servicer shall not make any payment otherwise required because Collections during the relevant CP Accrual Period or Yield Period were less than the aggregate amounts payable, the next available Collections in respect of the Asset Interest shall be applied to such payment, and no Reinvestment shall be permitted hereunder until such amount payable has been paid in full.</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color w:val="auto"/>
        </w:rPr>
        <w:t>Deemed Collections; Reduction of Invested Amount, Etc</w:t>
      </w:r>
      <w:r>
        <w:rPr>
          <w:rFonts w:ascii="Arial" w:cs="Arial" w:eastAsia="Arial" w:hAnsi="Arial"/>
          <w:sz w:val="19"/>
          <w:szCs w:val="19"/>
          <w:b w:val="1"/>
          <w:bCs w:val="1"/>
          <w:color w:val="auto"/>
        </w:rPr>
        <w:t>.</w:t>
      </w:r>
    </w:p>
    <w:p>
      <w:pPr>
        <w:spacing w:after="0" w:line="23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Deemed Collections</w:t>
      </w:r>
      <w:r>
        <w:rPr>
          <w:rFonts w:ascii="Arial" w:cs="Arial" w:eastAsia="Arial" w:hAnsi="Arial"/>
          <w:sz w:val="22"/>
          <w:szCs w:val="22"/>
          <w:color w:val="auto"/>
        </w:rPr>
        <w:t>. If on any day:</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Unpaid Balance of any Pool Receivable is:</w:t>
      </w:r>
    </w:p>
    <w:p>
      <w:pPr>
        <w:spacing w:after="0" w:line="233" w:lineRule="exact"/>
        <w:rPr>
          <w:rFonts w:ascii="Arial" w:cs="Arial" w:eastAsia="Arial" w:hAnsi="Arial"/>
          <w:sz w:val="22"/>
          <w:szCs w:val="22"/>
          <w:color w:val="auto"/>
        </w:rPr>
      </w:pPr>
    </w:p>
    <w:p>
      <w:pPr>
        <w:jc w:val="both"/>
        <w:ind w:left="1300" w:right="40" w:firstLine="653"/>
        <w:spacing w:after="0" w:line="260" w:lineRule="auto"/>
        <w:tabs>
          <w:tab w:leader="none" w:pos="2428" w:val="left"/>
        </w:tabs>
        <w:numPr>
          <w:ilvl w:val="2"/>
          <w:numId w:val="35"/>
        </w:numPr>
        <w:rPr>
          <w:rFonts w:ascii="Arial" w:cs="Arial" w:eastAsia="Arial" w:hAnsi="Arial"/>
          <w:sz w:val="22"/>
          <w:szCs w:val="22"/>
          <w:color w:val="auto"/>
        </w:rPr>
      </w:pPr>
      <w:r>
        <w:rPr>
          <w:rFonts w:ascii="Arial" w:cs="Arial" w:eastAsia="Arial" w:hAnsi="Arial"/>
          <w:sz w:val="22"/>
          <w:szCs w:val="22"/>
          <w:color w:val="auto"/>
        </w:rPr>
        <w:t>reduced as a result of any defective, rejected or returned merchandise or services, any cash discount, or any other adjustment by any Seller Party or any Affiliate thereof, or as a result of any tariff or other governmental or regulatory action, or</w:t>
      </w:r>
    </w:p>
    <w:p>
      <w:pPr>
        <w:spacing w:after="0" w:line="177" w:lineRule="exact"/>
        <w:rPr>
          <w:rFonts w:ascii="Arial" w:cs="Arial" w:eastAsia="Arial" w:hAnsi="Arial"/>
          <w:sz w:val="22"/>
          <w:szCs w:val="22"/>
          <w:color w:val="auto"/>
        </w:rPr>
      </w:pPr>
    </w:p>
    <w:p>
      <w:pPr>
        <w:ind w:left="1300" w:right="40" w:firstLine="653"/>
        <w:spacing w:after="0" w:line="254" w:lineRule="auto"/>
        <w:tabs>
          <w:tab w:leader="none" w:pos="2416" w:val="left"/>
        </w:tabs>
        <w:numPr>
          <w:ilvl w:val="2"/>
          <w:numId w:val="35"/>
        </w:numPr>
        <w:rPr>
          <w:rFonts w:ascii="Arial" w:cs="Arial" w:eastAsia="Arial" w:hAnsi="Arial"/>
          <w:sz w:val="22"/>
          <w:szCs w:val="22"/>
          <w:color w:val="auto"/>
        </w:rPr>
      </w:pPr>
      <w:r>
        <w:rPr>
          <w:rFonts w:ascii="Arial" w:cs="Arial" w:eastAsia="Arial" w:hAnsi="Arial"/>
          <w:sz w:val="22"/>
          <w:szCs w:val="22"/>
          <w:color w:val="auto"/>
        </w:rPr>
        <w:t>reduced or canceled as a result of a setoff in respect of any claim by the Obligor thereof (whether such claim arises out of the same or a related or an unrelated transaction, including without limitation, any setoff or claim arising as a result of any amount at any time owed by any Originator in connection with any account receivable owed by any such Originator to such Obligor), or</w:t>
      </w:r>
    </w:p>
    <w:p>
      <w:pPr>
        <w:spacing w:after="0" w:line="185" w:lineRule="exact"/>
        <w:rPr>
          <w:rFonts w:ascii="Arial" w:cs="Arial" w:eastAsia="Arial" w:hAnsi="Arial"/>
          <w:sz w:val="22"/>
          <w:szCs w:val="22"/>
          <w:color w:val="auto"/>
        </w:rPr>
      </w:pPr>
    </w:p>
    <w:p>
      <w:pPr>
        <w:ind w:left="1300" w:right="340" w:firstLine="653"/>
        <w:spacing w:after="0" w:line="276" w:lineRule="auto"/>
        <w:tabs>
          <w:tab w:leader="none" w:pos="2416" w:val="left"/>
        </w:tabs>
        <w:numPr>
          <w:ilvl w:val="2"/>
          <w:numId w:val="35"/>
        </w:numPr>
        <w:rPr>
          <w:rFonts w:ascii="Arial" w:cs="Arial" w:eastAsia="Arial" w:hAnsi="Arial"/>
          <w:sz w:val="22"/>
          <w:szCs w:val="22"/>
          <w:color w:val="auto"/>
        </w:rPr>
      </w:pPr>
      <w:r>
        <w:rPr>
          <w:rFonts w:ascii="Arial" w:cs="Arial" w:eastAsia="Arial" w:hAnsi="Arial"/>
          <w:sz w:val="22"/>
          <w:szCs w:val="22"/>
          <w:color w:val="auto"/>
        </w:rPr>
        <w:t>reduced on account of the obligation of any Seller Party or any Affiliate thereof to pay to the related Obligor any rebate or refund, or</w:t>
      </w:r>
    </w:p>
    <w:p>
      <w:pPr>
        <w:spacing w:after="0" w:line="160" w:lineRule="exact"/>
        <w:rPr>
          <w:rFonts w:ascii="Arial" w:cs="Arial" w:eastAsia="Arial" w:hAnsi="Arial"/>
          <w:sz w:val="22"/>
          <w:szCs w:val="22"/>
          <w:color w:val="auto"/>
        </w:rPr>
      </w:pPr>
    </w:p>
    <w:p>
      <w:pPr>
        <w:ind w:left="1300" w:right="40" w:firstLine="653"/>
        <w:spacing w:after="0" w:line="260" w:lineRule="auto"/>
        <w:tabs>
          <w:tab w:leader="none" w:pos="2428" w:val="left"/>
        </w:tabs>
        <w:numPr>
          <w:ilvl w:val="2"/>
          <w:numId w:val="35"/>
        </w:numPr>
        <w:rPr>
          <w:rFonts w:ascii="Arial" w:cs="Arial" w:eastAsia="Arial" w:hAnsi="Arial"/>
          <w:sz w:val="22"/>
          <w:szCs w:val="22"/>
          <w:color w:val="auto"/>
        </w:rPr>
      </w:pPr>
      <w:r>
        <w:rPr>
          <w:rFonts w:ascii="Arial" w:cs="Arial" w:eastAsia="Arial" w:hAnsi="Arial"/>
          <w:sz w:val="22"/>
          <w:szCs w:val="22"/>
          <w:color w:val="auto"/>
        </w:rPr>
        <w:t>less than the amount included with respect to such Pool Receivable in calculating the Net Pool Balance for purposes of any Information Package or Interim Information Package, as the case may be (for any reason other than such Receivable becoming a Defaulted Receivable), or</w:t>
      </w:r>
    </w:p>
    <w:p>
      <w:pPr>
        <w:spacing w:after="0" w:line="177" w:lineRule="exact"/>
        <w:rPr>
          <w:rFonts w:ascii="Arial" w:cs="Arial" w:eastAsia="Arial" w:hAnsi="Arial"/>
          <w:sz w:val="22"/>
          <w:szCs w:val="22"/>
          <w:color w:val="auto"/>
        </w:rPr>
      </w:pPr>
    </w:p>
    <w:p>
      <w:pPr>
        <w:ind w:left="660" w:right="40" w:firstLine="645"/>
        <w:spacing w:after="0" w:line="254" w:lineRule="auto"/>
        <w:tabs>
          <w:tab w:leader="none" w:pos="1752"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any of the representations or warranties of the Seller set forth in </w:t>
      </w:r>
      <w:r>
        <w:rPr>
          <w:rFonts w:ascii="Arial" w:cs="Arial" w:eastAsia="Arial" w:hAnsi="Arial"/>
          <w:sz w:val="22"/>
          <w:szCs w:val="22"/>
          <w:u w:val="single" w:color="auto"/>
          <w:color w:val="auto"/>
        </w:rPr>
        <w:t>Sections 6.1(j)</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w:t>
      </w:r>
      <w:r>
        <w:rPr>
          <w:rFonts w:ascii="Arial" w:cs="Arial" w:eastAsia="Arial" w:hAnsi="Arial"/>
          <w:sz w:val="22"/>
          <w:szCs w:val="22"/>
          <w:color w:val="auto"/>
        </w:rPr>
        <w:t xml:space="preserve"> were not true when made with respect to any Pool Receivable, or any of the representations or warranties of the Seller set forth in </w:t>
      </w:r>
      <w:r>
        <w:rPr>
          <w:rFonts w:ascii="Arial" w:cs="Arial" w:eastAsia="Arial" w:hAnsi="Arial"/>
          <w:sz w:val="22"/>
          <w:szCs w:val="22"/>
          <w:u w:val="single" w:color="auto"/>
          <w:color w:val="auto"/>
        </w:rPr>
        <w:t>Section 6.1(l)</w:t>
      </w:r>
      <w:r>
        <w:rPr>
          <w:rFonts w:ascii="Arial" w:cs="Arial" w:eastAsia="Arial" w:hAnsi="Arial"/>
          <w:sz w:val="22"/>
          <w:szCs w:val="22"/>
          <w:color w:val="auto"/>
        </w:rPr>
        <w:t xml:space="preserve"> are no longer true with respect to any Pool Receivable, or any Pool Receivable is repurchased by an Originator pursuant to the Sale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then, on such day, the Seller shall be deemed to have received a Collection of such Pool Receivable</w:t>
      </w:r>
    </w:p>
    <w:p>
      <w:pPr>
        <w:spacing w:after="0" w:line="220" w:lineRule="exact"/>
        <w:rPr>
          <w:sz w:val="20"/>
          <w:szCs w:val="20"/>
          <w:color w:val="auto"/>
        </w:rPr>
      </w:pPr>
    </w:p>
    <w:p>
      <w:pPr>
        <w:ind w:left="1300" w:right="340" w:firstLine="653"/>
        <w:spacing w:after="0" w:line="260" w:lineRule="auto"/>
        <w:tabs>
          <w:tab w:leader="none" w:pos="242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in the amount of such reduction or cancellation or the difference between the actual Unpaid Balance and the amount included in calculating such Net Pool Balance, as applicable; and</w:t>
      </w:r>
    </w:p>
    <w:p>
      <w:pPr>
        <w:spacing w:after="0" w:line="177" w:lineRule="exact"/>
        <w:rPr>
          <w:rFonts w:ascii="Arial" w:cs="Arial" w:eastAsia="Arial" w:hAnsi="Arial"/>
          <w:sz w:val="22"/>
          <w:szCs w:val="22"/>
          <w:color w:val="auto"/>
        </w:rPr>
      </w:pPr>
    </w:p>
    <w:p>
      <w:pPr>
        <w:ind w:left="2420" w:hanging="467"/>
        <w:spacing w:after="0"/>
        <w:tabs>
          <w:tab w:leader="none" w:pos="2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in the amount of the Unpaid Balance of such Pool Receivable.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Collections deemed received by the Seller under this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are herein referred to as “</w:t>
      </w:r>
      <w:r>
        <w:rPr>
          <w:rFonts w:ascii="Arial" w:cs="Arial" w:eastAsia="Arial" w:hAnsi="Arial"/>
          <w:sz w:val="22"/>
          <w:szCs w:val="22"/>
          <w:i w:val="1"/>
          <w:iCs w:val="1"/>
          <w:u w:val="single" w:color="auto"/>
          <w:color w:val="auto"/>
        </w:rPr>
        <w:t>Deemed Collections</w:t>
      </w:r>
      <w:r>
        <w:rPr>
          <w:rFonts w:ascii="Arial" w:cs="Arial" w:eastAsia="Arial" w:hAnsi="Arial"/>
          <w:sz w:val="22"/>
          <w:szCs w:val="22"/>
          <w:color w:val="auto"/>
        </w:rPr>
        <w:t>.”</w:t>
      </w:r>
    </w:p>
    <w:p>
      <w:pPr>
        <w:spacing w:after="0" w:line="22" w:lineRule="exact"/>
        <w:rPr>
          <w:sz w:val="20"/>
          <w:szCs w:val="20"/>
          <w:color w:val="auto"/>
        </w:rPr>
      </w:pPr>
    </w:p>
    <w:p>
      <w:pPr>
        <w:ind w:right="180" w:firstLine="656"/>
        <w:spacing w:after="0" w:line="259" w:lineRule="auto"/>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Seller’s Optional Reduction of the Invested Amount</w:t>
      </w:r>
      <w:r>
        <w:rPr>
          <w:rFonts w:ascii="Arial" w:cs="Arial" w:eastAsia="Arial" w:hAnsi="Arial"/>
          <w:sz w:val="22"/>
          <w:szCs w:val="22"/>
          <w:color w:val="auto"/>
        </w:rPr>
        <w:t>. The Seller may at any time elect to reduce the Invested Amount and each Purchaser Group Invested Amount as follows:</w:t>
      </w:r>
    </w:p>
    <w:p>
      <w:pPr>
        <w:spacing w:after="0" w:line="178" w:lineRule="exact"/>
        <w:rPr>
          <w:rFonts w:ascii="Arial" w:cs="Arial" w:eastAsia="Arial" w:hAnsi="Arial"/>
          <w:sz w:val="22"/>
          <w:szCs w:val="22"/>
          <w:color w:val="auto"/>
        </w:rPr>
      </w:pPr>
    </w:p>
    <w:p>
      <w:pPr>
        <w:ind w:left="660" w:right="100" w:firstLine="645"/>
        <w:spacing w:after="0" w:line="297" w:lineRule="auto"/>
        <w:tabs>
          <w:tab w:leader="none" w:pos="169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Seller shall give the Administrative Agent and each Purchaser Agent, on behalf of such Purchaser Agent’s Purchaser Group, at least five (5) Business Days’ prior written notice of such reduction (including the aggregate amount of such proposed reduction and the proposed date on which such reduction will commence), and the Administrative Agent shall promptly forward such notice, together with the Administrative Agent’s determination (in accordance with clause (D) of the proviso below) of the amount of such proposed reduction to be allocated to each Purchaser Group, to each Purchaser Agent on behalf of such Purchaser Agent’s Purchaser Group by telecopier or e-mail,</w:t>
      </w:r>
    </w:p>
    <w:p>
      <w:pPr>
        <w:sectPr>
          <w:pgSz w:w="11900" w:h="16838" w:orient="portrait"/>
          <w:cols w:equalWidth="0" w:num="1">
            <w:col w:w="11400"/>
          </w:cols>
          <w:pgMar w:left="240" w:top="186" w:right="259" w:bottom="0" w:gutter="0" w:footer="0" w:header="0"/>
        </w:sectPr>
      </w:pPr>
    </w:p>
    <w:bookmarkStart w:id="55" w:name="page56"/>
    <w:bookmarkEnd w:id="55"/>
    <w:p>
      <w:pPr>
        <w:ind w:left="660" w:right="80" w:firstLine="645"/>
        <w:spacing w:after="0" w:line="260" w:lineRule="auto"/>
        <w:tabs>
          <w:tab w:leader="none" w:pos="1752"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on the proposed date of commencement of such reduction and on each day thereafter, the Master Servicer shall refrain from reinvesting Collections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until the amount thereof not so reinvested shall equal the desired amount of reduction, and</w:t>
      </w:r>
    </w:p>
    <w:p>
      <w:pPr>
        <w:spacing w:after="0" w:line="177" w:lineRule="exact"/>
        <w:rPr>
          <w:rFonts w:ascii="Arial" w:cs="Arial" w:eastAsia="Arial" w:hAnsi="Arial"/>
          <w:sz w:val="22"/>
          <w:szCs w:val="22"/>
          <w:color w:val="auto"/>
        </w:rPr>
      </w:pPr>
    </w:p>
    <w:p>
      <w:pPr>
        <w:ind w:left="660" w:right="60" w:firstLine="645"/>
        <w:spacing w:after="0" w:line="260" w:lineRule="auto"/>
        <w:tabs>
          <w:tab w:leader="none" w:pos="1812"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the Master Servicer shall hold such Collections in trust for each Purchaser Agent, on behalf and for the benefit of the Investors in such Purchaser Agent’s Purchaser Group, pending payment to such Purchaser Agent, as provided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20" w:lineRule="exact"/>
        <w:rPr>
          <w:sz w:val="20"/>
          <w:szCs w:val="20"/>
          <w:color w:val="auto"/>
        </w:rPr>
      </w:pPr>
    </w:p>
    <w:p>
      <w:pPr>
        <w:ind w:left="1300" w:right="560" w:firstLine="653"/>
        <w:spacing w:after="0" w:line="276" w:lineRule="auto"/>
        <w:tabs>
          <w:tab w:leader="none" w:pos="242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amount of any such reduction shall be in (i) an amount of $1,000,000, (ii) an integral multiple thereof or (iii) an amount equal to the remaining Invested Amount,</w:t>
      </w:r>
    </w:p>
    <w:p>
      <w:pPr>
        <w:spacing w:after="0" w:line="160" w:lineRule="exact"/>
        <w:rPr>
          <w:rFonts w:ascii="Arial" w:cs="Arial" w:eastAsia="Arial" w:hAnsi="Arial"/>
          <w:sz w:val="22"/>
          <w:szCs w:val="22"/>
          <w:color w:val="auto"/>
        </w:rPr>
      </w:pPr>
    </w:p>
    <w:p>
      <w:pPr>
        <w:ind w:left="1300" w:right="760" w:firstLine="653"/>
        <w:spacing w:after="0" w:line="358" w:lineRule="auto"/>
        <w:tabs>
          <w:tab w:leader="none" w:pos="2416"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Seller shall use reasonable efforts to attempt to choose a reduction amount, and the date of commencement thereof, so that such reduction shall commence and conclude in the same Collection Period,</w:t>
      </w:r>
    </w:p>
    <w:p>
      <w:pPr>
        <w:spacing w:after="0" w:line="90" w:lineRule="exact"/>
        <w:rPr>
          <w:rFonts w:ascii="Arial" w:cs="Arial" w:eastAsia="Arial" w:hAnsi="Arial"/>
          <w:sz w:val="19"/>
          <w:szCs w:val="19"/>
          <w:color w:val="auto"/>
        </w:rPr>
      </w:pPr>
    </w:p>
    <w:p>
      <w:pPr>
        <w:ind w:left="1300" w:right="140" w:firstLine="653"/>
        <w:spacing w:after="0" w:line="276" w:lineRule="auto"/>
        <w:tabs>
          <w:tab w:leader="none" w:pos="24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unless the Invested Amount shall be reduced to zero, after giving effect to such reduction, the Invested Amount will be at least $1,000,000, and</w:t>
      </w:r>
    </w:p>
    <w:p>
      <w:pPr>
        <w:spacing w:after="0" w:line="160" w:lineRule="exact"/>
        <w:rPr>
          <w:rFonts w:ascii="Arial" w:cs="Arial" w:eastAsia="Arial" w:hAnsi="Arial"/>
          <w:sz w:val="22"/>
          <w:szCs w:val="22"/>
          <w:color w:val="auto"/>
        </w:rPr>
      </w:pPr>
    </w:p>
    <w:p>
      <w:pPr>
        <w:ind w:left="1300" w:right="860" w:firstLine="653"/>
        <w:spacing w:after="0" w:line="320" w:lineRule="auto"/>
        <w:tabs>
          <w:tab w:leader="none" w:pos="242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each reduction of the Invested Amount shall be done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shall result in a corresponding reduction in each Purchaser Group Invested Amount (and a corresponding reduction to each applicable Purchaser Group’s Tranche Investment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color w:val="auto"/>
        </w:rPr>
        <w:t>Payments and Computations, Etc</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56"/>
        <w:spacing w:after="0" w:line="300" w:lineRule="auto"/>
        <w:tabs>
          <w:tab w:leader="none" w:pos="106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to be paid to any Purchaser Agent or any other Person or deposited by the Seller or the Master Servicer hereunder (other than amounts payable under </w:t>
      </w:r>
      <w:r>
        <w:rPr>
          <w:rFonts w:ascii="Arial" w:cs="Arial" w:eastAsia="Arial" w:hAnsi="Arial"/>
          <w:sz w:val="19"/>
          <w:szCs w:val="19"/>
          <w:u w:val="single" w:color="auto"/>
          <w:color w:val="auto"/>
        </w:rPr>
        <w:t>Section 4.2</w:t>
      </w:r>
      <w:r>
        <w:rPr>
          <w:rFonts w:ascii="Arial" w:cs="Arial" w:eastAsia="Arial" w:hAnsi="Arial"/>
          <w:sz w:val="19"/>
          <w:szCs w:val="19"/>
          <w:color w:val="auto"/>
        </w:rPr>
        <w:t>) shall be paid or deposited in accordance with the terms hereof no later than 12:00 noon (New York, New York time) on the day when due in lawful money of the United States of America in same day funds to such Purchaser Agent’s Purchaser Agent Account, or to such other account at the bank named therein or at such other bank as such Purchaser Agent may designate by written notice to the Person making such payment.</w:t>
      </w:r>
    </w:p>
    <w:p>
      <w:pPr>
        <w:spacing w:after="0" w:line="147" w:lineRule="exact"/>
        <w:rPr>
          <w:rFonts w:ascii="Arial" w:cs="Arial" w:eastAsia="Arial" w:hAnsi="Arial"/>
          <w:sz w:val="19"/>
          <w:szCs w:val="19"/>
          <w:color w:val="auto"/>
        </w:rPr>
      </w:pPr>
    </w:p>
    <w:p>
      <w:pPr>
        <w:jc w:val="both"/>
        <w:ind w:right="60" w:firstLine="656"/>
        <w:spacing w:after="0" w:line="254" w:lineRule="auto"/>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Late Payments</w:t>
      </w:r>
      <w:r>
        <w:rPr>
          <w:rFonts w:ascii="Arial" w:cs="Arial" w:eastAsia="Arial" w:hAnsi="Arial"/>
          <w:sz w:val="22"/>
          <w:szCs w:val="22"/>
          <w:color w:val="auto"/>
        </w:rPr>
        <w:t xml:space="preserve">. The Seller or the Master Servicer, as applicable, shall, to the extent permitted by law, pay to the Person to whom payment is due interest on all amounts not paid or deposited when due hereunder at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2% plus the Base Rate, payable on demand,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interest rate shall not at any time exceed the maximum rate permitted by applicable law.</w:t>
      </w:r>
    </w:p>
    <w:p>
      <w:pPr>
        <w:spacing w:after="0" w:line="185" w:lineRule="exact"/>
        <w:rPr>
          <w:rFonts w:ascii="Arial" w:cs="Arial" w:eastAsia="Arial" w:hAnsi="Arial"/>
          <w:sz w:val="22"/>
          <w:szCs w:val="22"/>
          <w:color w:val="auto"/>
        </w:rPr>
      </w:pPr>
    </w:p>
    <w:p>
      <w:pPr>
        <w:ind w:right="80" w:firstLine="656"/>
        <w:spacing w:after="0" w:line="300" w:lineRule="auto"/>
        <w:tabs>
          <w:tab w:leader="none" w:pos="106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Method of Computation</w:t>
      </w:r>
      <w:r>
        <w:rPr>
          <w:rFonts w:ascii="Arial" w:cs="Arial" w:eastAsia="Arial" w:hAnsi="Arial"/>
          <w:sz w:val="19"/>
          <w:szCs w:val="19"/>
          <w:color w:val="auto"/>
        </w:rPr>
        <w:t xml:space="preserve">. All computations of interest, CP Costs, Broken Funding Costs, Earned Discount, any fees payable under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any other fees payable by the Seller to any Investor or any Agent hereunder shall be made on the basis of a year of 360 days for the actual number of days (including the first day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Taxes.</w:t>
      </w:r>
    </w:p>
    <w:p>
      <w:pPr>
        <w:spacing w:after="0" w:line="233" w:lineRule="exact"/>
        <w:rPr>
          <w:rFonts w:ascii="Arial" w:cs="Arial" w:eastAsia="Arial" w:hAnsi="Arial"/>
          <w:sz w:val="22"/>
          <w:szCs w:val="22"/>
          <w:color w:val="auto"/>
        </w:rPr>
      </w:pPr>
    </w:p>
    <w:p>
      <w:pPr>
        <w:ind w:left="660" w:right="20" w:firstLine="645"/>
        <w:spacing w:after="0" w:line="287" w:lineRule="auto"/>
        <w:tabs>
          <w:tab w:leader="none" w:pos="1692"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and all payments and deposits required to be made hereunder or under any other Transaction Document by any Seller Party shall be made free and clear of and without deduction for any and all present or future taxes, levies, imposts, deductions, charges or withholdings, and all liabilities with respect thereto, excluding net income taxes that are imposed by the United States and franchise taxes and net income taxes that are imposed on an Affected Party by the state or foreign jurisdiction under the laws of which such Affected Party is organized or any political subdivision thereof (all such non-excluded taxes, levies, imposts, deductions, charges, withholdings and liabilities being hereinafter referred to as “</w:t>
      </w:r>
      <w:r>
        <w:rPr>
          <w:rFonts w:ascii="Arial" w:cs="Arial" w:eastAsia="Arial" w:hAnsi="Arial"/>
          <w:sz w:val="19"/>
          <w:szCs w:val="19"/>
          <w:i w:val="1"/>
          <w:iCs w:val="1"/>
          <w:u w:val="single" w:color="auto"/>
          <w:color w:val="auto"/>
        </w:rPr>
        <w:t>Taxes</w:t>
      </w:r>
      <w:r>
        <w:rPr>
          <w:rFonts w:ascii="Arial" w:cs="Arial" w:eastAsia="Arial" w:hAnsi="Arial"/>
          <w:sz w:val="19"/>
          <w:szCs w:val="19"/>
          <w:color w:val="auto"/>
        </w:rPr>
        <w:t xml:space="preserve">”). If any Seller Party shall be required by law to deduct any Taxes from or in respect of any sum payable hereunder to any Affected Party, (i) the Seller shall make an additional payment to such Affected Party, in an amount sufficient so that, after making all required deductions (including deductions applicable to additional sums payable under this </w:t>
      </w:r>
      <w:r>
        <w:rPr>
          <w:rFonts w:ascii="Arial" w:cs="Arial" w:eastAsia="Arial" w:hAnsi="Arial"/>
          <w:sz w:val="19"/>
          <w:szCs w:val="19"/>
          <w:u w:val="single" w:color="auto"/>
          <w:color w:val="auto"/>
        </w:rPr>
        <w:t>Section 3.3(d)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14.5</w:t>
      </w:r>
      <w:r>
        <w:rPr>
          <w:rFonts w:ascii="Arial" w:cs="Arial" w:eastAsia="Arial" w:hAnsi="Arial"/>
          <w:sz w:val="19"/>
          <w:szCs w:val="19"/>
          <w:color w:val="auto"/>
        </w:rPr>
        <w:t>), such Affected Party receives an amount equal to the sum it would have received had no such deductions been made, (ii) the applicable Seller Party shall make such deductions and (iii) the applicable Seller Party shall pay the full amount deducted to the relevant taxation authority or other authority in accordance with applicable law. Within 30 days after the date of any such payment of Taxes, the applicable Seller Party will furnish to such Affected Party the original or a certified copy of a receipt evidencing payment thereof.</w:t>
      </w:r>
    </w:p>
    <w:p>
      <w:pPr>
        <w:spacing w:after="0" w:line="164" w:lineRule="exact"/>
        <w:rPr>
          <w:rFonts w:ascii="Arial" w:cs="Arial" w:eastAsia="Arial" w:hAnsi="Arial"/>
          <w:sz w:val="19"/>
          <w:szCs w:val="19"/>
          <w:color w:val="auto"/>
        </w:rPr>
      </w:pPr>
    </w:p>
    <w:p>
      <w:pPr>
        <w:ind w:left="660" w:firstLine="645"/>
        <w:spacing w:after="0" w:line="297" w:lineRule="auto"/>
        <w:tabs>
          <w:tab w:leader="none" w:pos="1752"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Affected Party which is organized outside the United States and which is entitled to an exemption from, or reduction of, withholding tax under the laws of the United States as in effect on the date hereof (or, in the case of any Person which becomes an Affected Party after the date hereof, on the date on which it so becomes an Affected Party with respect to any payments under this Agreement) shall, on or prior to the date hereof (or, in the case of any Person who becomes an Affected Party after the date hereof, on or prior to the date on which it so becomes an Affected Party), deliver to the Administrative Agent and the Seller such certificates, documents or other evidence, as required by the Internal Revenue</w:t>
      </w:r>
    </w:p>
    <w:p>
      <w:pPr>
        <w:sectPr>
          <w:pgSz w:w="11900" w:h="16838" w:orient="portrait"/>
          <w:cols w:equalWidth="0" w:num="1">
            <w:col w:w="11420"/>
          </w:cols>
          <w:pgMar w:left="240" w:top="132" w:right="239" w:bottom="0" w:gutter="0" w:footer="0" w:header="0"/>
        </w:sectPr>
      </w:pPr>
    </w:p>
    <w:bookmarkStart w:id="56" w:name="page57"/>
    <w:bookmarkEnd w:id="56"/>
    <w:p>
      <w:pPr>
        <w:ind w:left="660" w:right="280"/>
        <w:spacing w:after="0" w:line="291" w:lineRule="auto"/>
        <w:rPr>
          <w:sz w:val="20"/>
          <w:szCs w:val="20"/>
          <w:color w:val="auto"/>
        </w:rPr>
      </w:pPr>
      <w:r>
        <w:rPr>
          <w:rFonts w:ascii="Arial" w:cs="Arial" w:eastAsia="Arial" w:hAnsi="Arial"/>
          <w:sz w:val="19"/>
          <w:szCs w:val="19"/>
          <w:color w:val="auto"/>
        </w:rPr>
        <w:t>Code of 1986, as amended or Treasury Regulations issued pursuant thereto, including Internal Revenue Service Form W-8BEN or Form W-8ECI and any other certificate or statement of exemption required by Treasury Regulation</w:t>
      </w:r>
    </w:p>
    <w:p>
      <w:pPr>
        <w:spacing w:after="0" w:line="1" w:lineRule="exact"/>
        <w:rPr>
          <w:sz w:val="20"/>
          <w:szCs w:val="20"/>
          <w:color w:val="auto"/>
        </w:rPr>
      </w:pPr>
    </w:p>
    <w:p>
      <w:pPr>
        <w:ind w:left="660"/>
        <w:spacing w:after="0" w:line="286" w:lineRule="auto"/>
        <w:rPr>
          <w:sz w:val="20"/>
          <w:szCs w:val="20"/>
          <w:color w:val="auto"/>
        </w:rPr>
      </w:pPr>
      <w:r>
        <w:rPr>
          <w:rFonts w:ascii="Arial" w:cs="Arial" w:eastAsia="Arial" w:hAnsi="Arial"/>
          <w:sz w:val="19"/>
          <w:szCs w:val="19"/>
          <w:color w:val="auto"/>
        </w:rPr>
        <w:t xml:space="preserve">Section 1.1441-1(a) or Section 1.1441-6(c) or any subsequent version thereof, properly completed and duly executed by such Affected Party as will permit such payments to be made without withholding or at a reduced rate. Each such Affected Party shall from time to time thereafter, upon written request from the Seller, deliver to the Seller and the Administrative Agent any new certificates, documents or other evidence as described in the preceding sentence as will permit payments under this Agreement to be made without withholding or at a reduced rate (but only so long as such Affected Party is legally able to do so). The Seller shall not be required to pay any amounts to any Affected Party in respect of Taxes and Other Taxes pursuant to </w:t>
      </w:r>
      <w:r>
        <w:rPr>
          <w:rFonts w:ascii="Arial" w:cs="Arial" w:eastAsia="Arial" w:hAnsi="Arial"/>
          <w:sz w:val="19"/>
          <w:szCs w:val="19"/>
          <w:u w:val="single" w:color="auto"/>
          <w:color w:val="auto"/>
        </w:rPr>
        <w:t>paragraphs (a)(i)</w:t>
      </w:r>
      <w:r>
        <w:rPr>
          <w:rFonts w:ascii="Arial" w:cs="Arial" w:eastAsia="Arial" w:hAnsi="Arial"/>
          <w:sz w:val="19"/>
          <w:szCs w:val="19"/>
          <w:color w:val="auto"/>
        </w:rPr>
        <w:t xml:space="preserve"> above or </w:t>
      </w:r>
      <w:r>
        <w:rPr>
          <w:rFonts w:ascii="Arial" w:cs="Arial" w:eastAsia="Arial" w:hAnsi="Arial"/>
          <w:sz w:val="19"/>
          <w:szCs w:val="19"/>
          <w:u w:val="single" w:color="auto"/>
          <w:color w:val="auto"/>
        </w:rPr>
        <w:t>Section 14.5(b)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if the obligation to pay such amounts is attributable to the failure by such Affected Party to comply with the provisions of this paragraph; provided, however, that should an Affected Party become subject to Taxes because of its failure to deliver a form required hereunder, the Seller shall take such steps as such Affected Party shall reasonably request to assist such Affected Party to recover such Taxes.</w:t>
      </w:r>
    </w:p>
    <w:p>
      <w:pPr>
        <w:spacing w:after="0" w:line="15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color w:val="auto"/>
        </w:rPr>
        <w:t>Treatment of Collections and Deemed Collections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The Seller shall forthwith deliver to the Master Servicer all Deemed Collections, and the Master Servicer shall hold or distribute such Deemed Collections as Earned Discount, CP Costs, accrued Servicing Fee, repayment of the Invested Amount or any Purchaser Group Invested Amount and to other accrued amounts owing hereunder to the same extent as if such Deemed Collections had actually been received on the date of such delivery to the Master Servicer. If Collections are then being paid to any Purchaser Agent, on behalf of such Purchaser Agent’s Purchaser Group, or its designee, or to lock boxes or accounts directly or indirectly owned or controlled by the Administrative Agent, on behalf of the Investors, the Master Servicer shall forthwith cause such Deemed Collections to be paid to each Purchaser Agent, on behalf of such Purchaser Agent’s Purchaser Group, or its designee or to such lock boxes or accounts, as applicable, or as each applicable Purchaser Agent shall request. So long as the Seller shall hold any Collections (including Deemed Collections) required to be paid to the Master Servicer or any Agent, it shall hold such Collections in trust on behalf and for the benefit of the Agents, on behalf of themselves and the Investors, and shall clearly mark its records to reflect such trust;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the Administrative Agent shall have requested it in writing to do so, the Seller shall not be required to hold such Collections in a separate deposit account containing only such Collections.</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color w:val="auto"/>
        </w:rPr>
        <w:t>Sharing of Payments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If any Investor (for purposes of this Section only, referred to as a “</w:t>
      </w:r>
      <w:r>
        <w:rPr>
          <w:rFonts w:ascii="Arial" w:cs="Arial" w:eastAsia="Arial" w:hAnsi="Arial"/>
          <w:sz w:val="19"/>
          <w:szCs w:val="19"/>
          <w:i w:val="1"/>
          <w:iCs w:val="1"/>
          <w:u w:val="single" w:color="auto"/>
          <w:color w:val="auto"/>
        </w:rPr>
        <w:t>Recipient</w:t>
      </w:r>
      <w:r>
        <w:rPr>
          <w:rFonts w:ascii="Arial" w:cs="Arial" w:eastAsia="Arial" w:hAnsi="Arial"/>
          <w:sz w:val="19"/>
          <w:szCs w:val="19"/>
          <w:color w:val="auto"/>
        </w:rPr>
        <w:t>”) shall obtain payment (whether voluntary, involuntary, through the exercise of any right of setoff, or otherwise) on account of the Invested Amount (or portion thereof) of, or Earned Discount or CP Costs accrued in respect of, the Asset Interest or portion thereof owned by it in excess of its ratable share of payments made on account of the Invested Amount of, or Earned Discount or CP Costs accrued in respect of, the Asset Interest owned by all the Investors (other than as a result of different methods for calculating Earned Discount or CP Costs), such Recipient shall forthwith purchase from the applicable Investors which received less than their ratable share participations in the portions of the Asset Interest owned by such Persons as shall be necessary to cause such Recipient to share the excess payment ratably with each such other Person; provided, however, that if all or any portion of such excess payment is thereafter recovered from such Recipient, such purchase from each such other Person shall be rescinded and each such other Person shall repay to the Recipient the purchase price paid by such Recipient for such participation to the extent of such recovery, together with an amount equal to such other Person’s ratable share (according to the proportion of (a) the amount of such other Person’s required payment to (b) the total amount so recovered from the Recipient) of any interest or other amount paid or payable by the Recipient in respect of the total amount so recovered.</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color w:val="auto"/>
        </w:rPr>
        <w:t>Repurchase of Asset Interest</w:t>
      </w:r>
      <w:r>
        <w:rPr>
          <w:rFonts w:ascii="Arial" w:cs="Arial" w:eastAsia="Arial" w:hAnsi="Arial"/>
          <w:sz w:val="19"/>
          <w:szCs w:val="19"/>
          <w:b w:val="1"/>
          <w:bCs w:val="1"/>
          <w:color w:val="auto"/>
        </w:rPr>
        <w:t>.</w:t>
      </w:r>
    </w:p>
    <w:p>
      <w:pPr>
        <w:spacing w:after="0" w:line="239" w:lineRule="exact"/>
        <w:rPr>
          <w:sz w:val="20"/>
          <w:szCs w:val="20"/>
          <w:color w:val="auto"/>
        </w:rPr>
      </w:pPr>
    </w:p>
    <w:p>
      <w:pPr>
        <w:ind w:right="200" w:firstLine="648"/>
        <w:spacing w:after="0" w:line="261" w:lineRule="auto"/>
        <w:rPr>
          <w:sz w:val="20"/>
          <w:szCs w:val="20"/>
          <w:color w:val="auto"/>
        </w:rPr>
      </w:pPr>
      <w:r>
        <w:rPr>
          <w:rFonts w:ascii="Arial" w:cs="Arial" w:eastAsia="Arial" w:hAnsi="Arial"/>
          <w:sz w:val="21"/>
          <w:szCs w:val="21"/>
          <w:color w:val="auto"/>
        </w:rPr>
        <w:t xml:space="preserve">In addition to Seller's rights pursuant to </w:t>
      </w:r>
      <w:r>
        <w:rPr>
          <w:rFonts w:ascii="Arial" w:cs="Arial" w:eastAsia="Arial" w:hAnsi="Arial"/>
          <w:sz w:val="21"/>
          <w:szCs w:val="21"/>
          <w:u w:val="single" w:color="auto"/>
          <w:color w:val="auto"/>
        </w:rPr>
        <w:t>Section 3.2(b)</w:t>
      </w:r>
      <w:r>
        <w:rPr>
          <w:rFonts w:ascii="Arial" w:cs="Arial" w:eastAsia="Arial" w:hAnsi="Arial"/>
          <w:sz w:val="21"/>
          <w:szCs w:val="21"/>
          <w:color w:val="auto"/>
        </w:rPr>
        <w:t>, the Seller shall have the right, upon thirty days prior written notice to the Administrative Agent and Purchaser Agents, to repurchase from the Investors all, but not less than all, of the Asset Interest. The purchase price in respect thereof shall be an amount equal to the sum of the Invested Amount, all accrued and unpaid Earned Discount, CP Costs, Broken Funding Costs, fees and other amounts payable to the Investors and the Agents through the date of repurchase, payable in immediately available funds. Such repurchase shall be without representation, warranty or recourse of any kind by, on the part of, or against any Investor or any Agent.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Fees and Yield Protection</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7"/>
          <w:szCs w:val="17"/>
          <w:color w:val="auto"/>
        </w:rPr>
        <w:t>Fees</w:t>
      </w:r>
      <w:r>
        <w:rPr>
          <w:rFonts w:ascii="Arial" w:cs="Arial" w:eastAsia="Arial" w:hAnsi="Arial"/>
          <w:sz w:val="17"/>
          <w:szCs w:val="17"/>
          <w:b w:val="1"/>
          <w:bCs w:val="1"/>
          <w:color w:val="auto"/>
        </w:rPr>
        <w:t>.</w:t>
      </w:r>
    </w:p>
    <w:p>
      <w:pPr>
        <w:spacing w:after="0" w:line="239"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The Seller shall pay to the Administrative Agent and each Purchaser Agent for the benefit of the Administrative Agent and such Purchaser Agent’s Purchaser Group the fees and other amounts set forth in the Fee Letter, all such fees and other amounts to be paid from time to time in the amounts set forth in each the Fee Letter.</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color w:val="auto"/>
        </w:rPr>
        <w:t>Yield Protection</w:t>
      </w:r>
      <w:r>
        <w:rPr>
          <w:rFonts w:ascii="Arial" w:cs="Arial" w:eastAsia="Arial" w:hAnsi="Arial"/>
          <w:sz w:val="19"/>
          <w:szCs w:val="19"/>
          <w:b w:val="1"/>
          <w:bCs w:val="1"/>
          <w:color w:val="auto"/>
        </w:rPr>
        <w:t>.</w:t>
      </w:r>
    </w:p>
    <w:p>
      <w:pPr>
        <w:sectPr>
          <w:pgSz w:w="11900" w:h="16838" w:orient="portrait"/>
          <w:cols w:equalWidth="0" w:num="1">
            <w:col w:w="11420"/>
          </w:cols>
          <w:pgMar w:left="240" w:top="132" w:right="239" w:bottom="67" w:gutter="0" w:footer="0" w:header="0"/>
        </w:sectPr>
      </w:pPr>
    </w:p>
    <w:bookmarkStart w:id="57" w:name="page58"/>
    <w:bookmarkEnd w:id="57"/>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(i) Regulation D or (ii) any Regulatory Change:</w:t>
      </w:r>
    </w:p>
    <w:p>
      <w:pPr>
        <w:spacing w:after="0" w:line="233" w:lineRule="exact"/>
        <w:rPr>
          <w:rFonts w:ascii="Arial" w:cs="Arial" w:eastAsia="Arial" w:hAnsi="Arial"/>
          <w:sz w:val="22"/>
          <w:szCs w:val="22"/>
          <w:color w:val="auto"/>
        </w:rPr>
      </w:pPr>
    </w:p>
    <w:p>
      <w:pPr>
        <w:ind w:left="1300" w:right="100" w:firstLine="653"/>
        <w:spacing w:after="0" w:line="297" w:lineRule="auto"/>
        <w:tabs>
          <w:tab w:leader="none" w:pos="2428" w:val="left"/>
        </w:tabs>
        <w:numPr>
          <w:ilvl w:val="1"/>
          <w:numId w:val="41"/>
        </w:numPr>
        <w:rPr>
          <w:rFonts w:ascii="Arial" w:cs="Arial" w:eastAsia="Arial" w:hAnsi="Arial"/>
          <w:sz w:val="19"/>
          <w:szCs w:val="19"/>
          <w:color w:val="auto"/>
        </w:rPr>
      </w:pPr>
      <w:r>
        <w:rPr>
          <w:rFonts w:ascii="Arial" w:cs="Arial" w:eastAsia="Arial" w:hAnsi="Arial"/>
          <w:sz w:val="19"/>
          <w:szCs w:val="19"/>
          <w:color w:val="auto"/>
        </w:rPr>
        <w:t>shall subject an Affected Party to any Tax, duty or other charge with respect to the portion of the Asset Interest owned by or funded by it, or any obligations or right to make Purchases or Reinvestments or to provide funding therefor, or shall change the basis of taxation of payments to the Affected Party of any portion of the Invested Amount, CP Costs or Earned Discount owned by, owed to or funded in whole or in part by it or any other amounts due under this Agreement in respect of the portion of the Asset Interest owned by or funded by it or its obligations or rights, if any, to make Purchases or Reinvestments or to provide funding therefor; or</w:t>
      </w:r>
    </w:p>
    <w:p>
      <w:pPr>
        <w:spacing w:after="0" w:line="146" w:lineRule="exact"/>
        <w:rPr>
          <w:rFonts w:ascii="Arial" w:cs="Arial" w:eastAsia="Arial" w:hAnsi="Arial"/>
          <w:sz w:val="19"/>
          <w:szCs w:val="19"/>
          <w:color w:val="auto"/>
        </w:rPr>
      </w:pPr>
    </w:p>
    <w:p>
      <w:pPr>
        <w:ind w:left="1300" w:firstLine="653"/>
        <w:spacing w:after="0" w:line="300" w:lineRule="auto"/>
        <w:tabs>
          <w:tab w:leader="none" w:pos="2416" w:val="left"/>
        </w:tabs>
        <w:numPr>
          <w:ilvl w:val="1"/>
          <w:numId w:val="41"/>
        </w:numPr>
        <w:rPr>
          <w:rFonts w:ascii="Arial" w:cs="Arial" w:eastAsia="Arial" w:hAnsi="Arial"/>
          <w:sz w:val="19"/>
          <w:szCs w:val="19"/>
          <w:color w:val="auto"/>
        </w:rPr>
      </w:pPr>
      <w:r>
        <w:rPr>
          <w:rFonts w:ascii="Arial" w:cs="Arial" w:eastAsia="Arial" w:hAnsi="Arial"/>
          <w:sz w:val="19"/>
          <w:szCs w:val="19"/>
          <w:color w:val="auto"/>
        </w:rPr>
        <w:t>shall impose, modify or deem applicable any reserve (including, without limitation, any reserve imposed by the Federal Reserve Board, but excluding any reserve included in the determination of Earned Discount), special deposit or similar requirement against assets of any Affected Party, deposits or obligations with or for the account of any Affected Party or with or for the account of any affiliate (or entity deemed by the Federal Reserve Board to be an affiliate) of any Affected Party, or credit extended by any Affected Party; or</w:t>
      </w:r>
    </w:p>
    <w:p>
      <w:pPr>
        <w:spacing w:after="0" w:line="147" w:lineRule="exact"/>
        <w:rPr>
          <w:rFonts w:ascii="Arial" w:cs="Arial" w:eastAsia="Arial" w:hAnsi="Arial"/>
          <w:sz w:val="19"/>
          <w:szCs w:val="19"/>
          <w:color w:val="auto"/>
        </w:rPr>
      </w:pPr>
    </w:p>
    <w:p>
      <w:pPr>
        <w:ind w:left="1300" w:right="140" w:firstLine="653"/>
        <w:spacing w:after="0" w:line="276" w:lineRule="auto"/>
        <w:tabs>
          <w:tab w:leader="none" w:pos="2416" w:val="left"/>
        </w:tabs>
        <w:numPr>
          <w:ilvl w:val="1"/>
          <w:numId w:val="41"/>
        </w:numPr>
        <w:rPr>
          <w:rFonts w:ascii="Arial" w:cs="Arial" w:eastAsia="Arial" w:hAnsi="Arial"/>
          <w:sz w:val="22"/>
          <w:szCs w:val="22"/>
          <w:color w:val="auto"/>
        </w:rPr>
      </w:pPr>
      <w:r>
        <w:rPr>
          <w:rFonts w:ascii="Arial" w:cs="Arial" w:eastAsia="Arial" w:hAnsi="Arial"/>
          <w:sz w:val="22"/>
          <w:szCs w:val="22"/>
          <w:color w:val="auto"/>
        </w:rPr>
        <w:t>shall change the amount of capital maintained or required or requested or directed to be maintained by any Affected Party; or</w:t>
      </w:r>
    </w:p>
    <w:p>
      <w:pPr>
        <w:spacing w:after="0" w:line="160" w:lineRule="exact"/>
        <w:rPr>
          <w:rFonts w:ascii="Arial" w:cs="Arial" w:eastAsia="Arial" w:hAnsi="Arial"/>
          <w:sz w:val="22"/>
          <w:szCs w:val="22"/>
          <w:color w:val="auto"/>
        </w:rPr>
      </w:pPr>
    </w:p>
    <w:p>
      <w:pPr>
        <w:ind w:left="1300" w:right="280" w:firstLine="653"/>
        <w:spacing w:after="0" w:line="260" w:lineRule="auto"/>
        <w:tabs>
          <w:tab w:leader="none" w:pos="2428" w:val="left"/>
        </w:tabs>
        <w:numPr>
          <w:ilvl w:val="1"/>
          <w:numId w:val="41"/>
        </w:numPr>
        <w:rPr>
          <w:rFonts w:ascii="Arial" w:cs="Arial" w:eastAsia="Arial" w:hAnsi="Arial"/>
          <w:sz w:val="22"/>
          <w:szCs w:val="22"/>
          <w:color w:val="auto"/>
        </w:rPr>
      </w:pPr>
      <w:r>
        <w:rPr>
          <w:rFonts w:ascii="Arial" w:cs="Arial" w:eastAsia="Arial" w:hAnsi="Arial"/>
          <w:sz w:val="22"/>
          <w:szCs w:val="22"/>
          <w:color w:val="auto"/>
        </w:rPr>
        <w:t>shall impose any other condition affecting any Asset Interest owned or funded in whole or in part by any Affected Party, or its obligations or rights, if any, to make Purchases or Reinvestments or to provide funding therefor; or</w:t>
      </w:r>
    </w:p>
    <w:p>
      <w:pPr>
        <w:spacing w:after="0" w:line="177" w:lineRule="exact"/>
        <w:rPr>
          <w:rFonts w:ascii="Arial" w:cs="Arial" w:eastAsia="Arial" w:hAnsi="Arial"/>
          <w:sz w:val="22"/>
          <w:szCs w:val="22"/>
          <w:color w:val="auto"/>
        </w:rPr>
      </w:pPr>
    </w:p>
    <w:p>
      <w:pPr>
        <w:ind w:left="1300" w:right="620" w:firstLine="653"/>
        <w:spacing w:after="0" w:line="276" w:lineRule="auto"/>
        <w:tabs>
          <w:tab w:leader="none" w:pos="2404" w:val="left"/>
        </w:tabs>
        <w:numPr>
          <w:ilvl w:val="1"/>
          <w:numId w:val="41"/>
        </w:numPr>
        <w:rPr>
          <w:rFonts w:ascii="Arial" w:cs="Arial" w:eastAsia="Arial" w:hAnsi="Arial"/>
          <w:sz w:val="22"/>
          <w:szCs w:val="22"/>
          <w:color w:val="auto"/>
        </w:rPr>
      </w:pPr>
      <w:r>
        <w:rPr>
          <w:rFonts w:ascii="Arial" w:cs="Arial" w:eastAsia="Arial" w:hAnsi="Arial"/>
          <w:sz w:val="22"/>
          <w:szCs w:val="22"/>
          <w:color w:val="auto"/>
        </w:rPr>
        <w:t>shall change the rate for, or the manner in which the Federal Deposit Insurance Corporation (or a successor thereto) assesses, deposit insurance premiums or similar charges;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and the result of any of the foregoing is or would be</w:t>
      </w:r>
    </w:p>
    <w:p>
      <w:pPr>
        <w:spacing w:after="0" w:line="220" w:lineRule="exact"/>
        <w:rPr>
          <w:sz w:val="20"/>
          <w:szCs w:val="20"/>
          <w:color w:val="auto"/>
        </w:rPr>
      </w:pPr>
    </w:p>
    <w:p>
      <w:pPr>
        <w:ind w:left="1300" w:right="240" w:firstLine="653"/>
        <w:spacing w:after="0" w:line="265" w:lineRule="auto"/>
        <w:tabs>
          <w:tab w:leader="none" w:pos="2464"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increase the cost to or to impose a cost on (1) an Affected Party funding or making or maintaining any Purchases or Reinvestments, any purchases, reinvestments, or loans or other extensions of credit under any Liquidity Agreement, or any commitment of such Affected Party with respect to any of the foregoing, or (2) any Agent for continuing its or the Seller’s relationship with any Investor,</w:t>
      </w:r>
    </w:p>
    <w:p>
      <w:pPr>
        <w:spacing w:after="0" w:line="175" w:lineRule="exact"/>
        <w:rPr>
          <w:rFonts w:ascii="Arial" w:cs="Arial" w:eastAsia="Arial" w:hAnsi="Arial"/>
          <w:sz w:val="21"/>
          <w:szCs w:val="21"/>
          <w:color w:val="auto"/>
        </w:rPr>
      </w:pPr>
    </w:p>
    <w:p>
      <w:pPr>
        <w:ind w:left="1300" w:right="140" w:firstLine="653"/>
        <w:spacing w:after="0" w:line="263" w:lineRule="auto"/>
        <w:tabs>
          <w:tab w:leader="none" w:pos="24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reduce the amount of any sum received or receivable by an Affected Party under this Agreement or under any Liquidity Agreement, or</w:t>
      </w:r>
    </w:p>
    <w:p>
      <w:pPr>
        <w:spacing w:after="0" w:line="174" w:lineRule="exact"/>
        <w:rPr>
          <w:rFonts w:ascii="Arial" w:cs="Arial" w:eastAsia="Arial" w:hAnsi="Arial"/>
          <w:sz w:val="22"/>
          <w:szCs w:val="22"/>
          <w:color w:val="auto"/>
        </w:rPr>
      </w:pPr>
    </w:p>
    <w:p>
      <w:pPr>
        <w:jc w:val="both"/>
        <w:ind w:left="1300" w:right="120" w:firstLine="653"/>
        <w:spacing w:after="0" w:line="253" w:lineRule="auto"/>
        <w:tabs>
          <w:tab w:leader="none" w:pos="24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reasonable determination of such Affected Party, to reduce the rate of return on the capital of an Affected Party as a consequence of its obligations hereunder or arising in connection herewith to a level below that which such Affected Party could otherwise have achieved,</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 within thirty days after demand by such Affected Party (which demand shall be accompanied by a certificate setting forth, in reasonable detail, the basis of such demand and the methodology for calculating, and the calculation of, the amounts claimed by the Affected Party), the Seller shall pay directly to such Affected Party such additional amount or amounts as will compensate such Affected Party for such additional or increased cost or such reduction.</w:t>
      </w:r>
    </w:p>
    <w:p>
      <w:pPr>
        <w:spacing w:after="0" w:line="188" w:lineRule="exact"/>
        <w:rPr>
          <w:sz w:val="20"/>
          <w:szCs w:val="20"/>
          <w:color w:val="auto"/>
        </w:rPr>
      </w:pPr>
    </w:p>
    <w:p>
      <w:pPr>
        <w:ind w:right="200" w:firstLine="656"/>
        <w:spacing w:after="0" w:line="251" w:lineRule="auto"/>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Each Affected Party will promptly notify the Seller, the Administrative Agent and the Purchaser Agent for the Purchaser Group of such Affected Party, if applicable, of any event of which it has knowledge (including any future event that, in the judgment of such Affected Party, is reasonably certain to occur) which will entitle such Affected Party to compensation pursuant to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 failure to give or delay in giving such notification shall adversely affect the rights of any Affected Party to such compensation.</w:t>
      </w:r>
    </w:p>
    <w:p>
      <w:pPr>
        <w:spacing w:after="0" w:line="189" w:lineRule="exact"/>
        <w:rPr>
          <w:rFonts w:ascii="Arial" w:cs="Arial" w:eastAsia="Arial" w:hAnsi="Arial"/>
          <w:sz w:val="22"/>
          <w:szCs w:val="22"/>
          <w:color w:val="auto"/>
        </w:rPr>
      </w:pPr>
    </w:p>
    <w:p>
      <w:pPr>
        <w:ind w:right="160" w:firstLine="656"/>
        <w:spacing w:after="0" w:line="300" w:lineRule="auto"/>
        <w:tabs>
          <w:tab w:leader="none" w:pos="106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In determining any amount provided for or referred to in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 Affected Party may use any reasonable averaging and attribution methods (consistent with its ordinary business practices) that it (in its reasonable discretion) shall deem applicable. Any Affected Party when making a claim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submit to the Seller the certificate (referred to in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above) as to such increased cost or reduced return (including calculation thereof in reasonable detail), which statement shall, in the absence of demonstrable error, be conclusive and binding upon the Seller.</w:t>
      </w:r>
    </w:p>
    <w:p>
      <w:pPr>
        <w:spacing w:after="0" w:line="147" w:lineRule="exact"/>
        <w:rPr>
          <w:rFonts w:ascii="Arial" w:cs="Arial" w:eastAsia="Arial" w:hAnsi="Arial"/>
          <w:sz w:val="19"/>
          <w:szCs w:val="19"/>
          <w:color w:val="auto"/>
        </w:rPr>
      </w:pPr>
    </w:p>
    <w:p>
      <w:pPr>
        <w:ind w:firstLine="656"/>
        <w:spacing w:after="0" w:line="261" w:lineRule="auto"/>
        <w:tabs>
          <w:tab w:leader="none" w:pos="10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For the avoidance of doubt, (w) any interpretation of FAS 166 or FAS 167 (or any successor Accounting Standards Codification Subtopic) by the Financial Accounting Standards Board and any pronouncement, interpretation or release by the International Accounting Standards Board, (x) any request, rule, guideline or directive under or issued in connection with the Dodd-Frank Wall Street Reform and Consumer Protection Act (whether or not having the force of law), regardless of the date enacted, adopted or issued, or (y) any request, rule, guideline or directive promulgated by the Bank for International Settlements, the Basel Committee on Banking Supervision (or any successor or similar authority) or United States regulatory authorities, in each case pursuant to Basel III, regardless of the date enacted, adopted or issued, shall, in each such case, constitute an adoption, change, request or directive subject to this </w:t>
      </w:r>
      <w:r>
        <w:rPr>
          <w:rFonts w:ascii="Arial" w:cs="Arial" w:eastAsia="Arial" w:hAnsi="Arial"/>
          <w:sz w:val="21"/>
          <w:szCs w:val="21"/>
          <w:u w:val="single" w:color="auto"/>
          <w:color w:val="auto"/>
        </w:rPr>
        <w:t>Section 4.2</w:t>
      </w:r>
      <w:r>
        <w:rPr>
          <w:rFonts w:ascii="Arial" w:cs="Arial" w:eastAsia="Arial" w:hAnsi="Arial"/>
          <w:sz w:val="21"/>
          <w:szCs w:val="21"/>
          <w:color w:val="auto"/>
        </w:rPr>
        <w: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color w:val="auto"/>
        </w:rPr>
        <w:t>Funding Losses</w:t>
      </w:r>
      <w:r>
        <w:rPr>
          <w:rFonts w:ascii="Arial" w:cs="Arial" w:eastAsia="Arial" w:hAnsi="Arial"/>
          <w:sz w:val="19"/>
          <w:szCs w:val="19"/>
          <w:b w:val="1"/>
          <w:bCs w:val="1"/>
          <w:color w:val="auto"/>
        </w:rPr>
        <w:t>.</w:t>
      </w:r>
    </w:p>
    <w:p>
      <w:pPr>
        <w:sectPr>
          <w:pgSz w:w="11900" w:h="16838" w:orient="portrait"/>
          <w:cols w:equalWidth="0" w:num="1">
            <w:col w:w="11400"/>
          </w:cols>
          <w:pgMar w:left="240" w:top="132" w:right="259" w:bottom="0" w:gutter="0" w:footer="0" w:header="0"/>
        </w:sectPr>
      </w:pPr>
    </w:p>
    <w:bookmarkStart w:id="58" w:name="page59"/>
    <w:bookmarkEnd w:id="58"/>
    <w:p>
      <w:pPr>
        <w:spacing w:after="0" w:line="9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In the event that any Purchaser or any Liquidity Bank shall actually incur any loss or expense (including any loss or expense incurred by reason of the liquidation or reemployment of deposits or other funds acquired by such Purchaser through the issuance of Commercial Paper Notes to fund any Purchase or such Liquidity Bank to make any Liquidity Funding or maintain any Liquidity Funding) as a result of (a) any settlement with respect to such Investor’s Purchaser Group’s Tranche Investment of all or any portion of any Asset Tranche being made by such Purchaser Group on any day other than the scheduled last day of an applicable CP Accrual Period or Yield Period with respect thereto (it being understood that the foregoing shall not apply to any portion of the Invested Amount that is accruing Earned Discount calculated by reference to the Base Rate), or (b) any Purchase not being made in accordance with a request therefor under </w:t>
      </w:r>
      <w:r>
        <w:rPr>
          <w:rFonts w:ascii="Arial" w:cs="Arial" w:eastAsia="Arial" w:hAnsi="Arial"/>
          <w:sz w:val="19"/>
          <w:szCs w:val="19"/>
          <w:u w:val="single" w:color="auto"/>
          <w:color w:val="auto"/>
        </w:rPr>
        <w:t>Section 1.2</w:t>
      </w:r>
      <w:r>
        <w:rPr>
          <w:rFonts w:ascii="Arial" w:cs="Arial" w:eastAsia="Arial" w:hAnsi="Arial"/>
          <w:sz w:val="19"/>
          <w:szCs w:val="19"/>
          <w:color w:val="auto"/>
        </w:rPr>
        <w:t>, then, upon written notice from any Purchaser Agent to the Seller and the Master Servicer, the Seller shall pay to the Master Servicer, and the Master Servicer shall pay to such Investor’s Purchaser Agent for the account of such Investor, the amount of such loss or expense. Such written notice (which shall include the methodology for calculating, and the calculation of, the amount of such loss or expense, in reasonable detail) shall, in the absence of demonstrable error, be conclusive and binding upon the Seller and the Master Servicer.</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Conditions of Purchases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color w:val="auto"/>
        </w:rPr>
        <w:t>Closing Date; Conditions Precedent to Initial Purchase.</w:t>
      </w:r>
    </w:p>
    <w:p>
      <w:pPr>
        <w:spacing w:after="0" w:line="239" w:lineRule="exact"/>
        <w:rPr>
          <w:sz w:val="20"/>
          <w:szCs w:val="20"/>
          <w:color w:val="auto"/>
        </w:rPr>
      </w:pPr>
    </w:p>
    <w:p>
      <w:pPr>
        <w:ind w:right="360" w:firstLine="656"/>
        <w:spacing w:after="0" w:line="254" w:lineRule="auto"/>
        <w:tabs>
          <w:tab w:leader="none" w:pos="1122"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This Agreement shall become effective on the date on which all of the below conditions in this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have been satisfied; the effectiveness of this Agreement is subject to the condition precedent that each Agent shall have received the following, each (unless otherwise indicated) dated such date or another recent date acceptable to each Agent and in form and substance satisfactory to each Agent:</w:t>
      </w:r>
    </w:p>
    <w:p>
      <w:pPr>
        <w:spacing w:after="0" w:line="185" w:lineRule="exact"/>
        <w:rPr>
          <w:rFonts w:ascii="Arial" w:cs="Arial" w:eastAsia="Arial" w:hAnsi="Arial"/>
          <w:sz w:val="22"/>
          <w:szCs w:val="22"/>
          <w:color w:val="auto"/>
        </w:rPr>
      </w:pPr>
    </w:p>
    <w:p>
      <w:pPr>
        <w:ind w:left="660" w:right="20" w:firstLine="645"/>
        <w:spacing w:after="0" w:line="278" w:lineRule="auto"/>
        <w:tabs>
          <w:tab w:leader="none" w:pos="1692" w:val="left"/>
        </w:tabs>
        <w:numPr>
          <w:ilvl w:val="1"/>
          <w:numId w:val="44"/>
        </w:numPr>
        <w:rPr>
          <w:rFonts w:ascii="Arial" w:cs="Arial" w:eastAsia="Arial" w:hAnsi="Arial"/>
          <w:sz w:val="21"/>
          <w:szCs w:val="21"/>
          <w:color w:val="auto"/>
        </w:rPr>
      </w:pPr>
      <w:r>
        <w:rPr>
          <w:rFonts w:ascii="Arial" w:cs="Arial" w:eastAsia="Arial" w:hAnsi="Arial"/>
          <w:sz w:val="21"/>
          <w:szCs w:val="21"/>
          <w:color w:val="auto"/>
        </w:rPr>
        <w:t>a copy of the resolutions of the board of directors (or similar governing body) of each Seller Party, Lennox International and each Originator approving each Transaction Document to be delivered by it hereunder and the transactions contemplated hereby and thereby, certified by its secretary or any other authorized person;</w:t>
      </w:r>
    </w:p>
    <w:p>
      <w:pPr>
        <w:spacing w:after="0" w:line="160" w:lineRule="exact"/>
        <w:rPr>
          <w:rFonts w:ascii="Arial" w:cs="Arial" w:eastAsia="Arial" w:hAnsi="Arial"/>
          <w:sz w:val="21"/>
          <w:szCs w:val="21"/>
          <w:color w:val="auto"/>
        </w:rPr>
      </w:pPr>
    </w:p>
    <w:p>
      <w:pPr>
        <w:jc w:val="both"/>
        <w:ind w:left="660" w:right="80" w:firstLine="645"/>
        <w:spacing w:after="0" w:line="260" w:lineRule="auto"/>
        <w:tabs>
          <w:tab w:leader="none" w:pos="1752" w:val="left"/>
        </w:tabs>
        <w:numPr>
          <w:ilvl w:val="1"/>
          <w:numId w:val="44"/>
        </w:numPr>
        <w:rPr>
          <w:rFonts w:ascii="Arial" w:cs="Arial" w:eastAsia="Arial" w:hAnsi="Arial"/>
          <w:sz w:val="22"/>
          <w:szCs w:val="22"/>
          <w:color w:val="auto"/>
        </w:rPr>
      </w:pPr>
      <w:r>
        <w:rPr>
          <w:rFonts w:ascii="Arial" w:cs="Arial" w:eastAsia="Arial" w:hAnsi="Arial"/>
          <w:sz w:val="22"/>
          <w:szCs w:val="22"/>
          <w:color w:val="auto"/>
        </w:rPr>
        <w:t>good standing certificates for each Seller Party, Lennox International and each Originator issued as of a recent date by the Secretary of State (or the equivalent) of the jurisdiction in which each such entity is organized and the Secretary of State (or the equivalent) of the state of its principal place of business;</w:t>
      </w:r>
    </w:p>
    <w:p>
      <w:pPr>
        <w:spacing w:after="0" w:line="177" w:lineRule="exact"/>
        <w:rPr>
          <w:rFonts w:ascii="Arial" w:cs="Arial" w:eastAsia="Arial" w:hAnsi="Arial"/>
          <w:sz w:val="22"/>
          <w:szCs w:val="22"/>
          <w:color w:val="auto"/>
        </w:rPr>
      </w:pPr>
    </w:p>
    <w:p>
      <w:pPr>
        <w:ind w:left="660" w:right="220" w:firstLine="645"/>
        <w:spacing w:after="0" w:line="251" w:lineRule="auto"/>
        <w:tabs>
          <w:tab w:leader="none" w:pos="1812"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a certificate of the secretary or assistant secretary of each Seller Party, Lennox International and each Originator certifying the names and true signatures of the officers authorized on its behalf to sign this Agreement and the other Transaction Documents to be delivered by it hereunder (on which certificate each Agent and each Investor may conclusively rely until such time as Agents shall receive from a Seller Party a revised certificate meeting the requirements of this </w:t>
      </w:r>
      <w:r>
        <w:rPr>
          <w:rFonts w:ascii="Arial" w:cs="Arial" w:eastAsia="Arial" w:hAnsi="Arial"/>
          <w:sz w:val="22"/>
          <w:szCs w:val="22"/>
          <w:u w:val="single" w:color="auto"/>
          <w:color w:val="auto"/>
        </w:rPr>
        <w:t>subsection (iii)</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1800" w:hanging="495"/>
        <w:spacing w:after="0"/>
        <w:tabs>
          <w:tab w:leader="none" w:pos="18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660" w:right="120" w:firstLine="645"/>
        <w:spacing w:after="0" w:line="263" w:lineRule="exact"/>
        <w:tabs>
          <w:tab w:leader="none" w:pos="17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the certificates of incorporation (or the equivalent) of each Seller Party, Lennox International and each Originator and all amendments thereto (including the amendment referred to in </w:t>
      </w:r>
      <w:r>
        <w:rPr>
          <w:rFonts w:ascii="Arial" w:cs="Arial" w:eastAsia="Arial" w:hAnsi="Arial"/>
          <w:sz w:val="19"/>
          <w:szCs w:val="19"/>
          <w:u w:val="single" w:color="auto"/>
          <w:color w:val="auto"/>
        </w:rPr>
        <w:t>subsection (iv)</w:t>
      </w:r>
      <w:r>
        <w:rPr>
          <w:rFonts w:ascii="Arial" w:cs="Arial" w:eastAsia="Arial" w:hAnsi="Arial"/>
          <w:sz w:val="19"/>
          <w:szCs w:val="19"/>
          <w:color w:val="auto"/>
        </w:rPr>
        <w:t xml:space="preserve"> above) duly certified as of a recent date by the Secretary of State (or the equivalent) of the jurisdiction in which each such entity is organized as of a recent date acceptable to each Agent, together with a copy of the by</w:t>
      </w:r>
      <w:r>
        <w:rPr>
          <w:rFonts w:ascii="MS PGothic" w:cs="MS PGothic" w:eastAsia="MS PGothic" w:hAnsi="MS PGothic"/>
          <w:sz w:val="19"/>
          <w:szCs w:val="19"/>
          <w:color w:val="auto"/>
        </w:rPr>
        <w:t>‑</w:t>
      </w:r>
      <w:r>
        <w:rPr>
          <w:rFonts w:ascii="Arial" w:cs="Arial" w:eastAsia="Arial" w:hAnsi="Arial"/>
          <w:sz w:val="19"/>
          <w:szCs w:val="19"/>
          <w:color w:val="auto"/>
        </w:rPr>
        <w:t>laws (or the equivalent) of each Seller Party and each Originator duly certified by the secretary or an assistant secretary of each entity;</w:t>
      </w:r>
    </w:p>
    <w:p>
      <w:pPr>
        <w:spacing w:after="0" w:line="201" w:lineRule="exact"/>
        <w:rPr>
          <w:rFonts w:ascii="Arial" w:cs="Arial" w:eastAsia="Arial" w:hAnsi="Arial"/>
          <w:sz w:val="19"/>
          <w:szCs w:val="19"/>
          <w:color w:val="auto"/>
        </w:rPr>
      </w:pPr>
    </w:p>
    <w:p>
      <w:pPr>
        <w:ind w:left="660" w:right="60" w:firstLine="645"/>
        <w:spacing w:after="0" w:line="262" w:lineRule="exact"/>
        <w:tabs>
          <w:tab w:leader="none" w:pos="18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acknowledgment copies of proper financing statements (form UCC</w:t>
      </w:r>
      <w:r>
        <w:rPr>
          <w:rFonts w:ascii="MS PGothic" w:cs="MS PGothic" w:eastAsia="MS PGothic" w:hAnsi="MS PGothic"/>
          <w:sz w:val="22"/>
          <w:szCs w:val="22"/>
          <w:color w:val="auto"/>
        </w:rPr>
        <w:t>‑</w:t>
      </w:r>
      <w:r>
        <w:rPr>
          <w:rFonts w:ascii="Arial" w:cs="Arial" w:eastAsia="Arial" w:hAnsi="Arial"/>
          <w:sz w:val="22"/>
          <w:szCs w:val="22"/>
          <w:color w:val="auto"/>
        </w:rPr>
        <w:t>1) or amendments to already filed financing statements (form UCC-3), filed on or prior to the date of the initial Purchase, naming (x) each Originator as the debtor and seller of Receivables, (y) Seller as secured party and purchaser and (z) Administrative Agent as assignee; and/or other similar instruments or documents, as may be necessary or, in the opinion of Administrative Agent, desirable under the UCC or any comparable law of all appropriate jurisdictions to perfect Seller’s and Investors’ interests in the Pool Receivables and the Related Assets;</w:t>
      </w:r>
    </w:p>
    <w:p>
      <w:pPr>
        <w:spacing w:after="0" w:line="200" w:lineRule="exact"/>
        <w:rPr>
          <w:rFonts w:ascii="Arial" w:cs="Arial" w:eastAsia="Arial" w:hAnsi="Arial"/>
          <w:sz w:val="22"/>
          <w:szCs w:val="22"/>
          <w:color w:val="auto"/>
        </w:rPr>
      </w:pPr>
    </w:p>
    <w:p>
      <w:pPr>
        <w:ind w:left="660" w:right="100" w:firstLine="645"/>
        <w:spacing w:after="0" w:line="262" w:lineRule="exact"/>
        <w:tabs>
          <w:tab w:leader="none" w:pos="18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acknowledgment copies of proper financing statements (Form UCC</w:t>
      </w:r>
      <w:r>
        <w:rPr>
          <w:rFonts w:ascii="MS PGothic" w:cs="MS PGothic" w:eastAsia="MS PGothic" w:hAnsi="MS PGothic"/>
          <w:sz w:val="19"/>
          <w:szCs w:val="19"/>
          <w:color w:val="auto"/>
        </w:rPr>
        <w:t>‑</w:t>
      </w:r>
      <w:r>
        <w:rPr>
          <w:rFonts w:ascii="Arial" w:cs="Arial" w:eastAsia="Arial" w:hAnsi="Arial"/>
          <w:sz w:val="19"/>
          <w:szCs w:val="19"/>
          <w:color w:val="auto"/>
        </w:rPr>
        <w:t xml:space="preserve">1), filed on or prior to the date of the initial Purchase, naming (x) Seller as the debtor and seller of Receivables or any undivided percentage ownership interest therein, and (y) Administrative Agent as the secured party; or other, similar instruments or documents, as may be necessary or, in the opinion of Administrative Agent, desirable under the UCC or any comparable law of all appropriate jurisdictions to perfect (A) Investors’ undivided percentage ownership interests and (B) the security interest referred to in </w:t>
      </w:r>
      <w:r>
        <w:rPr>
          <w:rFonts w:ascii="Arial" w:cs="Arial" w:eastAsia="Arial" w:hAnsi="Arial"/>
          <w:sz w:val="19"/>
          <w:szCs w:val="19"/>
          <w:u w:val="single" w:color="auto"/>
          <w:color w:val="auto"/>
        </w:rPr>
        <w:t>Section 9.1</w:t>
      </w:r>
      <w:r>
        <w:rPr>
          <w:rFonts w:ascii="Arial" w:cs="Arial" w:eastAsia="Arial" w:hAnsi="Arial"/>
          <w:sz w:val="19"/>
          <w:szCs w:val="19"/>
          <w:color w:val="auto"/>
        </w:rPr>
        <w:t>, in each case in the Pool Receivables and the Related Assets;</w:t>
      </w:r>
    </w:p>
    <w:p>
      <w:pPr>
        <w:spacing w:after="0" w:line="201" w:lineRule="exact"/>
        <w:rPr>
          <w:rFonts w:ascii="Arial" w:cs="Arial" w:eastAsia="Arial" w:hAnsi="Arial"/>
          <w:sz w:val="19"/>
          <w:szCs w:val="19"/>
          <w:color w:val="auto"/>
        </w:rPr>
      </w:pPr>
    </w:p>
    <w:p>
      <w:pPr>
        <w:ind w:left="660" w:right="120" w:firstLine="645"/>
        <w:spacing w:after="0" w:line="300" w:lineRule="auto"/>
        <w:tabs>
          <w:tab w:leader="none" w:pos="19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a search report by a nationally recognized search firm provided in writing to Administrative Agent listing all effective financing statements, state and federal tax or ERISA liens and judgments that name Seller or any Originator as debtor and that are filed in the jurisdictions in which filings were made pursuant to </w:t>
      </w:r>
      <w:r>
        <w:rPr>
          <w:rFonts w:ascii="Arial" w:cs="Arial" w:eastAsia="Arial" w:hAnsi="Arial"/>
          <w:sz w:val="19"/>
          <w:szCs w:val="19"/>
          <w:u w:val="single" w:color="auto"/>
          <w:color w:val="auto"/>
        </w:rPr>
        <w:t>subsections (vi)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and in such other jurisdictions and from such other Persons that Agent shall reasonably request, together with copies of such financing statements (none of which shall cover any Receivables or Related Assets);</w:t>
      </w:r>
    </w:p>
    <w:p>
      <w:pPr>
        <w:sectPr>
          <w:pgSz w:w="11900" w:h="16932" w:orient="portrait"/>
          <w:cols w:equalWidth="0" w:num="1">
            <w:col w:w="11420"/>
          </w:cols>
          <w:pgMar w:left="240" w:top="280" w:right="239" w:bottom="0" w:gutter="0" w:footer="0" w:header="0"/>
        </w:sectPr>
      </w:pPr>
    </w:p>
    <w:bookmarkStart w:id="59" w:name="page60"/>
    <w:bookmarkEnd w:id="59"/>
    <w:p>
      <w:pPr>
        <w:ind w:left="660" w:right="380" w:firstLine="645"/>
        <w:spacing w:after="0" w:line="276" w:lineRule="auto"/>
        <w:tabs>
          <w:tab w:leader="none" w:pos="18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duly executed copies of Lockbox Agreements with each of the Lockbox Banks with respect to each of the Lockbox Accounts;</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favorable opinions of Jones Day LLP, counsel for the Seller, the Master Servicer, Lennox International and the Originators, as to such matters as the Administrative Agent may reasonably request;</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duly executed copies of the Sale Agreement, confirmation of the Assurance Agreement and each Fee Letter;</w:t>
      </w:r>
    </w:p>
    <w:p>
      <w:pPr>
        <w:spacing w:after="0" w:line="267" w:lineRule="exact"/>
        <w:rPr>
          <w:rFonts w:ascii="Arial" w:cs="Arial" w:eastAsia="Arial" w:hAnsi="Arial"/>
          <w:sz w:val="19"/>
          <w:szCs w:val="19"/>
          <w:color w:val="auto"/>
        </w:rPr>
      </w:pPr>
    </w:p>
    <w:p>
      <w:pPr>
        <w:ind w:left="1860" w:hanging="555"/>
        <w:spacing w:after="0"/>
        <w:tabs>
          <w:tab w:leader="none" w:pos="18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completion of satisfactory due diligence by Administrative Agent and its counsel;</w:t>
      </w:r>
    </w:p>
    <w:p>
      <w:pPr>
        <w:spacing w:after="0" w:line="233" w:lineRule="exact"/>
        <w:rPr>
          <w:rFonts w:ascii="Arial" w:cs="Arial" w:eastAsia="Arial" w:hAnsi="Arial"/>
          <w:sz w:val="22"/>
          <w:szCs w:val="22"/>
          <w:color w:val="auto"/>
        </w:rPr>
      </w:pPr>
    </w:p>
    <w:p>
      <w:pPr>
        <w:ind w:left="660" w:right="180" w:firstLine="645"/>
        <w:spacing w:after="0" w:line="272" w:lineRule="exact"/>
        <w:tabs>
          <w:tab w:leader="none" w:pos="19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pro forma</w:t>
      </w:r>
      <w:r>
        <w:rPr>
          <w:rFonts w:ascii="Arial" w:cs="Arial" w:eastAsia="Arial" w:hAnsi="Arial"/>
          <w:sz w:val="22"/>
          <w:szCs w:val="22"/>
          <w:color w:val="auto"/>
        </w:rPr>
        <w:t xml:space="preserve"> Information Package, prepared in respect of the proposed initial Purchase, assuming a Cut</w:t>
      </w:r>
      <w:r>
        <w:rPr>
          <w:rFonts w:ascii="MS PGothic" w:cs="MS PGothic" w:eastAsia="MS PGothic" w:hAnsi="MS PGothic"/>
          <w:sz w:val="22"/>
          <w:szCs w:val="22"/>
          <w:color w:val="auto"/>
        </w:rPr>
        <w:t>‑</w:t>
      </w:r>
      <w:r>
        <w:rPr>
          <w:rFonts w:ascii="Arial" w:cs="Arial" w:eastAsia="Arial" w:hAnsi="Arial"/>
          <w:sz w:val="22"/>
          <w:szCs w:val="22"/>
          <w:color w:val="auto"/>
        </w:rPr>
        <w:t>Off Date of October 31, 2011;</w:t>
      </w:r>
    </w:p>
    <w:p>
      <w:pPr>
        <w:spacing w:after="0" w:line="198" w:lineRule="exact"/>
        <w:rPr>
          <w:rFonts w:ascii="Arial" w:cs="Arial" w:eastAsia="Arial" w:hAnsi="Arial"/>
          <w:sz w:val="22"/>
          <w:szCs w:val="22"/>
          <w:color w:val="auto"/>
        </w:rPr>
      </w:pPr>
    </w:p>
    <w:p>
      <w:pPr>
        <w:ind w:left="1900" w:hanging="595"/>
        <w:spacing w:after="0"/>
        <w:tabs>
          <w:tab w:leader="none" w:pos="19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written notice provided by the Seller setting forth the Seller’s Account</w:t>
      </w:r>
    </w:p>
    <w:p>
      <w:pPr>
        <w:spacing w:after="0" w:line="233" w:lineRule="exact"/>
        <w:rPr>
          <w:rFonts w:ascii="Arial" w:cs="Arial" w:eastAsia="Arial" w:hAnsi="Arial"/>
          <w:sz w:val="22"/>
          <w:szCs w:val="22"/>
          <w:color w:val="auto"/>
        </w:rPr>
      </w:pPr>
    </w:p>
    <w:p>
      <w:pPr>
        <w:ind w:left="660" w:right="80" w:firstLine="645"/>
        <w:spacing w:after="0" w:line="276" w:lineRule="auto"/>
        <w:tabs>
          <w:tab w:leader="none" w:pos="1848" w:val="left"/>
        </w:tabs>
        <w:numPr>
          <w:ilvl w:val="1"/>
          <w:numId w:val="45"/>
        </w:numPr>
        <w:rPr>
          <w:rFonts w:ascii="Arial" w:cs="Arial" w:eastAsia="Arial" w:hAnsi="Arial"/>
          <w:sz w:val="22"/>
          <w:szCs w:val="22"/>
          <w:color w:val="auto"/>
        </w:rPr>
      </w:pPr>
      <w:r>
        <w:rPr>
          <w:rFonts w:ascii="Arial" w:cs="Arial" w:eastAsia="Arial" w:hAnsi="Arial"/>
          <w:sz w:val="22"/>
          <w:szCs w:val="22"/>
          <w:color w:val="auto"/>
        </w:rPr>
        <w:t>such other agreements, instruments, certificates, opinions and other documents as Administrative Agent may reasonably request.</w:t>
      </w:r>
    </w:p>
    <w:p>
      <w:pPr>
        <w:spacing w:after="0" w:line="160" w:lineRule="exact"/>
        <w:rPr>
          <w:rFonts w:ascii="Arial" w:cs="Arial" w:eastAsia="Arial" w:hAnsi="Arial"/>
          <w:sz w:val="22"/>
          <w:szCs w:val="22"/>
          <w:color w:val="auto"/>
        </w:rPr>
      </w:pPr>
    </w:p>
    <w:p>
      <w:pPr>
        <w:ind w:right="60" w:firstLine="656"/>
        <w:spacing w:after="0" w:line="292" w:lineRule="auto"/>
        <w:tabs>
          <w:tab w:leader="none" w:pos="10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party hereto agrees and acknowledges that, in connection with Amendment No. 6 to this Agreement, dated as of the Sixth Amendment Date, the BTMU Purchaser Group Limit (as defined in the Prior RPA) is being changed to the amount set forth herein and the WFB Purchaser Group Limit is being added hereto. As a result thereof, the applicable Investors in the BTMU Purchaser Group which own the Asset Interest as of the date hereof shall transfer and assign a portion of the Asset Interest to the Investors in the WFB Purchaser Group so that after giving effect thereto, each Purchaser Group shall hold its Pro Rata Share (as determined pursuant to clause (b) of the definition thereof) of the Invested Amount outstanding at such time. On the Sixth Amendment Date, the applicable Investors in the WFB Purchaser Group making such purchase agree to make a cash payment to such Investors in the BTMU Purchaser Group in an amount equal to the aggregate Invested Amount so transferred.</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color w:val="auto"/>
        </w:rPr>
        <w:t>Conditions Precedent to All Purchases and Reinvestments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Each Purchase and each Reinvestment shall be subject to the conditions precedent that on the date of such Purchase or Reinvestment the following statements shall be true (and the Seller, by accepting the amount of such Purchase or by receiving the proceeds of such Reinvestment, and each other Seller Party, upon such acceptance or receipt by the Seller, shall be deemed to have certified that):</w:t>
      </w:r>
    </w:p>
    <w:p>
      <w:pPr>
        <w:spacing w:after="0" w:line="188" w:lineRule="exact"/>
        <w:rPr>
          <w:sz w:val="20"/>
          <w:szCs w:val="20"/>
          <w:color w:val="auto"/>
        </w:rPr>
      </w:pPr>
    </w:p>
    <w:p>
      <w:pPr>
        <w:ind w:right="20" w:firstLine="656"/>
        <w:spacing w:after="0" w:line="276" w:lineRule="auto"/>
        <w:tabs>
          <w:tab w:leader="none" w:pos="1068"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are correct in all material respects on and as of such day as though made on and as of such day and shall be deemed to have been made on such day,</w:t>
      </w:r>
    </w:p>
    <w:p>
      <w:pPr>
        <w:spacing w:after="0" w:line="160" w:lineRule="exact"/>
        <w:rPr>
          <w:rFonts w:ascii="Arial" w:cs="Arial" w:eastAsia="Arial" w:hAnsi="Arial"/>
          <w:sz w:val="22"/>
          <w:szCs w:val="22"/>
          <w:color w:val="auto"/>
        </w:rPr>
      </w:pPr>
    </w:p>
    <w:p>
      <w:pPr>
        <w:ind w:right="580" w:firstLine="656"/>
        <w:spacing w:after="0" w:line="276"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 event has occurred and is continuing, or would result from such Purchase or Reinvestment, that constitutes a Liquidation Event or Unmatured Liquidation Event,</w:t>
      </w:r>
    </w:p>
    <w:p>
      <w:pPr>
        <w:spacing w:after="0" w:line="160" w:lineRule="exact"/>
        <w:rPr>
          <w:rFonts w:ascii="Arial" w:cs="Arial" w:eastAsia="Arial" w:hAnsi="Arial"/>
          <w:sz w:val="22"/>
          <w:szCs w:val="22"/>
          <w:color w:val="auto"/>
        </w:rPr>
      </w:pPr>
    </w:p>
    <w:p>
      <w:pPr>
        <w:ind w:right="420" w:firstLine="656"/>
        <w:spacing w:after="0" w:line="320" w:lineRule="auto"/>
        <w:tabs>
          <w:tab w:leader="none" w:pos="1068" w:val="left"/>
        </w:tabs>
        <w:numPr>
          <w:ilvl w:val="0"/>
          <w:numId w:val="47"/>
        </w:numPr>
        <w:rPr>
          <w:rFonts w:ascii="Arial" w:cs="Arial" w:eastAsia="Arial" w:hAnsi="Arial"/>
          <w:sz w:val="19"/>
          <w:szCs w:val="19"/>
          <w:color w:val="auto"/>
        </w:rPr>
      </w:pPr>
      <w:r>
        <w:rPr>
          <w:rFonts w:ascii="Arial" w:cs="Arial" w:eastAsia="Arial" w:hAnsi="Arial"/>
          <w:sz w:val="19"/>
          <w:szCs w:val="19"/>
          <w:color w:val="auto"/>
        </w:rPr>
        <w:t>after giving effect to each proposed Purchase or Reinvestment, the Invested Amount will not exceed the Purchase Limit in effect at such time, no Purchaser Group’s Purchaser Group Invested Amount will exceed such Purchaser Group’s Purchaser Group Limit in effect at such time and the Asset Interest will not exceed the Allocation Limit,</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Termination Date shall not have occurred,</w:t>
      </w:r>
    </w:p>
    <w:p>
      <w:pPr>
        <w:spacing w:after="0" w:line="233" w:lineRule="exact"/>
        <w:rPr>
          <w:rFonts w:ascii="Arial" w:cs="Arial" w:eastAsia="Arial" w:hAnsi="Arial"/>
          <w:sz w:val="22"/>
          <w:szCs w:val="22"/>
          <w:color w:val="auto"/>
        </w:rPr>
      </w:pPr>
    </w:p>
    <w:p>
      <w:pPr>
        <w:ind w:right="520" w:firstLine="656"/>
        <w:spacing w:after="0" w:line="276" w:lineRule="auto"/>
        <w:tabs>
          <w:tab w:leader="none" w:pos="1068"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in the case of a Purchase, each Purchaser Agent shall have timely received an appropriate notice of the proposed Purchase in accordance with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right="120" w:firstLine="656"/>
        <w:spacing w:after="0" w:line="278" w:lineRule="auto"/>
        <w:tabs>
          <w:tab w:leader="none" w:pos="10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a completed Information Package or Interim Information Package (if applicable) shall have been delivered by the Master Servicer to the Administrative Agent and each Purchaser Agent, on behalf of such Purchaser Agent’s Purchaser Group, as of the applicable Reporting Date or Interim Reporting Date, as the case may be,</w:t>
      </w:r>
    </w:p>
    <w:p>
      <w:pPr>
        <w:spacing w:after="0" w:line="160" w:lineRule="exact"/>
        <w:rPr>
          <w:rFonts w:ascii="Arial" w:cs="Arial" w:eastAsia="Arial" w:hAnsi="Arial"/>
          <w:sz w:val="21"/>
          <w:szCs w:val="21"/>
          <w:color w:val="auto"/>
        </w:rPr>
      </w:pPr>
    </w:p>
    <w:p>
      <w:pPr>
        <w:ind w:right="360" w:firstLine="656"/>
        <w:spacing w:after="0" w:line="260"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both prior to and after giving effect to each proposed Purchase or Reinvestment, the requirements of the Credit Agreement and any other agreement evidencing any Material Indebtedness of Lennox International with respect to transfers of assets and creation of liens shall not have been violated,</w:t>
      </w:r>
    </w:p>
    <w:p>
      <w:pPr>
        <w:spacing w:after="0" w:line="177" w:lineRule="exact"/>
        <w:rPr>
          <w:rFonts w:ascii="Arial" w:cs="Arial" w:eastAsia="Arial" w:hAnsi="Arial"/>
          <w:sz w:val="22"/>
          <w:szCs w:val="22"/>
          <w:color w:val="auto"/>
        </w:rPr>
      </w:pPr>
    </w:p>
    <w:p>
      <w:pPr>
        <w:ind w:right="940" w:firstLine="656"/>
        <w:spacing w:after="0" w:line="276" w:lineRule="auto"/>
        <w:tabs>
          <w:tab w:leader="none" w:pos="10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after giving effect to each proposed Purchase or Reinvestment, the Weighted Average Term (with respect to Receivables included in the Net Pool Balance) shall not exceed 45 days,</w:t>
      </w:r>
    </w:p>
    <w:p>
      <w:pPr>
        <w:spacing w:after="0" w:line="160" w:lineRule="exact"/>
        <w:rPr>
          <w:rFonts w:ascii="Arial" w:cs="Arial" w:eastAsia="Arial" w:hAnsi="Arial"/>
          <w:sz w:val="22"/>
          <w:szCs w:val="22"/>
          <w:color w:val="auto"/>
        </w:rPr>
      </w:pPr>
    </w:p>
    <w:p>
      <w:pPr>
        <w:ind w:right="560" w:firstLine="656"/>
        <w:spacing w:after="0" w:line="276" w:lineRule="auto"/>
        <w:tabs>
          <w:tab w:leader="none" w:pos="10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other agreements, instruments, certificates, opinions and other documents as the Administrative Agent may reasonably request have been delivered, and</w:t>
      </w:r>
    </w:p>
    <w:p>
      <w:pPr>
        <w:spacing w:after="0" w:line="160" w:lineRule="exact"/>
        <w:rPr>
          <w:rFonts w:ascii="Arial" w:cs="Arial" w:eastAsia="Arial" w:hAnsi="Arial"/>
          <w:sz w:val="22"/>
          <w:szCs w:val="22"/>
          <w:color w:val="auto"/>
        </w:rPr>
      </w:pPr>
    </w:p>
    <w:p>
      <w:pPr>
        <w:ind w:right="60" w:firstLine="656"/>
        <w:spacing w:after="0" w:line="276" w:lineRule="auto"/>
        <w:tabs>
          <w:tab w:leader="none" w:pos="1032" w:val="left"/>
        </w:tabs>
        <w:numPr>
          <w:ilvl w:val="0"/>
          <w:numId w:val="47"/>
        </w:numPr>
        <w:rPr>
          <w:rFonts w:ascii="Arial" w:cs="Arial" w:eastAsia="Arial" w:hAnsi="Arial"/>
          <w:sz w:val="22"/>
          <w:szCs w:val="22"/>
          <w:color w:val="auto"/>
        </w:rPr>
      </w:pPr>
      <w:r>
        <w:rPr>
          <w:rFonts w:ascii="Arial" w:cs="Arial" w:eastAsia="Arial" w:hAnsi="Arial"/>
          <w:sz w:val="22"/>
          <w:szCs w:val="22"/>
          <w:color w:val="auto"/>
        </w:rPr>
        <w:t>each Originator shall have sold or contributed to the Seller, pursuant to the Sale Agreement, all Receivables arising on or prior to such date;</w:t>
      </w:r>
    </w:p>
    <w:p>
      <w:pPr>
        <w:sectPr>
          <w:pgSz w:w="11900" w:h="16838" w:orient="portrait"/>
          <w:cols w:equalWidth="0" w:num="1">
            <w:col w:w="11320"/>
          </w:cols>
          <w:pgMar w:left="240" w:top="307" w:right="339" w:bottom="0" w:gutter="0" w:footer="0" w:header="0"/>
        </w:sectPr>
      </w:pPr>
    </w:p>
    <w:bookmarkStart w:id="60" w:name="page61"/>
    <w:bookmarkEnd w:id="60"/>
    <w:p>
      <w:pPr>
        <w:ind w:right="22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absence of the occurrence and continuance of an Unmatured Liquidation Event shall not be a condition precedent to any Reinvestment or any Purchase on any day which does not cause the Invested Amount, after giving effect to such Reinvestment or Purchase, to exceed the Invested Amount as of the opening of business on such day.</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Representations and Warranties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color w:val="auto"/>
        </w:rPr>
        <w:t>Representations and Warranties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Each Seller Party represents and warrants as to itself, except when specifically provided, in which case, the specified Seller Party represents and warrants as follows:</w:t>
      </w:r>
    </w:p>
    <w:p>
      <w:pPr>
        <w:spacing w:after="0" w:line="175" w:lineRule="exact"/>
        <w:rPr>
          <w:sz w:val="20"/>
          <w:szCs w:val="20"/>
          <w:color w:val="auto"/>
        </w:rPr>
      </w:pPr>
    </w:p>
    <w:p>
      <w:pPr>
        <w:ind w:right="60" w:firstLine="656"/>
        <w:spacing w:after="0" w:line="262" w:lineRule="auto"/>
        <w:tabs>
          <w:tab w:leader="none" w:pos="1068"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Its jurisdiction of organization is correctly set forth in the preamble to this Agreement. It is duly organized and is a “registered organization” as defined in the UCC under the laws of that jurisdiction and no other state or jurisdiction. It is validly existing as a corporation in good standing under the laws of its state of organization, with power and authority to own its properties and to conduct its business as such properties are presently owned and such business is presently conducted. The Seller had at all relevant times, and now has, all necessary power, authority, and legal right to acquire and own the Pool Receivables and Related Assets. All of the issued and outstanding capital stock of the Seller is held by wholly-owned Subsidiaries of Lennox International. The Seller has no subsidiaries.</w:t>
      </w:r>
    </w:p>
    <w:p>
      <w:pPr>
        <w:spacing w:after="0" w:line="180" w:lineRule="exact"/>
        <w:rPr>
          <w:rFonts w:ascii="Arial" w:cs="Arial" w:eastAsia="Arial" w:hAnsi="Arial"/>
          <w:sz w:val="21"/>
          <w:szCs w:val="21"/>
          <w:color w:val="auto"/>
        </w:rPr>
      </w:pPr>
    </w:p>
    <w:p>
      <w:pPr>
        <w:ind w:right="360" w:firstLine="656"/>
        <w:spacing w:after="0" w:line="254" w:lineRule="auto"/>
        <w:tabs>
          <w:tab w:leader="none" w:pos="1080"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Due Qualification</w:t>
      </w:r>
      <w:r>
        <w:rPr>
          <w:rFonts w:ascii="Arial" w:cs="Arial" w:eastAsia="Arial" w:hAnsi="Arial"/>
          <w:sz w:val="22"/>
          <w:szCs w:val="22"/>
          <w:color w:val="auto"/>
        </w:rPr>
        <w:t>. It is duly qualified to do business as a foreign corporation in good standing, and has obtained all necessary licenses and approvals, in all jurisdictions in which the ownership or lease of property or the conduct of its business requires such qualification, licenses or approvals, except where the failure to be so qualified or have such licenses or approvals would not have a Material Adverse Effect.</w:t>
      </w:r>
    </w:p>
    <w:p>
      <w:pPr>
        <w:spacing w:after="0" w:line="185" w:lineRule="exact"/>
        <w:rPr>
          <w:rFonts w:ascii="Arial" w:cs="Arial" w:eastAsia="Arial" w:hAnsi="Arial"/>
          <w:sz w:val="22"/>
          <w:szCs w:val="22"/>
          <w:color w:val="auto"/>
        </w:rPr>
      </w:pPr>
    </w:p>
    <w:p>
      <w:pPr>
        <w:ind w:right="140" w:firstLine="656"/>
        <w:spacing w:after="0" w:line="294" w:lineRule="auto"/>
        <w:tabs>
          <w:tab w:leader="none" w:pos="1068"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Power and Authority; Due Authorization</w:t>
      </w:r>
      <w:r>
        <w:rPr>
          <w:rFonts w:ascii="Arial" w:cs="Arial" w:eastAsia="Arial" w:hAnsi="Arial"/>
          <w:sz w:val="19"/>
          <w:szCs w:val="19"/>
          <w:color w:val="auto"/>
        </w:rPr>
        <w:t xml:space="preserve">. It (i) has all necessary power, authority and legal right (A) to execute and deliver this Agreement and the other Transaction Documents to which it is a party, (B) to carry out the terms of the Transaction Documents to which it is a party, (C) in the case of the Master Servicer, to service the Receivables and the Related Assets in accordance with this Agreement and the Sale Agreement, and (D) in the case of the Seller, sell and assign the Asset Interest on the terms and conditions herein provided, and (ii) has duly authorized by all necessary corporate action the execution, delivery and performance of this Agreement and the other Transaction Documents and, in the case of the Seller, the sales and assignments described in </w:t>
      </w:r>
      <w:r>
        <w:rPr>
          <w:rFonts w:ascii="Arial" w:cs="Arial" w:eastAsia="Arial" w:hAnsi="Arial"/>
          <w:sz w:val="19"/>
          <w:szCs w:val="19"/>
          <w:u w:val="single" w:color="auto"/>
          <w:color w:val="auto"/>
        </w:rPr>
        <w:t>clause (i)(D)</w:t>
      </w:r>
      <w:r>
        <w:rPr>
          <w:rFonts w:ascii="Arial" w:cs="Arial" w:eastAsia="Arial" w:hAnsi="Arial"/>
          <w:sz w:val="19"/>
          <w:szCs w:val="19"/>
          <w:color w:val="auto"/>
        </w:rPr>
        <w:t xml:space="preserve"> above. It has duly executed and delivered each of the Transaction Documents to which it is a party.</w:t>
      </w:r>
    </w:p>
    <w:p>
      <w:pPr>
        <w:spacing w:after="0" w:line="152" w:lineRule="exact"/>
        <w:rPr>
          <w:rFonts w:ascii="Arial" w:cs="Arial" w:eastAsia="Arial" w:hAnsi="Arial"/>
          <w:sz w:val="19"/>
          <w:szCs w:val="19"/>
          <w:color w:val="auto"/>
        </w:rPr>
      </w:pPr>
    </w:p>
    <w:p>
      <w:pPr>
        <w:ind w:right="100" w:firstLine="656"/>
        <w:spacing w:after="0" w:line="297" w:lineRule="auto"/>
        <w:tabs>
          <w:tab w:leader="none" w:pos="1080"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Valid Sale; Binding Obligations</w:t>
      </w:r>
      <w:r>
        <w:rPr>
          <w:rFonts w:ascii="Arial" w:cs="Arial" w:eastAsia="Arial" w:hAnsi="Arial"/>
          <w:sz w:val="19"/>
          <w:szCs w:val="19"/>
          <w:color w:val="auto"/>
        </w:rPr>
        <w:t>. (i) This Agreement constitutes a valid sale, transfer, and assignment of the Asset Interest to the applicable Investors, enforceable against creditors of, and purchasers from, the Seller, and (ii) this Agreement and each other Transaction Document signed by such Seller Party constitutes, a legal, valid and binding obligation of such Seller Party, enforceable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46" w:lineRule="exact"/>
        <w:rPr>
          <w:rFonts w:ascii="Arial" w:cs="Arial" w:eastAsia="Arial" w:hAnsi="Arial"/>
          <w:sz w:val="19"/>
          <w:szCs w:val="19"/>
          <w:color w:val="auto"/>
        </w:rPr>
      </w:pPr>
    </w:p>
    <w:p>
      <w:pPr>
        <w:ind w:right="160" w:firstLine="656"/>
        <w:spacing w:after="0" w:line="287" w:lineRule="auto"/>
        <w:tabs>
          <w:tab w:leader="none" w:pos="1068"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execution, delivery and performance by it of this Agreement and the other Transaction Documents to which it is a party and the consummation by it of the transactions contemplated hereby and thereby will not (i) conflict with, result in any breach of any of the terms and provisions of, or constitute (with or without notice or lapse of time or both) a default under, its articles or certificate of incorporation or by-laws, or any material indenture, loan agreement, receivables purchase agreement, mortgage, deed of trust, or other agreement or instrument to which it is a party or by which it or any of its properties is bound (including, but not limited to, those agreements or instruments evidencing Material Indebtedness of Lennox International),</w:t>
      </w:r>
    </w:p>
    <w:p>
      <w:pPr>
        <w:spacing w:after="0" w:line="3" w:lineRule="exact"/>
        <w:rPr>
          <w:rFonts w:ascii="Arial" w:cs="Arial" w:eastAsia="Arial" w:hAnsi="Arial"/>
          <w:sz w:val="19"/>
          <w:szCs w:val="19"/>
          <w:color w:val="auto"/>
        </w:rPr>
      </w:pPr>
    </w:p>
    <w:p>
      <w:pPr>
        <w:ind w:right="320" w:firstLine="8"/>
        <w:spacing w:after="0" w:line="244" w:lineRule="auto"/>
        <w:tabs>
          <w:tab w:leader="none" w:pos="318"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result in the creation or imposition of any Lien upon any its properties pursuant to the terms of any such material indenture, loan agreement, receivables purchase agreement, mortgage, deed of trust, or other agreement or instrument, other than this Agreement and the other Transaction Documents, or (iii) violate any law or any order, rule, or regulation applicable to it of any court or of any federal or state regulatory body, administrative agency, or other governmental instrumentality having jurisdiction over it or any of its properties.</w:t>
      </w:r>
    </w:p>
    <w:p>
      <w:pPr>
        <w:spacing w:after="0" w:line="195" w:lineRule="exact"/>
        <w:rPr>
          <w:rFonts w:ascii="Arial" w:cs="Arial" w:eastAsia="Arial" w:hAnsi="Arial"/>
          <w:sz w:val="22"/>
          <w:szCs w:val="22"/>
          <w:color w:val="auto"/>
        </w:rPr>
      </w:pPr>
    </w:p>
    <w:p>
      <w:pPr>
        <w:ind w:right="200" w:firstLine="656"/>
        <w:spacing w:after="0" w:line="266" w:lineRule="auto"/>
        <w:tabs>
          <w:tab w:leader="none" w:pos="1044"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No Proceedings</w:t>
      </w:r>
      <w:r>
        <w:rPr>
          <w:rFonts w:ascii="Arial" w:cs="Arial" w:eastAsia="Arial" w:hAnsi="Arial"/>
          <w:sz w:val="21"/>
          <w:szCs w:val="21"/>
          <w:color w:val="auto"/>
        </w:rPr>
        <w:t>. There are no actions, proceedings or investigations pending, or, to its knowledge, threatened, before any Governmental Authority (i) asserting the invalidity of this Agreement or any other Transaction Document, (ii) seeking to prevent the sale and assignment of the Receivables under the Sale Agreement or of the Asset Interest under this Agreement or the consummation of any of the other transactions contemplated by this Agreement or any other Transaction Document, or (iii) that would have a Material Adverse Effect.</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Bulk Sales Act</w:t>
      </w:r>
      <w:r>
        <w:rPr>
          <w:rFonts w:ascii="Arial" w:cs="Arial" w:eastAsia="Arial" w:hAnsi="Arial"/>
          <w:sz w:val="21"/>
          <w:szCs w:val="21"/>
          <w:color w:val="auto"/>
        </w:rPr>
        <w:t>. No transaction contemplated hereby requires compliance with any bulk sales act or similar law.</w:t>
      </w:r>
    </w:p>
    <w:p>
      <w:pPr>
        <w:spacing w:after="0" w:line="244" w:lineRule="exact"/>
        <w:rPr>
          <w:rFonts w:ascii="Arial" w:cs="Arial" w:eastAsia="Arial" w:hAnsi="Arial"/>
          <w:sz w:val="21"/>
          <w:szCs w:val="21"/>
          <w:color w:val="auto"/>
        </w:rPr>
      </w:pPr>
    </w:p>
    <w:p>
      <w:pPr>
        <w:ind w:firstLine="656"/>
        <w:spacing w:after="0" w:line="307" w:lineRule="auto"/>
        <w:tabs>
          <w:tab w:leader="none" w:pos="1080"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Government Approvals</w:t>
      </w:r>
      <w:r>
        <w:rPr>
          <w:rFonts w:ascii="Arial" w:cs="Arial" w:eastAsia="Arial" w:hAnsi="Arial"/>
          <w:sz w:val="19"/>
          <w:szCs w:val="19"/>
          <w:color w:val="auto"/>
        </w:rPr>
        <w:t xml:space="preserve">. No authorization or approval or other action by, and no notice to or filing with, any Governmental Authority or regulatory body is required for the due execution, delivery and performance by it of this Agreement and each other Transaction Document to which it is a party, except, in the case of the Seller, for (i) the filing of the UCC financing statements referred to in </w:t>
      </w:r>
      <w:r>
        <w:rPr>
          <w:rFonts w:ascii="Arial" w:cs="Arial" w:eastAsia="Arial" w:hAnsi="Arial"/>
          <w:sz w:val="19"/>
          <w:szCs w:val="19"/>
          <w:u w:val="single" w:color="auto"/>
          <w:color w:val="auto"/>
        </w:rPr>
        <w:t>Article V</w:t>
      </w:r>
      <w:r>
        <w:rPr>
          <w:rFonts w:ascii="Arial" w:cs="Arial" w:eastAsia="Arial" w:hAnsi="Arial"/>
          <w:sz w:val="19"/>
          <w:szCs w:val="19"/>
          <w:color w:val="auto"/>
        </w:rPr>
        <w:t>, and (ii) the filing of any UCC continuation statements and amendments from time to time</w:t>
      </w:r>
    </w:p>
    <w:p>
      <w:pPr>
        <w:sectPr>
          <w:pgSz w:w="11900" w:h="16838" w:orient="portrait"/>
          <w:cols w:equalWidth="0" w:num="1">
            <w:col w:w="11420"/>
          </w:cols>
          <w:pgMar w:left="240" w:top="132" w:right="239" w:bottom="0" w:gutter="0" w:footer="0" w:header="0"/>
        </w:sectPr>
      </w:pPr>
    </w:p>
    <w:bookmarkStart w:id="61" w:name="page62"/>
    <w:bookmarkEnd w:id="61"/>
    <w:p>
      <w:pPr>
        <w:ind w:right="400"/>
        <w:spacing w:after="0" w:line="253" w:lineRule="auto"/>
        <w:rPr>
          <w:sz w:val="20"/>
          <w:szCs w:val="20"/>
          <w:color w:val="auto"/>
        </w:rPr>
      </w:pPr>
      <w:r>
        <w:rPr>
          <w:rFonts w:ascii="Arial" w:cs="Arial" w:eastAsia="Arial" w:hAnsi="Arial"/>
          <w:sz w:val="22"/>
          <w:szCs w:val="22"/>
          <w:color w:val="auto"/>
        </w:rPr>
        <w:t xml:space="preserve">required in relation to any UCC financing statements filed in connection with this Agreement, as provided in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all of which, at the time required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8.7</w:t>
      </w:r>
      <w:r>
        <w:rPr>
          <w:rFonts w:ascii="Arial" w:cs="Arial" w:eastAsia="Arial" w:hAnsi="Arial"/>
          <w:sz w:val="22"/>
          <w:szCs w:val="22"/>
          <w:color w:val="auto"/>
        </w:rPr>
        <w:t>, as applicable, shall have been duly made and shall be in full force and effect.</w:t>
      </w:r>
    </w:p>
    <w:p>
      <w:pPr>
        <w:spacing w:after="0" w:line="186" w:lineRule="exact"/>
        <w:rPr>
          <w:sz w:val="20"/>
          <w:szCs w:val="20"/>
          <w:color w:val="auto"/>
        </w:rPr>
      </w:pPr>
    </w:p>
    <w:p>
      <w:pPr>
        <w:ind w:firstLine="656"/>
        <w:spacing w:after="0" w:line="288" w:lineRule="auto"/>
        <w:tabs>
          <w:tab w:leader="none" w:pos="103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Financial Condition</w:t>
      </w:r>
      <w:r>
        <w:rPr>
          <w:rFonts w:ascii="Arial" w:cs="Arial" w:eastAsia="Arial" w:hAnsi="Arial"/>
          <w:sz w:val="19"/>
          <w:szCs w:val="19"/>
          <w:color w:val="auto"/>
        </w:rPr>
        <w:t xml:space="preserve">. (i) The consolidated and consolidating balance sheets of Lennox International and its consolidated subsidiaries as at December 31, 2010, and the related statements of income and shareholders’ equity of Lennox International and its consolidated subsidiaries for the fiscal year then ended, certified by KPMG LLP, independent certified public accountants, copies of which have been furnished to the Agents, fairly present in all material respects the consolidated financial condition of Lennox International and its consolidated subsidiaries as at such date and the consolidated results of the operations of Lennox International and its consolidated subsidiaries for the period ended on such date, all in accordance with GAAP consistently applied, (ii) since December 31, 2010 there has been no material adverse change in any such financial condition, business or operations, (iii) the balance sheet of the Seller as at September 30, 2011, certified by the chief financial officer or treasurer of the Seller by means of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copies of which have been furnished to the Agents, fairly present in all material respects the financial condition, assets and liabilities of the Seller as at such date, all in accordance with GAAP consistently applied, and (iv) since December 31, 2009 there has been no material adverse change in the Seller’s financial condition, business or operations.</w:t>
      </w:r>
    </w:p>
    <w:p>
      <w:pPr>
        <w:spacing w:after="0" w:line="162" w:lineRule="exact"/>
        <w:rPr>
          <w:rFonts w:ascii="Arial" w:cs="Arial" w:eastAsia="Arial" w:hAnsi="Arial"/>
          <w:sz w:val="19"/>
          <w:szCs w:val="19"/>
          <w:color w:val="auto"/>
        </w:rPr>
      </w:pPr>
    </w:p>
    <w:p>
      <w:pPr>
        <w:ind w:left="1040" w:hanging="384"/>
        <w:spacing w:after="0"/>
        <w:tabs>
          <w:tab w:leader="none" w:pos="10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Nature of Receivables</w:t>
      </w:r>
      <w:r>
        <w:rPr>
          <w:rFonts w:ascii="Arial" w:cs="Arial" w:eastAsia="Arial" w:hAnsi="Arial"/>
          <w:sz w:val="22"/>
          <w:szCs w:val="22"/>
          <w:color w:val="auto"/>
        </w:rPr>
        <w:t>. Each Receivable constitutes an “account” as such term is defined in the UCC.</w:t>
      </w:r>
    </w:p>
    <w:p>
      <w:pPr>
        <w:spacing w:after="0" w:line="233" w:lineRule="exact"/>
        <w:rPr>
          <w:rFonts w:ascii="Arial" w:cs="Arial" w:eastAsia="Arial" w:hAnsi="Arial"/>
          <w:sz w:val="22"/>
          <w:szCs w:val="22"/>
          <w:color w:val="auto"/>
        </w:rPr>
      </w:pPr>
    </w:p>
    <w:p>
      <w:pPr>
        <w:jc w:val="both"/>
        <w:ind w:right="100" w:firstLine="656"/>
        <w:spacing w:after="0" w:line="254" w:lineRule="auto"/>
        <w:tabs>
          <w:tab w:leader="none" w:pos="10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Margin Regulations</w:t>
      </w:r>
      <w:r>
        <w:rPr>
          <w:rFonts w:ascii="Arial" w:cs="Arial" w:eastAsia="Arial" w:hAnsi="Arial"/>
          <w:sz w:val="22"/>
          <w:szCs w:val="22"/>
          <w:color w:val="auto"/>
        </w:rPr>
        <w:t>. The use of all funds obtained by such Seller Party under this Agreement or any other Transaction Document will not conflict with or contravene any of Regulation T, U and X promulgated by the Federal Reserve Board from time to time or be used to acquire any equity security of a class which is registered pursuant to Section 12 of the Securities Exchange Act of 1934.</w:t>
      </w:r>
    </w:p>
    <w:p>
      <w:pPr>
        <w:spacing w:after="0" w:line="185" w:lineRule="exact"/>
        <w:rPr>
          <w:rFonts w:ascii="Arial" w:cs="Arial" w:eastAsia="Arial" w:hAnsi="Arial"/>
          <w:sz w:val="22"/>
          <w:szCs w:val="22"/>
          <w:color w:val="auto"/>
        </w:rPr>
      </w:pPr>
    </w:p>
    <w:p>
      <w:pPr>
        <w:ind w:firstLine="656"/>
        <w:spacing w:after="0" w:line="285" w:lineRule="auto"/>
        <w:tabs>
          <w:tab w:leader="none" w:pos="103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Quality of Title</w:t>
      </w:r>
      <w:r>
        <w:rPr>
          <w:rFonts w:ascii="Arial" w:cs="Arial" w:eastAsia="Arial" w:hAnsi="Arial"/>
          <w:sz w:val="19"/>
          <w:szCs w:val="19"/>
          <w:color w:val="auto"/>
        </w:rPr>
        <w:t xml:space="preserve">. (i) This Agreement creates a valid and continuing security interest (as defined in the applicable UCC) in the Collateral in favor of the Administrative Agent for the benefit of the Secured Parties, which security interest is prior to all other Liens and is enforceable as such against creditors of and purchasers from the Seller, (ii) the Seller owns and has good and marketable title to the Pool Receivables, Related Assets and the other Collateral free and clear of any Lien (other than any Lien arising solely as the result of any action taken by any Secured Parties (or any assignee thereof) or by the Administrative Agent in connection with the Transaction Documents); (iii) when any Purchaser makes a Purchase or Reinvestment, it shall have acquired and shall at all times thereafter continuously maintain a valid and perfected first priority undivided percentage ownership interest to the extent of the portion of the Asset Interest funded by the related Purchaser Group in the Pool Receivables and Related Assets, free and clear of any Lien (other than any Lien arising as the result of any action taken by any Secured Party (or any assignee thereof) or by the Administrative Agent in connection with the Transaction Documents); (iv) other than the security interest granted to the Administrative Agent for the benefit of the Secured Parties pursuant to this Agreement, the Seller has not pledged, assigned, sold or granted a security interest in, or otherwise conveyed any of the Collateral; (v) the Seller has not authorized the filing of, and is not aware of any financing statements against the Seller that include a description of collateral covering the Pool Receivables, Related Assets or any other Collateral except such as may be filed (A) in favor of the Originators in accordance with the Contracts, (B) in favor of the Seller in connection with the Sale Agreement or (C) in favor of the Secured Parties or the Administrative Agent in accordance with this Agreement or in connection with any Lien arising solely as the result of any action taken by the Secured Parties (or any assignee thereof) or by the Administrative Agent in connection with the Transaction Documents, and (vi) with respect to each Pool Receivable, the Seller (A) shall have received such Pool Receivable as a contribution to the capital of the Seller by the applicable Originator or (B) shall have purchased such Pool Receivable from the applicable Originator in exchange for payment (made by the Seller to the Originator in accordance with the provisions of the Sale Agreement) of cash, an increase in the principal amount of the Initial Seller Note and/or an increase in the preferred stock of the Seller held by such Originator, in all cases in an amount which constitutes fair consideration and reasonably equivalent value. Each such sale referred to in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of the preceding sentence shall not have been made for or on account of an antecedent debt owed by any Originator to the Seller and no such sale is or may be voidable or subject to avoidance under applicable law.</w:t>
      </w:r>
    </w:p>
    <w:p>
      <w:pPr>
        <w:spacing w:after="0" w:line="161" w:lineRule="exact"/>
        <w:rPr>
          <w:rFonts w:ascii="Arial" w:cs="Arial" w:eastAsia="Arial" w:hAnsi="Arial"/>
          <w:sz w:val="19"/>
          <w:szCs w:val="19"/>
          <w:color w:val="auto"/>
        </w:rPr>
      </w:pPr>
    </w:p>
    <w:p>
      <w:pPr>
        <w:ind w:firstLine="656"/>
        <w:spacing w:after="0" w:line="292" w:lineRule="auto"/>
        <w:tabs>
          <w:tab w:leader="none" w:pos="11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Accurate Reports</w:t>
      </w:r>
      <w:r>
        <w:rPr>
          <w:rFonts w:ascii="Arial" w:cs="Arial" w:eastAsia="Arial" w:hAnsi="Arial"/>
          <w:sz w:val="19"/>
          <w:szCs w:val="19"/>
          <w:color w:val="auto"/>
        </w:rPr>
        <w:t>. No Information Package or Interim Information Package (if prepared by such Seller Party, or to the extent information therein was supplied by such Seller Party) or other information, exhibit, financial statement, document, book, record or report furnished or to be furnished by or on behalf of such Seller Party to any Agent or any Investor pursuant to this Agreement was or will be inaccurate in any material respect as of the date it was or will be dated or (except as otherwise disclosed to such Agent or Purchaser at such time) as of the date so furnished, or contained or (in the case of information or other materials to be furnished in the future) will contain any material misstatement of fact or omitted or (in the case of information or other materials to be furnished in the future) will omit to state a material fact or any fact necessary to make the statements contained therein not materially misleading in light of the circumstances made or presented.</w:t>
      </w:r>
    </w:p>
    <w:p>
      <w:pPr>
        <w:spacing w:after="0" w:line="155" w:lineRule="exact"/>
        <w:rPr>
          <w:rFonts w:ascii="Arial" w:cs="Arial" w:eastAsia="Arial" w:hAnsi="Arial"/>
          <w:sz w:val="19"/>
          <w:szCs w:val="19"/>
          <w:color w:val="auto"/>
        </w:rPr>
      </w:pPr>
    </w:p>
    <w:p>
      <w:pPr>
        <w:ind w:firstLine="656"/>
        <w:spacing w:after="0" w:line="266" w:lineRule="auto"/>
        <w:tabs>
          <w:tab w:leader="none" w:pos="108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Offices</w:t>
      </w:r>
      <w:r>
        <w:rPr>
          <w:rFonts w:ascii="Arial" w:cs="Arial" w:eastAsia="Arial" w:hAnsi="Arial"/>
          <w:sz w:val="21"/>
          <w:szCs w:val="21"/>
          <w:color w:val="auto"/>
        </w:rPr>
        <w:t xml:space="preserve">. The principal places of business and chief executive offices of the Master Servicer and the Seller are located at the respective addresses set forth on </w:t>
      </w:r>
      <w:r>
        <w:rPr>
          <w:rFonts w:ascii="Arial" w:cs="Arial" w:eastAsia="Arial" w:hAnsi="Arial"/>
          <w:sz w:val="21"/>
          <w:szCs w:val="21"/>
          <w:u w:val="single" w:color="auto"/>
          <w:color w:val="auto"/>
        </w:rPr>
        <w:t>Schedule 14.2</w:t>
      </w:r>
      <w:r>
        <w:rPr>
          <w:rFonts w:ascii="Arial" w:cs="Arial" w:eastAsia="Arial" w:hAnsi="Arial"/>
          <w:sz w:val="21"/>
          <w:szCs w:val="21"/>
          <w:color w:val="auto"/>
        </w:rPr>
        <w:t xml:space="preserve">, and the offices where the Master Servicer and the Seller keep all their books, records and documents evidencing Pool Receivables, the related Contracts and all purchase orders and other agreements related to such Pool Receivables are located at the addresses specified in </w:t>
      </w:r>
      <w:r>
        <w:rPr>
          <w:rFonts w:ascii="Arial" w:cs="Arial" w:eastAsia="Arial" w:hAnsi="Arial"/>
          <w:sz w:val="21"/>
          <w:szCs w:val="21"/>
          <w:u w:val="single" w:color="auto"/>
          <w:color w:val="auto"/>
        </w:rPr>
        <w:t>Schedule 6.1(n)</w:t>
      </w:r>
      <w:r>
        <w:rPr>
          <w:rFonts w:ascii="Arial" w:cs="Arial" w:eastAsia="Arial" w:hAnsi="Arial"/>
          <w:sz w:val="21"/>
          <w:szCs w:val="21"/>
          <w:color w:val="auto"/>
        </w:rPr>
        <w:t xml:space="preserve"> (or at such other locations, notified to each Agent in accordance with </w:t>
      </w:r>
      <w:r>
        <w:rPr>
          <w:rFonts w:ascii="Arial" w:cs="Arial" w:eastAsia="Arial" w:hAnsi="Arial"/>
          <w:sz w:val="21"/>
          <w:szCs w:val="21"/>
          <w:u w:val="single" w:color="auto"/>
          <w:color w:val="auto"/>
        </w:rPr>
        <w:t>Section 7.1(f)</w:t>
      </w:r>
      <w:r>
        <w:rPr>
          <w:rFonts w:ascii="Arial" w:cs="Arial" w:eastAsia="Arial" w:hAnsi="Arial"/>
          <w:sz w:val="21"/>
          <w:szCs w:val="21"/>
          <w:color w:val="auto"/>
        </w:rPr>
        <w:t>, in the United States).</w:t>
      </w:r>
    </w:p>
    <w:p>
      <w:pPr>
        <w:sectPr>
          <w:pgSz w:w="11900" w:h="16838" w:orient="portrait"/>
          <w:cols w:equalWidth="0" w:num="1">
            <w:col w:w="11400"/>
          </w:cols>
          <w:pgMar w:left="240" w:top="132" w:right="259" w:bottom="96" w:gutter="0" w:footer="0" w:header="0"/>
        </w:sectPr>
      </w:pPr>
    </w:p>
    <w:bookmarkStart w:id="62" w:name="page63"/>
    <w:bookmarkEnd w:id="62"/>
    <w:p>
      <w:pPr>
        <w:ind w:left="-656" w:right="180" w:firstLine="656"/>
        <w:spacing w:after="0" w:line="297" w:lineRule="auto"/>
        <w:tabs>
          <w:tab w:leader="none" w:pos="42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Lockbox Accounts</w:t>
      </w:r>
      <w:r>
        <w:rPr>
          <w:rFonts w:ascii="Arial" w:cs="Arial" w:eastAsia="Arial" w:hAnsi="Arial"/>
          <w:sz w:val="19"/>
          <w:szCs w:val="19"/>
          <w:color w:val="auto"/>
        </w:rPr>
        <w:t xml:space="preserve">. The names and addresses of all the Lockbox Banks, together with the account numbers of the Lockbox Accounts of the Seller at each Lockbox Bank and the post office box numbers of the lockboxes, are listed on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(or have been notified to and approved by the Agents in accordance with </w:t>
      </w:r>
      <w:r>
        <w:rPr>
          <w:rFonts w:ascii="Arial" w:cs="Arial" w:eastAsia="Arial" w:hAnsi="Arial"/>
          <w:sz w:val="19"/>
          <w:szCs w:val="19"/>
          <w:u w:val="single" w:color="auto"/>
          <w:color w:val="auto"/>
        </w:rPr>
        <w:t>Section 7.3(d)</w:t>
      </w:r>
      <w:r>
        <w:rPr>
          <w:rFonts w:ascii="Arial" w:cs="Arial" w:eastAsia="Arial" w:hAnsi="Arial"/>
          <w:sz w:val="19"/>
          <w:szCs w:val="19"/>
          <w:color w:val="auto"/>
        </w:rPr>
        <w:t>) and are the only post office boxes and accounts into which Collections of Receivables are deposited or remitted. The Seller has not granted any Person, other than the Administrative Agent for the benefit of the Secured Parties as contemplated by this Agreement, control of any lockbox or Lockbox Account, or the right to take control of any such lockbox or Lockbox Account at a future time.</w:t>
      </w:r>
    </w:p>
    <w:p>
      <w:pPr>
        <w:spacing w:after="0" w:line="146" w:lineRule="exact"/>
        <w:rPr>
          <w:rFonts w:ascii="Arial" w:cs="Arial" w:eastAsia="Arial" w:hAnsi="Arial"/>
          <w:sz w:val="19"/>
          <w:szCs w:val="19"/>
          <w:color w:val="auto"/>
        </w:rPr>
      </w:pPr>
    </w:p>
    <w:p>
      <w:pPr>
        <w:ind w:left="-656" w:firstLine="656"/>
        <w:spacing w:after="0" w:line="264" w:lineRule="auto"/>
        <w:tabs>
          <w:tab w:leader="none" w:pos="424"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Eligible Receivables</w:t>
      </w:r>
      <w:r>
        <w:rPr>
          <w:rFonts w:ascii="Arial" w:cs="Arial" w:eastAsia="Arial" w:hAnsi="Arial"/>
          <w:sz w:val="21"/>
          <w:szCs w:val="21"/>
          <w:color w:val="auto"/>
        </w:rPr>
        <w:t xml:space="preserve">. Each Receivable characterized in any Information Package, Interim Information Package or other written statement made by or on behalf of the Seller as an Eligible Receivable or as included in the Net Pool Balance is, as of the date of such Information Package, Interim Information Package or other written statement and on the date of any Purchase, Reinvestment or computation of Net Pool Balance, an Eligible Receivable on such date and properly included in the Net Pool Balance on such date. On the date of each Purchase and Reinvestment (and after giving effect thereto and to any payments made pursuant to </w:t>
      </w:r>
      <w:r>
        <w:rPr>
          <w:rFonts w:ascii="Arial" w:cs="Arial" w:eastAsia="Arial" w:hAnsi="Arial"/>
          <w:sz w:val="21"/>
          <w:szCs w:val="21"/>
          <w:u w:val="single" w:color="auto"/>
          <w:color w:val="auto"/>
        </w:rPr>
        <w:t>Section 3.1(c)</w:t>
      </w:r>
      <w:r>
        <w:rPr>
          <w:rFonts w:ascii="Arial" w:cs="Arial" w:eastAsia="Arial" w:hAnsi="Arial"/>
          <w:sz w:val="21"/>
          <w:szCs w:val="21"/>
          <w:color w:val="auto"/>
        </w:rPr>
        <w:t>), the Asset Interest is not greater than 100%.</w:t>
      </w:r>
    </w:p>
    <w:p>
      <w:pPr>
        <w:spacing w:after="0" w:line="175" w:lineRule="exact"/>
        <w:rPr>
          <w:rFonts w:ascii="Arial" w:cs="Arial" w:eastAsia="Arial" w:hAnsi="Arial"/>
          <w:sz w:val="21"/>
          <w:szCs w:val="21"/>
          <w:color w:val="auto"/>
        </w:rPr>
      </w:pPr>
    </w:p>
    <w:p>
      <w:pPr>
        <w:ind w:left="-656" w:right="760" w:firstLine="656"/>
        <w:spacing w:after="0" w:line="358" w:lineRule="auto"/>
        <w:tabs>
          <w:tab w:leader="none" w:pos="42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Servicing Programs</w:t>
      </w:r>
      <w:r>
        <w:rPr>
          <w:rFonts w:ascii="Arial" w:cs="Arial" w:eastAsia="Arial" w:hAnsi="Arial"/>
          <w:sz w:val="19"/>
          <w:szCs w:val="19"/>
          <w:color w:val="auto"/>
        </w:rPr>
        <w:t>. No license or approval is required for any Agent’s use of any program used by the Master Servicer in the servicing of the Receivables, other than those which have been obtained and are in full force and effect.</w:t>
      </w:r>
    </w:p>
    <w:p>
      <w:pPr>
        <w:spacing w:after="0" w:line="90" w:lineRule="exact"/>
        <w:rPr>
          <w:rFonts w:ascii="Arial" w:cs="Arial" w:eastAsia="Arial" w:hAnsi="Arial"/>
          <w:sz w:val="19"/>
          <w:szCs w:val="19"/>
          <w:color w:val="auto"/>
        </w:rPr>
      </w:pPr>
    </w:p>
    <w:p>
      <w:pPr>
        <w:ind w:left="-656" w:right="60" w:firstLine="656"/>
        <w:spacing w:after="0" w:line="276" w:lineRule="auto"/>
        <w:tabs>
          <w:tab w:leader="none" w:pos="38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Compliance with Credit and Collection Policy</w:t>
      </w:r>
      <w:r>
        <w:rPr>
          <w:rFonts w:ascii="Arial" w:cs="Arial" w:eastAsia="Arial" w:hAnsi="Arial"/>
          <w:sz w:val="22"/>
          <w:szCs w:val="22"/>
          <w:color w:val="auto"/>
        </w:rPr>
        <w:t>. With respect to each Eligible Receivable, it has complied in all material respects with the Credit and Collection Policy.</w:t>
      </w:r>
    </w:p>
    <w:p>
      <w:pPr>
        <w:spacing w:after="0" w:line="160" w:lineRule="exact"/>
        <w:rPr>
          <w:rFonts w:ascii="Arial" w:cs="Arial" w:eastAsia="Arial" w:hAnsi="Arial"/>
          <w:sz w:val="22"/>
          <w:szCs w:val="22"/>
          <w:color w:val="auto"/>
        </w:rPr>
      </w:pPr>
    </w:p>
    <w:p>
      <w:pPr>
        <w:ind w:left="-656" w:right="220" w:firstLine="656"/>
        <w:spacing w:after="0" w:line="297" w:lineRule="auto"/>
        <w:tabs>
          <w:tab w:leader="none" w:pos="40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(i) The fair value of the property of the Seller is greater than the total amount of liabilities, including contingent liabilities, of the Seller, (ii) the present fair salable value of the assets of the Seller is not less than the amount that will be required to pay all probable liabilities of the Seller on its debts as they become absolute and matured, (iii) the Seller does not intend to, and does not believe that it will, incur debts or liabilities beyond the Seller’s abilities to pay such debts and liabilities as they mature and (iv) the Seller is not engaged in a business or a transaction, and is not about to engage in a business or a transaction, for which the Seller’s property would constitute unreasonably small capital.</w:t>
      </w:r>
    </w:p>
    <w:p>
      <w:pPr>
        <w:spacing w:after="0" w:line="146" w:lineRule="exact"/>
        <w:rPr>
          <w:rFonts w:ascii="Arial" w:cs="Arial" w:eastAsia="Arial" w:hAnsi="Arial"/>
          <w:sz w:val="19"/>
          <w:szCs w:val="19"/>
          <w:color w:val="auto"/>
        </w:rPr>
      </w:pPr>
    </w:p>
    <w:p>
      <w:pPr>
        <w:ind w:left="-656" w:right="60" w:firstLine="656"/>
        <w:spacing w:after="0" w:line="276" w:lineRule="auto"/>
        <w:tabs>
          <w:tab w:leader="none" w:pos="37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Names</w:t>
      </w:r>
      <w:r>
        <w:rPr>
          <w:rFonts w:ascii="Arial" w:cs="Arial" w:eastAsia="Arial" w:hAnsi="Arial"/>
          <w:sz w:val="22"/>
          <w:szCs w:val="22"/>
          <w:color w:val="auto"/>
        </w:rPr>
        <w:t>. Since the date of its incorporation, the Seller has not used any corporate names, trade names or assumed names other than the name in which it has executed this Agreement.</w:t>
      </w:r>
    </w:p>
    <w:p>
      <w:pPr>
        <w:spacing w:after="0" w:line="160" w:lineRule="exact"/>
        <w:rPr>
          <w:rFonts w:ascii="Arial" w:cs="Arial" w:eastAsia="Arial" w:hAnsi="Arial"/>
          <w:sz w:val="22"/>
          <w:szCs w:val="22"/>
          <w:color w:val="auto"/>
        </w:rPr>
      </w:pPr>
    </w:p>
    <w:p>
      <w:pPr>
        <w:ind w:left="-656" w:right="80" w:firstLine="656"/>
        <w:spacing w:after="0" w:line="266" w:lineRule="auto"/>
        <w:tabs>
          <w:tab w:leader="none" w:pos="424"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Ownership of the Seller</w:t>
      </w:r>
      <w:r>
        <w:rPr>
          <w:rFonts w:ascii="Arial" w:cs="Arial" w:eastAsia="Arial" w:hAnsi="Arial"/>
          <w:sz w:val="21"/>
          <w:szCs w:val="21"/>
          <w:color w:val="auto"/>
        </w:rPr>
        <w:t xml:space="preserve">. 100% of the issued and outstanding capital stock of the Seller is held by wholly-owned Subsidiaries of Lennox International, free and clear of any Lien. Such capital stock is validly issued, fully paid and nonassessable, and there are no options, warrants or other rights to acquire securities of the Seller. As of the date of this Agreement, the identity of all holders of capital stock of the Seller and the Initial Seller Notes, the type of capital stock and the amounts of all such capital stock and Initial Seller Notes held by such holders is as set forth on </w:t>
      </w:r>
      <w:r>
        <w:rPr>
          <w:rFonts w:ascii="Arial" w:cs="Arial" w:eastAsia="Arial" w:hAnsi="Arial"/>
          <w:sz w:val="21"/>
          <w:szCs w:val="21"/>
          <w:u w:val="single" w:color="auto"/>
          <w:color w:val="auto"/>
        </w:rPr>
        <w:t>Schedule 6.1(u)</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left="-656" w:right="140" w:firstLine="656"/>
        <w:spacing w:after="0" w:line="297" w:lineRule="auto"/>
        <w:tabs>
          <w:tab w:leader="none" w:pos="42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Investment Company</w:t>
      </w:r>
      <w:r>
        <w:rPr>
          <w:rFonts w:ascii="Arial" w:cs="Arial" w:eastAsia="Arial" w:hAnsi="Arial"/>
          <w:sz w:val="19"/>
          <w:szCs w:val="19"/>
          <w:color w:val="auto"/>
        </w:rPr>
        <w:t>. The Seller (i) is not a “covered fund” under the Volcker Rule and (ii) is not, and after giving effect to the transactions contemplated hereby, will not be required to register as, an “investment company” within the meaning of the Investment Company Act of 1940, as amended from time to time, or any successor statute. In determining that the Seller is not a covered fund, the Seller either does not rely solely on the exemption from the definition of “investment company” set forth in Section 3(c)(1) and/or 3(c)(7) of the Investment Company Act of 1940, as amended from time to time, or any successor statute, or is entitled to the benefit of the exclusion for loan securitizations in the Volcker Rule under 17 C.F.R. 75.10(c)(8).</w:t>
      </w:r>
    </w:p>
    <w:p>
      <w:pPr>
        <w:spacing w:after="0" w:line="146" w:lineRule="exact"/>
        <w:rPr>
          <w:rFonts w:ascii="Arial" w:cs="Arial" w:eastAsia="Arial" w:hAnsi="Arial"/>
          <w:sz w:val="19"/>
          <w:szCs w:val="19"/>
          <w:color w:val="auto"/>
        </w:rPr>
      </w:pPr>
    </w:p>
    <w:p>
      <w:pPr>
        <w:ind w:left="-656" w:right="120" w:firstLine="656"/>
        <w:spacing w:after="0" w:line="266" w:lineRule="auto"/>
        <w:tabs>
          <w:tab w:leader="none" w:pos="472"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Each Seller Party has filed all material tax returns and reports required by law to have been filed by it and has paid all taxes and governmental charges thereby shown to be owing, except for immaterial amounts, unless such immaterial amounts give rise to a Lien, and except for any such taxes which are not yet delinquent or are being diligently contested in good faith by appropriate proceedings and for which adequate reserves in accordance with GAAP shall have been set aside on its books. The Seller is not aware of any judgment or tax lien filings against it.</w:t>
      </w:r>
    </w:p>
    <w:p>
      <w:pPr>
        <w:spacing w:after="0" w:line="174" w:lineRule="exact"/>
        <w:rPr>
          <w:rFonts w:ascii="Arial" w:cs="Arial" w:eastAsia="Arial" w:hAnsi="Arial"/>
          <w:sz w:val="21"/>
          <w:szCs w:val="21"/>
          <w:color w:val="auto"/>
        </w:rPr>
      </w:pPr>
    </w:p>
    <w:p>
      <w:pPr>
        <w:ind w:left="-656" w:right="540" w:firstLine="656"/>
        <w:spacing w:after="0" w:line="260" w:lineRule="auto"/>
        <w:tabs>
          <w:tab w:leader="none" w:pos="42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Seller Party is in compliance with all applicable laws, rules, regulations and orders, including those with respect to the Pool Receivables and related Contracts, except where the failure to so comply would not individually or in the aggregate have a Material Adverse Effect.</w:t>
      </w:r>
    </w:p>
    <w:p>
      <w:pPr>
        <w:spacing w:after="0" w:line="177" w:lineRule="exact"/>
        <w:rPr>
          <w:rFonts w:ascii="Arial" w:cs="Arial" w:eastAsia="Arial" w:hAnsi="Arial"/>
          <w:sz w:val="22"/>
          <w:szCs w:val="22"/>
          <w:color w:val="auto"/>
        </w:rPr>
      </w:pPr>
    </w:p>
    <w:p>
      <w:pPr>
        <w:ind w:left="-656" w:right="960" w:firstLine="656"/>
        <w:spacing w:after="0" w:line="276" w:lineRule="auto"/>
        <w:tabs>
          <w:tab w:leader="none" w:pos="42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Liquidation Event</w:t>
      </w:r>
      <w:r>
        <w:rPr>
          <w:rFonts w:ascii="Arial" w:cs="Arial" w:eastAsia="Arial" w:hAnsi="Arial"/>
          <w:sz w:val="22"/>
          <w:szCs w:val="22"/>
          <w:color w:val="auto"/>
        </w:rPr>
        <w:t>. No event has occurred and is continuing that constitutes a Liquidation Event, Unmatured Liquidation Event or Credit Event.</w:t>
      </w:r>
    </w:p>
    <w:p>
      <w:pPr>
        <w:spacing w:after="0" w:line="160" w:lineRule="exact"/>
        <w:rPr>
          <w:rFonts w:ascii="Arial" w:cs="Arial" w:eastAsia="Arial" w:hAnsi="Arial"/>
          <w:sz w:val="22"/>
          <w:szCs w:val="22"/>
          <w:color w:val="auto"/>
        </w:rPr>
      </w:pPr>
    </w:p>
    <w:p>
      <w:pPr>
        <w:ind w:left="-656" w:right="500" w:firstLine="656"/>
        <w:spacing w:after="0" w:line="358" w:lineRule="auto"/>
        <w:tabs>
          <w:tab w:leader="none" w:pos="412"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Prior Seller Activities</w:t>
      </w:r>
      <w:r>
        <w:rPr>
          <w:rFonts w:ascii="Arial" w:cs="Arial" w:eastAsia="Arial" w:hAnsi="Arial"/>
          <w:sz w:val="19"/>
          <w:szCs w:val="19"/>
          <w:color w:val="auto"/>
        </w:rPr>
        <w:t>. The Seller was incorporated on June 9, 2000, and since such date it has not engaged in any business activities other than the transactions contemplated by and permitted by its certificate of incorporation.</w:t>
      </w:r>
    </w:p>
    <w:p>
      <w:pPr>
        <w:spacing w:after="0" w:line="91" w:lineRule="exact"/>
        <w:rPr>
          <w:sz w:val="20"/>
          <w:szCs w:val="20"/>
          <w:color w:val="auto"/>
        </w:rPr>
      </w:pPr>
    </w:p>
    <w:p>
      <w:pPr>
        <w:ind w:left="-656" w:right="40" w:firstLine="656"/>
        <w:spacing w:after="0" w:line="297" w:lineRule="auto"/>
        <w:tabs>
          <w:tab w:leader="none" w:pos="50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Policies and procedures have been implemented and maintained by or on behalf of each of the Seller Parties that are designed to achieve compliance by the Seller Parties and their respective Subsidiaries, directors, officers, employees and agents with Anti-Corruption Laws and applicable Sanctions, giving due regard to the nature of such Person’s business and activities, and each of the Seller Parties, their respective Subsidiaries and their respective officers and employees and, to the knowledge of each of the Seller Parties, their respective officers, employees, directors and agents acting in any capacity in connection with or directly benefitting from the facility established hereby, are in compliance with Anti-Corruption</w:t>
      </w:r>
    </w:p>
    <w:p>
      <w:pPr>
        <w:sectPr>
          <w:pgSz w:w="11900" w:h="16838" w:orient="portrait"/>
          <w:cols w:equalWidth="0" w:num="1">
            <w:col w:w="10764"/>
          </w:cols>
          <w:pgMar w:left="896" w:top="132" w:right="239" w:bottom="0" w:gutter="0" w:footer="0" w:header="0"/>
        </w:sectPr>
      </w:pPr>
    </w:p>
    <w:bookmarkStart w:id="63" w:name="page64"/>
    <w:bookmarkEnd w:id="63"/>
    <w:p>
      <w:pPr>
        <w:ind w:right="20"/>
        <w:spacing w:after="0" w:line="288" w:lineRule="auto"/>
        <w:rPr>
          <w:sz w:val="20"/>
          <w:szCs w:val="20"/>
          <w:color w:val="auto"/>
        </w:rPr>
      </w:pPr>
      <w:r>
        <w:rPr>
          <w:rFonts w:ascii="Arial" w:cs="Arial" w:eastAsia="Arial" w:hAnsi="Arial"/>
          <w:sz w:val="19"/>
          <w:szCs w:val="19"/>
          <w:color w:val="auto"/>
        </w:rPr>
        <w:t>Laws and applicable Sanctions, in each case in all material respects. None of (i) the Seller Parties or any of their respective Subsidiaries or, to the knowledge of the Seller Parties, as applicable, any of their respective directors, officers, employees, or agents that will act in any capacity in connection with or directly benefit from the facility established hereby, is a Sanctioned Person, and</w:t>
      </w:r>
    </w:p>
    <w:p>
      <w:pPr>
        <w:spacing w:after="0" w:line="1" w:lineRule="exact"/>
        <w:rPr>
          <w:sz w:val="20"/>
          <w:szCs w:val="20"/>
          <w:color w:val="auto"/>
        </w:rPr>
      </w:pPr>
    </w:p>
    <w:p>
      <w:pPr>
        <w:ind w:right="40" w:firstLine="8"/>
        <w:spacing w:after="0" w:line="245" w:lineRule="auto"/>
        <w:tabs>
          <w:tab w:leader="none" w:pos="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Seller Parties nor any of their respective Subsidiaries is organized or resident in a Sanctioned Country. No Asset Interests purchased hereunder, amounts paid by the Purchasers and/or the Liquidity Banks hereunder to the Seller, or use of proceeds thereof by Seller in any manner, will violate Anti-Corruption Laws or applicable Sanctions.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w:t>
      </w:r>
    </w:p>
    <w:p>
      <w:pPr>
        <w:spacing w:after="0" w:line="274" w:lineRule="exact"/>
        <w:rPr>
          <w:sz w:val="20"/>
          <w:szCs w:val="20"/>
          <w:color w:val="auto"/>
        </w:rPr>
      </w:pPr>
    </w:p>
    <w:p>
      <w:pPr>
        <w:ind w:left="660" w:right="4000" w:firstLine="3357"/>
        <w:spacing w:after="0" w:line="454" w:lineRule="auto"/>
        <w:rPr>
          <w:sz w:val="20"/>
          <w:szCs w:val="20"/>
          <w:color w:val="auto"/>
        </w:rPr>
      </w:pPr>
      <w:r>
        <w:rPr>
          <w:rFonts w:ascii="Arial" w:cs="Arial" w:eastAsia="Arial" w:hAnsi="Arial"/>
          <w:sz w:val="22"/>
          <w:szCs w:val="22"/>
          <w:u w:val="single" w:color="auto"/>
          <w:color w:val="auto"/>
        </w:rPr>
        <w:t xml:space="preserve">General Covenants of the Seller Parties </w:t>
      </w:r>
      <w:r>
        <w:rPr>
          <w:rFonts w:ascii="Arial" w:cs="Arial" w:eastAsia="Arial" w:hAnsi="Arial"/>
          <w:sz w:val="22"/>
          <w:szCs w:val="22"/>
          <w:b w:val="1"/>
          <w:bCs w:val="1"/>
          <w:color w:val="auto"/>
        </w:rPr>
        <w:t xml:space="preserve">Section 7.1 </w:t>
      </w:r>
      <w:r>
        <w:rPr>
          <w:rFonts w:ascii="Arial" w:cs="Arial" w:eastAsia="Arial" w:hAnsi="Arial"/>
          <w:sz w:val="22"/>
          <w:szCs w:val="22"/>
          <w:color w:val="auto"/>
        </w:rPr>
        <w:t>Affirmative Covenants of the Seller Parties</w:t>
      </w:r>
      <w:r>
        <w:rPr>
          <w:rFonts w:ascii="Arial" w:cs="Arial" w:eastAsia="Arial" w:hAnsi="Arial"/>
          <w:sz w:val="22"/>
          <w:szCs w:val="22"/>
          <w:b w:val="1"/>
          <w:bCs w:val="1"/>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the Final Payout Date, unless each Agent shall otherwise consent in writing:</w:t>
      </w:r>
    </w:p>
    <w:p>
      <w:pPr>
        <w:spacing w:after="0" w:line="220" w:lineRule="exact"/>
        <w:rPr>
          <w:sz w:val="20"/>
          <w:szCs w:val="20"/>
          <w:color w:val="auto"/>
        </w:rPr>
      </w:pPr>
    </w:p>
    <w:p>
      <w:pPr>
        <w:ind w:right="320" w:firstLine="656"/>
        <w:spacing w:after="0" w:line="260" w:lineRule="auto"/>
        <w:tabs>
          <w:tab w:leader="none" w:pos="1068"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Compliance With Laws, Etc</w:t>
      </w:r>
      <w:r>
        <w:rPr>
          <w:rFonts w:ascii="Arial" w:cs="Arial" w:eastAsia="Arial" w:hAnsi="Arial"/>
          <w:sz w:val="22"/>
          <w:szCs w:val="22"/>
          <w:color w:val="auto"/>
        </w:rPr>
        <w:t>. Each Seller Party will comply in all material respects with all applicable laws, rules, regulations and orders, including those with respect to the Pool Receivables and related Contracts, except where the failure to so comply would not individually or in the aggregate have a Material Adverse Effect.</w:t>
      </w:r>
    </w:p>
    <w:p>
      <w:pPr>
        <w:spacing w:after="0" w:line="177" w:lineRule="exact"/>
        <w:rPr>
          <w:rFonts w:ascii="Arial" w:cs="Arial" w:eastAsia="Arial" w:hAnsi="Arial"/>
          <w:sz w:val="22"/>
          <w:szCs w:val="22"/>
          <w:color w:val="auto"/>
        </w:rPr>
      </w:pPr>
    </w:p>
    <w:p>
      <w:pPr>
        <w:ind w:right="160" w:firstLine="656"/>
        <w:spacing w:after="0" w:line="270" w:lineRule="auto"/>
        <w:tabs>
          <w:tab w:leader="none" w:pos="108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Preservation of Corporate Existence</w:t>
      </w:r>
      <w:r>
        <w:rPr>
          <w:rFonts w:ascii="Arial" w:cs="Arial" w:eastAsia="Arial" w:hAnsi="Arial"/>
          <w:sz w:val="21"/>
          <w:szCs w:val="21"/>
          <w:color w:val="auto"/>
        </w:rPr>
        <w:t>. Each Seller Party will preserve and maintain its corporate existence, status as a “registered organization”, rights, franchises and privileges in the jurisdiction of its incorporation, and qualify and remain qualified in good standing as a foreign corporation in each jurisdiction where the failure to preserve and maintain such existence, rights, franchises, privileges and qualification would have a Material Adverse Effect.</w:t>
      </w:r>
    </w:p>
    <w:p>
      <w:pPr>
        <w:spacing w:after="0" w:line="169" w:lineRule="exact"/>
        <w:rPr>
          <w:rFonts w:ascii="Arial" w:cs="Arial" w:eastAsia="Arial" w:hAnsi="Arial"/>
          <w:sz w:val="21"/>
          <w:szCs w:val="21"/>
          <w:color w:val="auto"/>
        </w:rPr>
      </w:pPr>
    </w:p>
    <w:p>
      <w:pPr>
        <w:ind w:firstLine="656"/>
        <w:spacing w:after="0" w:line="285" w:lineRule="auto"/>
        <w:tabs>
          <w:tab w:leader="none" w:pos="106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xml:space="preserve">. Each Seller Party will (i) at any time and from time to time upon not less than five (5) Business Days’ notice (unless a Liquidation Event has occurred and is continuing (or any Agent believes in good faith that a Liquidation Event has occurred and is continuing), in which case no such notice shall be required) during such Seller Party’s regular business hours, permit the Administrative Agent along with each Purchaser Agent, on behalf of such Purchaser Agent’s Purchaser Group, or any of its agents or representatives, (A) to conduct audits of the Pool Receivables and examine and make copies of and abstracts from all books, records and documents (including, without limitation, computer tapes and disks) in the possession or under the control of such Seller Party relating to Pool Receivables and the Related Assets, including, without limitation, the related Contracts and purchase orders and other agreements, and (B) to visit the offices and properties of such Seller Party for the purpose of examining such materials described in </w:t>
      </w:r>
      <w:r>
        <w:rPr>
          <w:rFonts w:ascii="Arial" w:cs="Arial" w:eastAsia="Arial" w:hAnsi="Arial"/>
          <w:sz w:val="19"/>
          <w:szCs w:val="19"/>
          <w:u w:val="single" w:color="auto"/>
          <w:color w:val="auto"/>
        </w:rPr>
        <w:t>clause (i)(A)</w:t>
      </w:r>
      <w:r>
        <w:rPr>
          <w:rFonts w:ascii="Arial" w:cs="Arial" w:eastAsia="Arial" w:hAnsi="Arial"/>
          <w:sz w:val="19"/>
          <w:szCs w:val="19"/>
          <w:color w:val="auto"/>
        </w:rPr>
        <w:t xml:space="preserve"> next above, and to discuss matters relating to Pool Receivables and the Related Assets or such Seller Party’s performance hereunder with any of the officers or employees (with notification to and coordination with the treasurer of such Seller Party or his designee) of such Seller Party having knowledge of such matters; (ii) permit each Purchaser Agent or any of its respective agents or representatives, upon not less than five (5) Business Days’ notice from such Purchaser Agent and the consent (which consent shall not unreasonably be withheld or delayed) of such Seller Party (unless a Liquidation Event has occurred and is continuing (or such Purchaser Agent believes in good faith that a Liquidation Event has occurred and is continuing) in which case no such notice or consent shall be required), to meet with the independent auditors of such Seller Party, to review such auditors’ work papers and otherwise to review with such auditors the books and records of such Seller Party with respect to the Pool Receivables and the Related Assets; and (iii) without limiting the provisions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next above, from time to time, at the expense of such Seller Party, permit certified public accountants or other auditors acceptable to each Purchaser Agent to conduct a review of such Seller Party’s books and records with respect to the Pool Receivables and the Related Assets; </w:t>
      </w:r>
      <w:r>
        <w:rPr>
          <w:rFonts w:ascii="Arial" w:cs="Arial" w:eastAsia="Arial" w:hAnsi="Arial"/>
          <w:sz w:val="19"/>
          <w:szCs w:val="19"/>
          <w:u w:val="single" w:color="auto"/>
          <w:color w:val="auto"/>
        </w:rPr>
        <w:t>provided</w:t>
      </w:r>
      <w:r>
        <w:rPr>
          <w:rFonts w:ascii="Arial" w:cs="Arial" w:eastAsia="Arial" w:hAnsi="Arial"/>
          <w:sz w:val="19"/>
          <w:szCs w:val="19"/>
          <w:color w:val="auto"/>
        </w:rPr>
        <w:t>, that, so long as no Liquidation Event has occurred and is continuing, (I) such reviews shall not be done more than two (2) times in any one calendar year and (II) the Seller Parties shall be responsible for the costs and expenses of one such review in any one calendar year.</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right="60" w:firstLine="656"/>
        <w:spacing w:after="0" w:line="300" w:lineRule="auto"/>
        <w:tabs>
          <w:tab w:leader="none" w:pos="108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Keeping of Records and Books of Account</w:t>
      </w:r>
      <w:r>
        <w:rPr>
          <w:rFonts w:ascii="Arial" w:cs="Arial" w:eastAsia="Arial" w:hAnsi="Arial"/>
          <w:sz w:val="19"/>
          <w:szCs w:val="19"/>
          <w:color w:val="auto"/>
        </w:rPr>
        <w:t>. The Master Servicer will maintain and implement administrative and operating procedures (including, without limitation, an ability to recreate records evidencing Pool Receivables in the event of the destruction of the originals thereof), and keep and maintain, all documents, books, records and other information reasonably necessary or advisable for the collection of all Pool Receivables (including, without limitation, records adequate to permit the daily identification of outstanding Unpaid Balances by Obligor and related debit and credit details of the Pool Receivables).</w:t>
      </w:r>
    </w:p>
    <w:p>
      <w:pPr>
        <w:spacing w:after="0" w:line="147" w:lineRule="exact"/>
        <w:rPr>
          <w:rFonts w:ascii="Arial" w:cs="Arial" w:eastAsia="Arial" w:hAnsi="Arial"/>
          <w:sz w:val="19"/>
          <w:szCs w:val="19"/>
          <w:color w:val="auto"/>
        </w:rPr>
      </w:pPr>
    </w:p>
    <w:p>
      <w:pPr>
        <w:ind w:right="240" w:firstLine="656"/>
        <w:spacing w:after="0" w:line="278" w:lineRule="auto"/>
        <w:tabs>
          <w:tab w:leader="none" w:pos="1068"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Performance and Compliance with Receivables and Contracts</w:t>
      </w:r>
      <w:r>
        <w:rPr>
          <w:rFonts w:ascii="Arial" w:cs="Arial" w:eastAsia="Arial" w:hAnsi="Arial"/>
          <w:sz w:val="21"/>
          <w:szCs w:val="21"/>
          <w:color w:val="auto"/>
        </w:rPr>
        <w:t>. Each Seller Party will, at its expense, timely and fully perform and comply with all material provisions, covenants and other promises, if any, required to be observed by it under the Contracts related to the Pool Receivables and all agreements related to such Pool Receivables.</w:t>
      </w:r>
    </w:p>
    <w:p>
      <w:pPr>
        <w:spacing w:after="0" w:line="160" w:lineRule="exact"/>
        <w:rPr>
          <w:rFonts w:ascii="Arial" w:cs="Arial" w:eastAsia="Arial" w:hAnsi="Arial"/>
          <w:sz w:val="21"/>
          <w:szCs w:val="21"/>
          <w:color w:val="auto"/>
        </w:rPr>
      </w:pPr>
    </w:p>
    <w:p>
      <w:pPr>
        <w:ind w:right="200" w:firstLine="656"/>
        <w:spacing w:after="0" w:line="251" w:lineRule="auto"/>
        <w:tabs>
          <w:tab w:leader="none" w:pos="10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Location of Records</w:t>
      </w:r>
      <w:r>
        <w:rPr>
          <w:rFonts w:ascii="Arial" w:cs="Arial" w:eastAsia="Arial" w:hAnsi="Arial"/>
          <w:sz w:val="22"/>
          <w:szCs w:val="22"/>
          <w:color w:val="auto"/>
        </w:rPr>
        <w:t xml:space="preserve">. Each Seller Party will keep its chief place of business and chief executive office, and the offices where it keeps its records concerning the Pool Receivables, the Related Assets, including all related Contracts and all agreements related to such Pool Receivables (and all original documents relating thereto), at the address(es) of the Master Servicer and the Seller referred to in </w:t>
      </w:r>
      <w:r>
        <w:rPr>
          <w:rFonts w:ascii="Arial" w:cs="Arial" w:eastAsia="Arial" w:hAnsi="Arial"/>
          <w:sz w:val="22"/>
          <w:szCs w:val="22"/>
          <w:u w:val="single" w:color="auto"/>
          <w:color w:val="auto"/>
        </w:rPr>
        <w:t>Section 6.1(n)</w:t>
      </w:r>
      <w:r>
        <w:rPr>
          <w:rFonts w:ascii="Arial" w:cs="Arial" w:eastAsia="Arial" w:hAnsi="Arial"/>
          <w:sz w:val="22"/>
          <w:szCs w:val="22"/>
          <w:color w:val="auto"/>
        </w:rPr>
        <w:t xml:space="preserve"> or, upon 30 days’ prior written notice to the Administrative Agent, at other locations in the United States.</w:t>
      </w:r>
    </w:p>
    <w:p>
      <w:pPr>
        <w:spacing w:after="0" w:line="189" w:lineRule="exact"/>
        <w:rPr>
          <w:rFonts w:ascii="Arial" w:cs="Arial" w:eastAsia="Arial" w:hAnsi="Arial"/>
          <w:sz w:val="22"/>
          <w:szCs w:val="22"/>
          <w:color w:val="auto"/>
        </w:rPr>
      </w:pPr>
    </w:p>
    <w:p>
      <w:pPr>
        <w:ind w:right="360" w:firstLine="656"/>
        <w:spacing w:after="0" w:line="276" w:lineRule="auto"/>
        <w:tabs>
          <w:tab w:leader="none" w:pos="10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Credit and Collection Policies</w:t>
      </w:r>
      <w:r>
        <w:rPr>
          <w:rFonts w:ascii="Arial" w:cs="Arial" w:eastAsia="Arial" w:hAnsi="Arial"/>
          <w:sz w:val="22"/>
          <w:szCs w:val="22"/>
          <w:color w:val="auto"/>
        </w:rPr>
        <w:t>. Each Seller Party will comply in all material respects with the Credit and Collection Policy in regard to each Pool Receivable and the related Contract.</w:t>
      </w:r>
    </w:p>
    <w:p>
      <w:pPr>
        <w:sectPr>
          <w:pgSz w:w="11900" w:h="16838" w:orient="portrait"/>
          <w:cols w:equalWidth="0" w:num="1">
            <w:col w:w="11420"/>
          </w:cols>
          <w:pgMar w:left="240" w:top="132" w:right="239" w:bottom="0" w:gutter="0" w:footer="0" w:header="0"/>
        </w:sectPr>
      </w:pPr>
    </w:p>
    <w:bookmarkStart w:id="64" w:name="page65"/>
    <w:bookmarkEnd w:id="64"/>
    <w:p>
      <w:pPr>
        <w:jc w:val="both"/>
        <w:ind w:left="-656" w:right="200" w:firstLine="656"/>
        <w:spacing w:after="0" w:line="260" w:lineRule="auto"/>
        <w:tabs>
          <w:tab w:leader="none" w:pos="42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Sale Agreement</w:t>
      </w:r>
      <w:r>
        <w:rPr>
          <w:rFonts w:ascii="Arial" w:cs="Arial" w:eastAsia="Arial" w:hAnsi="Arial"/>
          <w:sz w:val="22"/>
          <w:szCs w:val="22"/>
          <w:color w:val="auto"/>
        </w:rPr>
        <w:t>. The Seller will perform and comply in all material respects with all of its covenants and agreements set forth in the Sale Agreement, and will enforce the performance by the Originators of their respective obligations under the Sale Agreement.</w:t>
      </w:r>
    </w:p>
    <w:p>
      <w:pPr>
        <w:spacing w:after="0" w:line="177" w:lineRule="exact"/>
        <w:rPr>
          <w:rFonts w:ascii="Arial" w:cs="Arial" w:eastAsia="Arial" w:hAnsi="Arial"/>
          <w:sz w:val="22"/>
          <w:szCs w:val="22"/>
          <w:color w:val="auto"/>
        </w:rPr>
      </w:pPr>
    </w:p>
    <w:p>
      <w:pPr>
        <w:ind w:left="-656" w:firstLine="656"/>
        <w:spacing w:after="0" w:line="294" w:lineRule="auto"/>
        <w:tabs>
          <w:tab w:leader="none" w:pos="37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Deposit to Lockbox Accounts</w:t>
      </w:r>
      <w:r>
        <w:rPr>
          <w:rFonts w:ascii="Arial" w:cs="Arial" w:eastAsia="Arial" w:hAnsi="Arial"/>
          <w:sz w:val="19"/>
          <w:szCs w:val="19"/>
          <w:color w:val="auto"/>
        </w:rPr>
        <w:t>. The Seller and the Master Servicer shall instruct all Obligors to deposit all Collections to the Lockbox Accounts. Upon the establishment of the Collection Account, if any, the Master Servicer shall instruct each Lockbox Bank to deposit all Collections to the Collection Account. The Seller and the Master Servicer will not give any contrary or conflicting instructions, and will, upon the request of the Master Servicer or the Administrative Agent, confirm such instructions by the Master Servicer or take such other action as may be reasonably required to give effect to such instructions. If the Seller shall receive any Collections directly, it shall immediately (and in any event within two (2) Business Days) deposit the same to a lockbox connected to a Lockbox Account, a Lockbox Account or the Collection Account in the same form received.</w:t>
      </w:r>
    </w:p>
    <w:p>
      <w:pPr>
        <w:spacing w:after="0" w:line="152" w:lineRule="exact"/>
        <w:rPr>
          <w:rFonts w:ascii="Arial" w:cs="Arial" w:eastAsia="Arial" w:hAnsi="Arial"/>
          <w:sz w:val="19"/>
          <w:szCs w:val="19"/>
          <w:color w:val="auto"/>
        </w:rPr>
      </w:pPr>
    </w:p>
    <w:p>
      <w:pPr>
        <w:ind w:left="-656" w:right="20" w:firstLine="656"/>
        <w:spacing w:after="0" w:line="247" w:lineRule="auto"/>
        <w:tabs>
          <w:tab w:leader="none" w:pos="37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Policies and procedures will be maintained and enforced (i) by or on behalf of the Seller that are designed in good faith and in a commercially reasonable manner to promote and achieve compliance, in the reasonable judgment of the Seller, by the Seller and its directors, officers, employees and agents with Anti-Corruption Laws and applicable Sanctions, in each case giving due regard to the nature of such Person’s business and activities and (ii) by or on behalf of each of the Master Servicer and each Originator that are designed in good faith and in a commercially reasonable manner to promote and achieve compliance, in the reasonable judgment of the Master Servicer and each Originator, by the Master Servicer and each Originator and each of their respective Subsidiaries and their respective directors, officers, employees and agents with Anti-Corruption Laws and applicable Sanctions, in each case giving due regard to the nature of such Person’s business and activities.</w:t>
      </w:r>
    </w:p>
    <w:p>
      <w:pPr>
        <w:spacing w:after="0" w:line="190"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color w:val="auto"/>
        </w:rPr>
        <w:t>Reporting Requirements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color w:val="auto"/>
        </w:rPr>
        <w:t>From the date hereof until the Final Payout Date, unless each Agent shall otherwise consent in writing:</w:t>
      </w:r>
    </w:p>
    <w:p>
      <w:pPr>
        <w:spacing w:after="0" w:line="220" w:lineRule="exact"/>
        <w:rPr>
          <w:sz w:val="20"/>
          <w:szCs w:val="20"/>
          <w:color w:val="auto"/>
        </w:rPr>
      </w:pPr>
    </w:p>
    <w:p>
      <w:pPr>
        <w:ind w:left="-656" w:right="20" w:firstLine="656"/>
        <w:spacing w:after="0" w:line="294" w:lineRule="auto"/>
        <w:tabs>
          <w:tab w:leader="none" w:pos="41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 - Lennox International</w:t>
      </w:r>
      <w:r>
        <w:rPr>
          <w:rFonts w:ascii="Arial" w:cs="Arial" w:eastAsia="Arial" w:hAnsi="Arial"/>
          <w:sz w:val="19"/>
          <w:szCs w:val="19"/>
          <w:color w:val="auto"/>
        </w:rPr>
        <w:t xml:space="preserve">. The Master Servicer will furnish to each Agent, as soon as available and in any event within 45 days after the end of each of the first three quarters of each fiscal year of Lennox International, copies of its consolidated, and, to the extent otherwise available, consolidating balance sheets and related statements of income and statements of cash flow, showing the financial condition of Lennox International and its consolidated Subsidiaries as of the close of such fiscal quarter and the results of its operations and the operations of such Subsidiaries during such fiscal quarter and the then elapsed portion of the fiscal year, together with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executed by the chief financial officer or treasurer of Lennox International;</w:t>
      </w:r>
    </w:p>
    <w:p>
      <w:pPr>
        <w:spacing w:after="0" w:line="152" w:lineRule="exact"/>
        <w:rPr>
          <w:rFonts w:ascii="Arial" w:cs="Arial" w:eastAsia="Arial" w:hAnsi="Arial"/>
          <w:sz w:val="19"/>
          <w:szCs w:val="19"/>
          <w:color w:val="auto"/>
        </w:rPr>
      </w:pPr>
    </w:p>
    <w:p>
      <w:pPr>
        <w:ind w:left="-656" w:firstLine="656"/>
        <w:spacing w:after="0" w:line="292" w:lineRule="auto"/>
        <w:tabs>
          <w:tab w:leader="none" w:pos="42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 - Lennox International</w:t>
      </w:r>
      <w:r>
        <w:rPr>
          <w:rFonts w:ascii="Arial" w:cs="Arial" w:eastAsia="Arial" w:hAnsi="Arial"/>
          <w:sz w:val="19"/>
          <w:szCs w:val="19"/>
          <w:color w:val="auto"/>
        </w:rPr>
        <w:t>. The Master Servicer will furnish to each Agent, as soon as available and in any event within 90 days after the end of each fiscal year of Lennox International, copies of its consolidated and consolidating balance sheets and related statements of income and statements of cash flow, showing the financial condition of Lennox International and its consolidated Subsidiaries as of the close of such fiscal year and the results of its operations and the operations of such Subsidiaries during such year, all audited by KPMG LLP or other independent public accountants of recognized national standing acceptable to each Agent and accompanied by an opinion of such accountants (which shall not be qualified in any material respect) to the effect that such consolidated financial statements fairly present the financial condition and results of operations of Lennox International on a consolidated basis (except as noted therein) in accordance with GAAP consistently applied;</w:t>
      </w:r>
    </w:p>
    <w:p>
      <w:pPr>
        <w:spacing w:after="0" w:line="155" w:lineRule="exact"/>
        <w:rPr>
          <w:rFonts w:ascii="Arial" w:cs="Arial" w:eastAsia="Arial" w:hAnsi="Arial"/>
          <w:sz w:val="19"/>
          <w:szCs w:val="19"/>
          <w:color w:val="auto"/>
        </w:rPr>
      </w:pPr>
    </w:p>
    <w:p>
      <w:pPr>
        <w:ind w:left="424" w:hanging="424"/>
        <w:spacing w:after="0"/>
        <w:tabs>
          <w:tab w:leader="none" w:pos="42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6" w:right="160" w:firstLine="656"/>
        <w:spacing w:after="0" w:line="300" w:lineRule="auto"/>
        <w:tabs>
          <w:tab w:leader="none" w:pos="42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 - Seller</w:t>
      </w:r>
      <w:r>
        <w:rPr>
          <w:rFonts w:ascii="Arial" w:cs="Arial" w:eastAsia="Arial" w:hAnsi="Arial"/>
          <w:sz w:val="19"/>
          <w:szCs w:val="19"/>
          <w:color w:val="auto"/>
        </w:rPr>
        <w:t xml:space="preserve">. The Seller will furnish to each Agent, as soon as available and in any event within 90 days after the end of each fiscal year of the Seller, copies of the financial statements of the Seller, consisting of at least a balance sheet of the Seller for such year and statements of earnings, cash flows and shareholders’ equity, setting forth in each case in comparative form corresponding figures from the preceding fiscal year, together with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executed by the chief financial officer or treasurer of the Seller;</w:t>
      </w:r>
    </w:p>
    <w:p>
      <w:pPr>
        <w:spacing w:after="0" w:line="147" w:lineRule="exact"/>
        <w:rPr>
          <w:rFonts w:ascii="Arial" w:cs="Arial" w:eastAsia="Arial" w:hAnsi="Arial"/>
          <w:sz w:val="19"/>
          <w:szCs w:val="19"/>
          <w:color w:val="auto"/>
        </w:rPr>
      </w:pPr>
    </w:p>
    <w:p>
      <w:pPr>
        <w:ind w:left="-656" w:firstLine="656"/>
        <w:spacing w:after="0" w:line="250" w:lineRule="auto"/>
        <w:tabs>
          <w:tab w:leader="none" w:pos="41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Reports to Holders and Exchanges</w:t>
      </w:r>
      <w:r>
        <w:rPr>
          <w:rFonts w:ascii="Arial" w:cs="Arial" w:eastAsia="Arial" w:hAnsi="Arial"/>
          <w:sz w:val="22"/>
          <w:szCs w:val="22"/>
          <w:color w:val="auto"/>
        </w:rPr>
        <w:t xml:space="preserve">. In addition to the reports required by </w:t>
      </w:r>
      <w:r>
        <w:rPr>
          <w:rFonts w:ascii="Arial" w:cs="Arial" w:eastAsia="Arial" w:hAnsi="Arial"/>
          <w:sz w:val="22"/>
          <w:szCs w:val="22"/>
          <w:u w:val="single" w:color="auto"/>
          <w:color w:val="auto"/>
        </w:rPr>
        <w:t>subsections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promptly upon any Agent’s request, the Master Servicer will furnish or cause to be furnished to each Agent, copies of any reports specified in such request which the Master Servicer sends to any of its securityholders, and any reports, final registration statements (excluding exhibits), and each final prospectus and all amendments thereto that the Master Servicer files with the Securities and Exchange Commission or any national securities exchange other than registration statements relating to employee benefit plans and registrations of securities for selling securities;</w:t>
      </w:r>
    </w:p>
    <w:p>
      <w:pPr>
        <w:spacing w:after="0" w:line="188" w:lineRule="exact"/>
        <w:rPr>
          <w:rFonts w:ascii="Arial" w:cs="Arial" w:eastAsia="Arial" w:hAnsi="Arial"/>
          <w:sz w:val="22"/>
          <w:szCs w:val="22"/>
          <w:color w:val="auto"/>
        </w:rPr>
      </w:pPr>
    </w:p>
    <w:p>
      <w:pPr>
        <w:jc w:val="both"/>
        <w:ind w:left="-656" w:right="40" w:firstLine="656"/>
        <w:spacing w:after="0" w:line="266" w:lineRule="auto"/>
        <w:tabs>
          <w:tab w:leader="none" w:pos="38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Promptly after the filing or receiving thereof, each Seller Party will furnish to each Agent, copies of all reports and notices with respect to any Reportable Event defined in Article IV of ERISA which any Seller Party or ERISA Affiliate thereof files under ERISA with the Internal Revenue Service, the Pension Benefit Guaranty Corporation or the U.S. Department of Labor or which such Seller Party or ERISA Affiliate thereof receives from the Pension Benefit Guaranty Corporation, which Reportable Event(s) individually or in the aggregate could have a Material Adverse Effect;</w:t>
      </w:r>
    </w:p>
    <w:p>
      <w:pPr>
        <w:sectPr>
          <w:pgSz w:w="11900" w:h="16838" w:orient="portrait"/>
          <w:cols w:equalWidth="0" w:num="1">
            <w:col w:w="10764"/>
          </w:cols>
          <w:pgMar w:left="896" w:top="172" w:right="239" w:bottom="164" w:gutter="0" w:footer="0" w:header="0"/>
        </w:sectPr>
      </w:pPr>
    </w:p>
    <w:bookmarkStart w:id="65" w:name="page66"/>
    <w:bookmarkEnd w:id="65"/>
    <w:p>
      <w:pPr>
        <w:spacing w:after="0" w:line="149" w:lineRule="exact"/>
        <w:rPr>
          <w:sz w:val="20"/>
          <w:szCs w:val="20"/>
          <w:color w:val="auto"/>
        </w:rPr>
      </w:pPr>
    </w:p>
    <w:p>
      <w:pPr>
        <w:ind w:right="240" w:firstLine="656"/>
        <w:spacing w:after="0" w:line="307"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Liquidation Events, Etc</w:t>
      </w:r>
      <w:r>
        <w:rPr>
          <w:rFonts w:ascii="Arial" w:cs="Arial" w:eastAsia="Arial" w:hAnsi="Arial"/>
          <w:sz w:val="19"/>
          <w:szCs w:val="19"/>
          <w:color w:val="auto"/>
        </w:rPr>
        <w:t>. As soon as possible and in any event within three (3) Business Days after obtaining knowledge of the occurrence of any Liquidation Event, any Unmatured Liquidation Event, or any Credit Event, each Seller Party will furnish to each Agent, a written statement of the chief financial officer, treasurer or chief accounting officer of such Seller Party setting forth details of such event and the action that such Seller Party will take with respect thereto;</w:t>
      </w:r>
    </w:p>
    <w:p>
      <w:pPr>
        <w:spacing w:after="0" w:line="138" w:lineRule="exact"/>
        <w:rPr>
          <w:rFonts w:ascii="Arial" w:cs="Arial" w:eastAsia="Arial" w:hAnsi="Arial"/>
          <w:sz w:val="19"/>
          <w:szCs w:val="19"/>
          <w:color w:val="auto"/>
        </w:rPr>
      </w:pPr>
    </w:p>
    <w:p>
      <w:pPr>
        <w:ind w:firstLine="656"/>
        <w:spacing w:after="0" w:line="270" w:lineRule="auto"/>
        <w:tabs>
          <w:tab w:leader="none" w:pos="108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Litigation</w:t>
      </w:r>
      <w:r>
        <w:rPr>
          <w:rFonts w:ascii="Arial" w:cs="Arial" w:eastAsia="Arial" w:hAnsi="Arial"/>
          <w:sz w:val="21"/>
          <w:szCs w:val="21"/>
          <w:color w:val="auto"/>
        </w:rPr>
        <w:t>. As soon as possible and in any event within ten (10) Business Days of any Seller Party’s knowledge thereof, such Seller Party will furnish to each Agent, notice of (i) any litigation, investigation or proceeding which may exist at any time which could reasonably be expected to have a Material Adverse Effect and (ii) any development in previously disclosed litigation which development could reasonably be expected to have a Material Adverse Effect;</w:t>
      </w:r>
    </w:p>
    <w:p>
      <w:pPr>
        <w:spacing w:after="0" w:line="169" w:lineRule="exact"/>
        <w:rPr>
          <w:rFonts w:ascii="Arial" w:cs="Arial" w:eastAsia="Arial" w:hAnsi="Arial"/>
          <w:sz w:val="21"/>
          <w:szCs w:val="21"/>
          <w:color w:val="auto"/>
        </w:rPr>
      </w:pPr>
    </w:p>
    <w:p>
      <w:pPr>
        <w:ind w:right="100" w:firstLine="656"/>
        <w:spacing w:after="0" w:line="254" w:lineRule="auto"/>
        <w:tabs>
          <w:tab w:leader="none" w:pos="103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Sale Agreement</w:t>
      </w:r>
      <w:r>
        <w:rPr>
          <w:rFonts w:ascii="Arial" w:cs="Arial" w:eastAsia="Arial" w:hAnsi="Arial"/>
          <w:sz w:val="22"/>
          <w:szCs w:val="22"/>
          <w:color w:val="auto"/>
        </w:rPr>
        <w:t>. (i) Promptly after receipt thereof, the Seller will furnish to each Agent, copies of all notices received by the Seller from any Originator under the Sale Agreement and (ii) as soon as possible and in any event no later than the day of occurrence thereof, the Seller will furnish to each Agent notice that any Originator has stopped selling or contributing to the Seller, pursuant to the Sale Agreement, all newly arising Receivables;</w:t>
      </w:r>
    </w:p>
    <w:p>
      <w:pPr>
        <w:spacing w:after="0" w:line="185" w:lineRule="exact"/>
        <w:rPr>
          <w:rFonts w:ascii="Arial" w:cs="Arial" w:eastAsia="Arial" w:hAnsi="Arial"/>
          <w:sz w:val="22"/>
          <w:szCs w:val="22"/>
          <w:color w:val="auto"/>
        </w:rPr>
      </w:pPr>
    </w:p>
    <w:p>
      <w:pPr>
        <w:ind w:right="120" w:firstLine="656"/>
        <w:spacing w:after="0" w:line="260" w:lineRule="auto"/>
        <w:tabs>
          <w:tab w:leader="none" w:pos="103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Change in Credit and Collection Policy</w:t>
      </w:r>
      <w:r>
        <w:rPr>
          <w:rFonts w:ascii="Arial" w:cs="Arial" w:eastAsia="Arial" w:hAnsi="Arial"/>
          <w:sz w:val="22"/>
          <w:szCs w:val="22"/>
          <w:color w:val="auto"/>
        </w:rPr>
        <w:t>. Prior to its effective date, each Seller Party will furnish to each Agent, notice of (i) any material change in the character of such Seller Party’s business, and (ii) any material change in the Credit and Collection Policy;</w:t>
      </w:r>
    </w:p>
    <w:p>
      <w:pPr>
        <w:spacing w:after="0" w:line="177" w:lineRule="exact"/>
        <w:rPr>
          <w:rFonts w:ascii="Arial" w:cs="Arial" w:eastAsia="Arial" w:hAnsi="Arial"/>
          <w:sz w:val="22"/>
          <w:szCs w:val="22"/>
          <w:color w:val="auto"/>
        </w:rPr>
      </w:pPr>
    </w:p>
    <w:p>
      <w:pPr>
        <w:ind w:firstLine="656"/>
        <w:spacing w:after="0" w:line="254"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Change of Independent Director</w:t>
      </w:r>
      <w:r>
        <w:rPr>
          <w:rFonts w:ascii="Arial" w:cs="Arial" w:eastAsia="Arial" w:hAnsi="Arial"/>
          <w:sz w:val="22"/>
          <w:szCs w:val="22"/>
          <w:color w:val="auto"/>
        </w:rPr>
        <w:t>. At least 10 days prior to the effectiveness of any removal of the Independent Director, and within three Business Days after the death, incapacity or resignation of the Independent Director, the Seller shall furnish to each Agent notice of such event and the date of occurrence thereof, together with the name and background of the replacement Independent Director;</w:t>
      </w:r>
    </w:p>
    <w:p>
      <w:pPr>
        <w:spacing w:after="0" w:line="185" w:lineRule="exact"/>
        <w:rPr>
          <w:rFonts w:ascii="Arial" w:cs="Arial" w:eastAsia="Arial" w:hAnsi="Arial"/>
          <w:sz w:val="22"/>
          <w:szCs w:val="22"/>
          <w:color w:val="auto"/>
        </w:rPr>
      </w:pPr>
    </w:p>
    <w:p>
      <w:pPr>
        <w:ind w:right="360" w:firstLine="656"/>
        <w:spacing w:after="0" w:line="254" w:lineRule="auto"/>
        <w:tabs>
          <w:tab w:leader="none" w:pos="103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Promptly, from time to time, each Seller Party will furnish to each Agent such other information, documents, records or reports respecting the Receivables or the condition or operations, financial or otherwise, of such Seller Party as such Agent may from time to time reasonably request in order to protect the interests of such Agent or the Investors under or as contemplated by this Agreement.</w:t>
      </w:r>
    </w:p>
    <w:p>
      <w:pPr>
        <w:spacing w:after="0" w:line="185"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 xml:space="preserve">Promptly upon receipt thereof, each Purchaser Agent agrees to send to each Investor in such Purchaser Agent’s Purchaser Group copies of all financial statements, reports, notices, certificates or other items received by such Purchaser Agent under this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86" w:lineRule="exact"/>
        <w:rPr>
          <w:sz w:val="20"/>
          <w:szCs w:val="20"/>
          <w:color w:val="auto"/>
        </w:rPr>
      </w:pPr>
    </w:p>
    <w:p>
      <w:pPr>
        <w:ind w:right="260"/>
        <w:spacing w:after="0" w:line="302"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(e)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(to the extent any such documents are included in reports otherwise filed with the SEC, or any Governmental Authority succeeding to any or all of the functions of the SEC) shall be deemed to have been delivered to each Agent on the date Lennox International has filed such reports with the SEC via the EDGAR filing system and the Master Servicer has notified each Agent in writing of such posting.</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color w:val="auto"/>
        </w:rPr>
        <w:t>Negative Covenants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From the date hereof until the Final Payout Date, unless each Agent shall otherwise consent in writing:</w:t>
      </w:r>
    </w:p>
    <w:p>
      <w:pPr>
        <w:spacing w:after="0" w:line="220" w:lineRule="exact"/>
        <w:rPr>
          <w:sz w:val="20"/>
          <w:szCs w:val="20"/>
          <w:color w:val="auto"/>
        </w:rPr>
      </w:pPr>
    </w:p>
    <w:p>
      <w:pPr>
        <w:jc w:val="both"/>
        <w:ind w:right="140" w:firstLine="656"/>
        <w:spacing w:after="0" w:line="300" w:lineRule="auto"/>
        <w:tabs>
          <w:tab w:leader="none" w:pos="106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Sales, Liens, Etc</w:t>
      </w:r>
      <w:r>
        <w:rPr>
          <w:rFonts w:ascii="Arial" w:cs="Arial" w:eastAsia="Arial" w:hAnsi="Arial"/>
          <w:sz w:val="19"/>
          <w:szCs w:val="19"/>
          <w:color w:val="auto"/>
        </w:rPr>
        <w:t>. (i) The Seller will not, except as otherwise provided herein and in the other Transaction Documents, sell, assign (by operation of law or otherwise) or otherwise dispose of, or create or suffer to exist any Lien upon or with respect to, any Pool Receivable or any Related Asset, or any interest therein, or any account to which any Collections of any Pool Receivable are sent, or any right to receive income or proceeds from or in respect of any of the foregoing, and (ii) the Master Servicer will not assert any interest in the Receivables or any other Collateral, except as Master Servicer.</w:t>
      </w:r>
    </w:p>
    <w:p>
      <w:pPr>
        <w:spacing w:after="0" w:line="147" w:lineRule="exact"/>
        <w:rPr>
          <w:rFonts w:ascii="Arial" w:cs="Arial" w:eastAsia="Arial" w:hAnsi="Arial"/>
          <w:sz w:val="19"/>
          <w:szCs w:val="19"/>
          <w:color w:val="auto"/>
        </w:rPr>
      </w:pPr>
    </w:p>
    <w:p>
      <w:pPr>
        <w:ind w:right="40" w:firstLine="656"/>
        <w:spacing w:after="0" w:line="320" w:lineRule="auto"/>
        <w:tabs>
          <w:tab w:leader="none" w:pos="108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Extension or Amendment of Receivables</w:t>
      </w:r>
      <w:r>
        <w:rPr>
          <w:rFonts w:ascii="Arial" w:cs="Arial" w:eastAsia="Arial" w:hAnsi="Arial"/>
          <w:sz w:val="19"/>
          <w:szCs w:val="19"/>
          <w:color w:val="auto"/>
        </w:rPr>
        <w:t xml:space="preserve">. No Seller Party will, except as otherwise permitted in </w:t>
      </w:r>
      <w:r>
        <w:rPr>
          <w:rFonts w:ascii="Arial" w:cs="Arial" w:eastAsia="Arial" w:hAnsi="Arial"/>
          <w:sz w:val="19"/>
          <w:szCs w:val="19"/>
          <w:u w:val="single" w:color="auto"/>
          <w:color w:val="auto"/>
        </w:rPr>
        <w:t>Section 8.2(c)</w:t>
      </w:r>
      <w:r>
        <w:rPr>
          <w:rFonts w:ascii="Arial" w:cs="Arial" w:eastAsia="Arial" w:hAnsi="Arial"/>
          <w:sz w:val="19"/>
          <w:szCs w:val="19"/>
          <w:color w:val="auto"/>
        </w:rPr>
        <w:t>, extend, amend or otherwise modify the terms of any Pool Receivable, or amend, modify or waive any material term or condition of any Contract related thereto in any way that adversely affects the collectibility of any Pool Receivable or the Investors’ rights therein.</w:t>
      </w:r>
    </w:p>
    <w:p>
      <w:pPr>
        <w:spacing w:after="0" w:line="125" w:lineRule="exact"/>
        <w:rPr>
          <w:rFonts w:ascii="Arial" w:cs="Arial" w:eastAsia="Arial" w:hAnsi="Arial"/>
          <w:sz w:val="19"/>
          <w:szCs w:val="19"/>
          <w:color w:val="auto"/>
        </w:rPr>
      </w:pPr>
    </w:p>
    <w:p>
      <w:pPr>
        <w:jc w:val="both"/>
        <w:ind w:right="400" w:firstLine="656"/>
        <w:spacing w:after="0" w:line="254" w:lineRule="auto"/>
        <w:tabs>
          <w:tab w:leader="none" w:pos="106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Change in Credit and Collection Policy</w:t>
      </w:r>
      <w:r>
        <w:rPr>
          <w:rFonts w:ascii="Arial" w:cs="Arial" w:eastAsia="Arial" w:hAnsi="Arial"/>
          <w:sz w:val="22"/>
          <w:szCs w:val="22"/>
          <w:color w:val="auto"/>
        </w:rPr>
        <w:t>. No Seller Party will make or permit to be made any material change in the Credit and Collection Policy, which change would impair the collectibility of any significant portion of the Pool Receivables or otherwise adversely affect the interests or remedies of any Agent or Investor under this Agreement or any other Transaction Document.</w:t>
      </w:r>
    </w:p>
    <w:p>
      <w:pPr>
        <w:spacing w:after="0" w:line="185" w:lineRule="exact"/>
        <w:rPr>
          <w:rFonts w:ascii="Arial" w:cs="Arial" w:eastAsia="Arial" w:hAnsi="Arial"/>
          <w:sz w:val="22"/>
          <w:szCs w:val="22"/>
          <w:color w:val="auto"/>
        </w:rPr>
      </w:pPr>
    </w:p>
    <w:p>
      <w:pPr>
        <w:ind w:right="140" w:firstLine="656"/>
        <w:spacing w:after="0" w:line="297" w:lineRule="auto"/>
        <w:tabs>
          <w:tab w:leader="none" w:pos="108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Change in Payment Instructions to Obligors</w:t>
      </w:r>
      <w:r>
        <w:rPr>
          <w:rFonts w:ascii="Arial" w:cs="Arial" w:eastAsia="Arial" w:hAnsi="Arial"/>
          <w:sz w:val="19"/>
          <w:szCs w:val="19"/>
          <w:color w:val="auto"/>
        </w:rPr>
        <w:t xml:space="preserve">. No Seller Party will add or terminate any lockbox or account as a Lockbox Account or bank as a Lockbox Bank from those listed in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(unless, prior to such addition or termination, the Administrative Agent shall have received an updated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and a fully executed Lockbox Agreement with each new Lockbox Bank or with respect to each new lockbox or account) or, make any change in its instructions to Obligors regarding payments to be made to the Seller or Master Servicer or payments to be made to any Lockbox Bank (except for a change in instructions solely for the purpose of directing Obligors to make such payments to another existing Lockbox Bank).</w:t>
      </w:r>
    </w:p>
    <w:p>
      <w:pPr>
        <w:spacing w:after="0" w:line="146" w:lineRule="exact"/>
        <w:rPr>
          <w:rFonts w:ascii="Arial" w:cs="Arial" w:eastAsia="Arial" w:hAnsi="Arial"/>
          <w:sz w:val="19"/>
          <w:szCs w:val="19"/>
          <w:color w:val="auto"/>
        </w:rPr>
      </w:pPr>
    </w:p>
    <w:p>
      <w:pPr>
        <w:ind w:right="160" w:firstLine="656"/>
        <w:spacing w:after="0" w:line="358" w:lineRule="auto"/>
        <w:tabs>
          <w:tab w:leader="none" w:pos="106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Deposits to Collection Account</w:t>
      </w:r>
      <w:r>
        <w:rPr>
          <w:rFonts w:ascii="Arial" w:cs="Arial" w:eastAsia="Arial" w:hAnsi="Arial"/>
          <w:sz w:val="19"/>
          <w:szCs w:val="19"/>
          <w:color w:val="auto"/>
        </w:rPr>
        <w:t>. No Seller Party will deposit or otherwise credit, or cause or permit to be so deposited or credited, to the Collection Account or any Lockbox Account, any cash or cash proceeds other than Collections of Pool</w:t>
      </w:r>
    </w:p>
    <w:p>
      <w:pPr>
        <w:sectPr>
          <w:pgSz w:w="11900" w:h="16988" w:orient="portrait"/>
          <w:cols w:equalWidth="0" w:num="1">
            <w:col w:w="11420"/>
          </w:cols>
          <w:pgMar w:left="240" w:top="132" w:right="239" w:bottom="0" w:gutter="0" w:footer="0" w:header="0"/>
        </w:sectPr>
      </w:pPr>
    </w:p>
    <w:bookmarkStart w:id="66" w:name="page67"/>
    <w:bookmarkEnd w:id="66"/>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Receivables.</w:t>
      </w:r>
    </w:p>
    <w:p>
      <w:pPr>
        <w:spacing w:after="0" w:line="220" w:lineRule="exact"/>
        <w:rPr>
          <w:sz w:val="20"/>
          <w:szCs w:val="20"/>
          <w:color w:val="auto"/>
        </w:rPr>
      </w:pPr>
    </w:p>
    <w:p>
      <w:pPr>
        <w:ind w:right="940" w:firstLine="656"/>
        <w:spacing w:after="0" w:line="276" w:lineRule="auto"/>
        <w:tabs>
          <w:tab w:leader="none" w:pos="104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Changes to Other Documents</w:t>
      </w:r>
      <w:r>
        <w:rPr>
          <w:rFonts w:ascii="Arial" w:cs="Arial" w:eastAsia="Arial" w:hAnsi="Arial"/>
          <w:sz w:val="22"/>
          <w:szCs w:val="22"/>
          <w:color w:val="auto"/>
        </w:rPr>
        <w:t>. The Seller will not enter into any amendment or modification of, waiver to, or supplement to, the Sale Agreement or the Seller’s certificate of incorporation.</w:t>
      </w:r>
    </w:p>
    <w:p>
      <w:pPr>
        <w:spacing w:after="0" w:line="160" w:lineRule="exact"/>
        <w:rPr>
          <w:rFonts w:ascii="Arial" w:cs="Arial" w:eastAsia="Arial" w:hAnsi="Arial"/>
          <w:sz w:val="22"/>
          <w:szCs w:val="22"/>
          <w:color w:val="auto"/>
        </w:rPr>
      </w:pPr>
    </w:p>
    <w:p>
      <w:pPr>
        <w:ind w:firstLine="656"/>
        <w:spacing w:after="0" w:line="292" w:lineRule="auto"/>
        <w:tabs>
          <w:tab w:leader="none" w:pos="1134"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Distributions, Etc.</w:t>
      </w:r>
      <w:r>
        <w:rPr>
          <w:rFonts w:ascii="Arial" w:cs="Arial" w:eastAsia="Arial" w:hAnsi="Arial"/>
          <w:sz w:val="19"/>
          <w:szCs w:val="19"/>
          <w:color w:val="auto"/>
        </w:rPr>
        <w:t xml:space="preserve"> The Seller will not declare or make any dividend payment or other distribution of assets, properties, cash, rights, obligations or securities on account of any shares of any class of capital stock of the Seller, or return any capital to its shareholders as such, or purchase, retire, defease, redeem or otherwise acquire for value or make any payment in respect of any shares of any class of capital stock of the Seller or any warrants, rights or options to acquire any such shares, now or hereafter outstanding; provided, however, that the Seller may declare and pay cash dividends on its capital stock to its shareholders so long as (i) no Liquidation Event or Unmatured Liquidation Event shall then exist or would occur as a result thereof, (ii) such dividends are in compliance with all applicable law including the corporate law of the state of Seller’s incorporation, and (iii) such dividends have been approved by all necessary and appropriate corporate action of the Seller.</w:t>
      </w:r>
    </w:p>
    <w:p>
      <w:pPr>
        <w:spacing w:after="0" w:line="155" w:lineRule="exact"/>
        <w:rPr>
          <w:rFonts w:ascii="Arial" w:cs="Arial" w:eastAsia="Arial" w:hAnsi="Arial"/>
          <w:sz w:val="19"/>
          <w:szCs w:val="19"/>
          <w:color w:val="auto"/>
        </w:rPr>
      </w:pPr>
    </w:p>
    <w:p>
      <w:pPr>
        <w:ind w:right="20" w:firstLine="656"/>
        <w:spacing w:after="0" w:line="266" w:lineRule="auto"/>
        <w:tabs>
          <w:tab w:leader="none" w:pos="1080"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Seller Indebtedness</w:t>
      </w:r>
      <w:r>
        <w:rPr>
          <w:rFonts w:ascii="Arial" w:cs="Arial" w:eastAsia="Arial" w:hAnsi="Arial"/>
          <w:sz w:val="21"/>
          <w:szCs w:val="21"/>
          <w:color w:val="auto"/>
        </w:rPr>
        <w:t>. The Seller will not incur or permit to exist any Indebtedness or liability on account of deposits or advances or for borrowed money or for the deferred purchase price of any property or services, except (i) indebtedness of the Seller to the Originators incurred in accordance with the Sale Agreement, (ii) current accounts payable arising under the Transaction Documents and not overdue and (iii) other current accounts payable arising in the ordinary course of business and not overdue, in an aggregate amount at any time outstanding not to exceed $75,000.</w:t>
      </w:r>
    </w:p>
    <w:p>
      <w:pPr>
        <w:spacing w:after="0" w:line="174" w:lineRule="exact"/>
        <w:rPr>
          <w:rFonts w:ascii="Arial" w:cs="Arial" w:eastAsia="Arial" w:hAnsi="Arial"/>
          <w:sz w:val="21"/>
          <w:szCs w:val="21"/>
          <w:color w:val="auto"/>
        </w:rPr>
      </w:pPr>
    </w:p>
    <w:p>
      <w:pPr>
        <w:ind w:firstLine="656"/>
        <w:spacing w:after="0" w:line="270" w:lineRule="auto"/>
        <w:tabs>
          <w:tab w:leader="none" w:pos="1032"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Negative Pledges</w:t>
      </w:r>
      <w:r>
        <w:rPr>
          <w:rFonts w:ascii="Arial" w:cs="Arial" w:eastAsia="Arial" w:hAnsi="Arial"/>
          <w:sz w:val="21"/>
          <w:szCs w:val="21"/>
          <w:color w:val="auto"/>
        </w:rPr>
        <w:t>. No Seller Party will enter into or assume any agreement (other than this Agreement and the other Transaction Documents) prohibiting the creation or assumption of any Lien upon any Pool Receivables or Related Assets, whether now owned or hereafter acquired, except as contemplated by the Transaction Documents, or otherwise prohibiting or restricting any transaction contemplated hereby or by the other Transaction Documents.</w:t>
      </w:r>
    </w:p>
    <w:p>
      <w:pPr>
        <w:spacing w:after="0" w:line="169" w:lineRule="exact"/>
        <w:rPr>
          <w:rFonts w:ascii="Arial" w:cs="Arial" w:eastAsia="Arial" w:hAnsi="Arial"/>
          <w:sz w:val="21"/>
          <w:szCs w:val="21"/>
          <w:color w:val="auto"/>
        </w:rPr>
      </w:pPr>
    </w:p>
    <w:p>
      <w:pPr>
        <w:ind w:firstLine="656"/>
        <w:spacing w:after="0" w:line="291" w:lineRule="auto"/>
        <w:tabs>
          <w:tab w:leader="none" w:pos="103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Change of Name; Jurisdiction of Organization; Offices and Records</w:t>
      </w:r>
      <w:r>
        <w:rPr>
          <w:rFonts w:ascii="Arial" w:cs="Arial" w:eastAsia="Arial" w:hAnsi="Arial"/>
          <w:sz w:val="19"/>
          <w:szCs w:val="19"/>
          <w:color w:val="auto"/>
        </w:rPr>
        <w:t>. No Seller Party shall change (i) its name as it appears in official filings in the jurisdiction of its organization, (ii) its status as a “registered organization” (within the meaning of Article 9 of any applicable enactment of the UCC), (iii) its organizational identification number, if any, issued by its jurisdiction of organization, or (iv) its jurisdiction of organization unless it shall have: (A) given the Agents at least twenty (20) days’ prior written notice thereof; (B) at least ten (10) days prior to such change, delivered to the Agents all financing statements, instruments and other documents requested by the Agents in connection with such change or relocation and (C) caused an opinion of counsel acceptable to the Agents and their respective assigns to be delivered to the Agents and such assigns that Administrative Agent’s security interest (for the benefit of the Secured Parties) is perfected and of first priority and other corporate matters related to such change, such opinion to be in form and substance acceptable to the Agents and such assigns in their sole discretion.</w:t>
      </w:r>
    </w:p>
    <w:p>
      <w:pPr>
        <w:spacing w:after="0" w:line="154" w:lineRule="exact"/>
        <w:rPr>
          <w:rFonts w:ascii="Arial" w:cs="Arial" w:eastAsia="Arial" w:hAnsi="Arial"/>
          <w:sz w:val="19"/>
          <w:szCs w:val="19"/>
          <w:color w:val="auto"/>
        </w:rPr>
      </w:pPr>
    </w:p>
    <w:p>
      <w:pPr>
        <w:ind w:firstLine="656"/>
        <w:spacing w:after="0" w:line="285" w:lineRule="auto"/>
        <w:tabs>
          <w:tab w:leader="none" w:pos="1080"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(i) The Seller will not request any purchase hereunder, and shall procure that its directors, officers, employees and agents shall not use, the proceeds of any such purchase (A) in furtherance of an offer, payment, promise to pay, or authorization of the payment or giving of money, or anything else of value, to any Person in violation of any Anti-Corruption Laws, (B) for the purpose of funding or financing any activities, business or transaction of or with any Sanctioned Person, or in any Sanctioned Country, in each case to the extent doing so would violate any applicable Sanctions, or (C) in any other manner that would result in liability to any party hereto under any applicable Sanctions or the violation of any applicable Sanctions by any such Person and (ii) the Master Servicer and each Originator shall not use, and each of the Master Servicer and each Originator shall procure that its respective Subsidiaries and its or their respective directors, officers, employees and agents shall not use, the proceeds of any purchase made hereunder (A) in furtherance of an offer, payment, promise to pay, or authorization of the payment or giving of money, or anything else of value, to any Person in violation of any Anti-Corruption Laws,</w:t>
      </w:r>
    </w:p>
    <w:p>
      <w:pPr>
        <w:spacing w:after="0" w:line="2" w:lineRule="exact"/>
        <w:rPr>
          <w:rFonts w:ascii="Arial" w:cs="Arial" w:eastAsia="Arial" w:hAnsi="Arial"/>
          <w:sz w:val="19"/>
          <w:szCs w:val="19"/>
          <w:color w:val="auto"/>
        </w:rPr>
      </w:pPr>
    </w:p>
    <w:p>
      <w:pPr>
        <w:ind w:right="380" w:firstLine="8"/>
        <w:spacing w:after="0" w:line="262" w:lineRule="auto"/>
        <w:tabs>
          <w:tab w:leader="none" w:pos="342" w:val="left"/>
        </w:tabs>
        <w:numPr>
          <w:ilvl w:val="0"/>
          <w:numId w:val="60"/>
        </w:numPr>
        <w:rPr>
          <w:rFonts w:ascii="Arial" w:cs="Arial" w:eastAsia="Arial" w:hAnsi="Arial"/>
          <w:sz w:val="21"/>
          <w:szCs w:val="21"/>
          <w:color w:val="auto"/>
        </w:rPr>
      </w:pPr>
      <w:r>
        <w:rPr>
          <w:rFonts w:ascii="Arial" w:cs="Arial" w:eastAsia="Arial" w:hAnsi="Arial"/>
          <w:sz w:val="21"/>
          <w:szCs w:val="21"/>
          <w:color w:val="auto"/>
        </w:rPr>
        <w:t>for the purpose of funding or financing any activities, business or transaction of or with any Sanctioned Person, or in any Sanctioned Country, in each case to the extent doing so would violate any applicable Sanctions, or (C) in any other manner that would result in the violation of any applicable Sanctions by any such Person.</w:t>
      </w:r>
    </w:p>
    <w:p>
      <w:pPr>
        <w:spacing w:after="0" w:line="177" w:lineRule="exact"/>
        <w:rPr>
          <w:rFonts w:ascii="Arial" w:cs="Arial" w:eastAsia="Arial" w:hAnsi="Arial"/>
          <w:sz w:val="21"/>
          <w:szCs w:val="21"/>
          <w:color w:val="auto"/>
        </w:rPr>
      </w:pPr>
    </w:p>
    <w:p>
      <w:pPr>
        <w:ind w:left="1040" w:hanging="384"/>
        <w:spacing w:after="0"/>
        <w:tabs>
          <w:tab w:leader="none" w:pos="1040"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Mergers, Consolidations and Acquisitions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645"/>
        <w:spacing w:after="0" w:line="289" w:lineRule="auto"/>
        <w:tabs>
          <w:tab w:leader="none" w:pos="1692"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 Master Servicer will not, nor will it permit any subservicer, to merge into or consolidate with any other Person, or permit any other Person to merge into or consolidate with it, or purchase, lease or otherwise acquire (in one transaction or a series of transactions) all or substantially all of the assets of any other Person (whether directly by purchase, lease or other acquisition of all or substantially all of the assets of such Person or indirectly by purchase or other acquisition of all or substantially all of the capital stock of such other Person) other than acquisitions in the ordinary course of their business, except that if at the time thereof and immediately after giving effect thereto no Liquidation Event or Unmatured Liquidation Event shall have occurred and be continuing (A) the Master Servicer or such subservicer may merge or consolidate with any Subsidiary (other than Seller) in a transaction in which such Master Servicer or such subservicer is the surviving corporation, and (B) the Master Servicer or such subservicer may purchase, lease or otherwise acquire from any Subsidiary (other than Seller) all or substantially all of its assets and may purchase or otherwise acquire all or substantially all of the capital stock of any Person who immediately thereafter is a Subsidiary.</w:t>
      </w:r>
    </w:p>
    <w:p>
      <w:pPr>
        <w:spacing w:after="0" w:line="158" w:lineRule="exact"/>
        <w:rPr>
          <w:rFonts w:ascii="Arial" w:cs="Arial" w:eastAsia="Arial" w:hAnsi="Arial"/>
          <w:sz w:val="19"/>
          <w:szCs w:val="19"/>
          <w:color w:val="auto"/>
        </w:rPr>
      </w:pPr>
    </w:p>
    <w:p>
      <w:pPr>
        <w:ind w:left="660" w:right="40" w:firstLine="645"/>
        <w:spacing w:after="0" w:line="358" w:lineRule="auto"/>
        <w:tabs>
          <w:tab w:leader="none" w:pos="1752" w:val="left"/>
        </w:tabs>
        <w:numPr>
          <w:ilvl w:val="2"/>
          <w:numId w:val="60"/>
        </w:numPr>
        <w:rPr>
          <w:rFonts w:ascii="Arial" w:cs="Arial" w:eastAsia="Arial" w:hAnsi="Arial"/>
          <w:sz w:val="19"/>
          <w:szCs w:val="19"/>
          <w:color w:val="auto"/>
        </w:rPr>
      </w:pPr>
      <w:r>
        <w:rPr>
          <w:rFonts w:ascii="Arial" w:cs="Arial" w:eastAsia="Arial" w:hAnsi="Arial"/>
          <w:sz w:val="19"/>
          <w:szCs w:val="19"/>
          <w:color w:val="auto"/>
        </w:rPr>
        <w:t>Seller will not merge into or consolidate with any other Person, or permit any other Person to merge into or consolidate with it, or purchase, lease or otherwise acquire (in one transaction or a series of transactions) all or substantially</w:t>
      </w:r>
    </w:p>
    <w:p>
      <w:pPr>
        <w:sectPr>
          <w:pgSz w:w="11900" w:h="16893" w:orient="portrait"/>
          <w:cols w:equalWidth="0" w:num="1">
            <w:col w:w="11400"/>
          </w:cols>
          <w:pgMar w:left="240" w:top="132" w:right="259" w:bottom="0" w:gutter="0" w:footer="0" w:header="0"/>
        </w:sectPr>
      </w:pPr>
    </w:p>
    <w:bookmarkStart w:id="67" w:name="page68"/>
    <w:bookmarkEnd w:id="67"/>
    <w:p>
      <w:pPr>
        <w:spacing w:after="0" w:line="190" w:lineRule="exact"/>
        <w:rPr>
          <w:sz w:val="20"/>
          <w:szCs w:val="20"/>
          <w:color w:val="auto"/>
        </w:rPr>
      </w:pPr>
    </w:p>
    <w:p>
      <w:pPr>
        <w:ind w:left="660" w:right="60"/>
        <w:spacing w:after="0" w:line="265" w:lineRule="auto"/>
        <w:rPr>
          <w:sz w:val="20"/>
          <w:szCs w:val="20"/>
          <w:color w:val="auto"/>
        </w:rPr>
      </w:pPr>
      <w:r>
        <w:rPr>
          <w:rFonts w:ascii="Arial" w:cs="Arial" w:eastAsia="Arial" w:hAnsi="Arial"/>
          <w:sz w:val="21"/>
          <w:szCs w:val="21"/>
          <w:color w:val="auto"/>
        </w:rPr>
        <w:t>all of the assets of any other Person (whether directly by purchase, lease or other acquisition of all or substantially all of the assets of such Person or indirectly by purchase or other acquisition of all or substantially all of the capital stock of such other Person) other than the acquisition of the Receivables and Related Assets pursuant to the Sale Agreement and the sale of an interest in the Pool Receivables and Related Assets hereunder.</w:t>
      </w:r>
    </w:p>
    <w:p>
      <w:pPr>
        <w:spacing w:after="0" w:line="176" w:lineRule="exact"/>
        <w:rPr>
          <w:sz w:val="20"/>
          <w:szCs w:val="20"/>
          <w:color w:val="auto"/>
        </w:rPr>
      </w:pPr>
    </w:p>
    <w:p>
      <w:pPr>
        <w:ind w:left="1140" w:hanging="484"/>
        <w:spacing w:after="0"/>
        <w:tabs>
          <w:tab w:leader="none" w:pos="11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320" w:firstLine="656"/>
        <w:spacing w:after="0" w:line="320" w:lineRule="auto"/>
        <w:tabs>
          <w:tab w:leader="none" w:pos="108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Change in Business</w:t>
      </w:r>
      <w:r>
        <w:rPr>
          <w:rFonts w:ascii="Arial" w:cs="Arial" w:eastAsia="Arial" w:hAnsi="Arial"/>
          <w:sz w:val="19"/>
          <w:szCs w:val="19"/>
          <w:color w:val="auto"/>
        </w:rPr>
        <w:t>. No Seller Party will make or permit to be made any material change in the character of its business, which change would impair the collectibility of any significant portion of the Pool Receivables or otherwise adversely affect the interests or remedies of the Investors or the Agents under this Agreement or any other Transaction Document.</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color w:val="auto"/>
        </w:rPr>
        <w:t>Separate Corporate Existence of the Seller</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Each Seller Party hereby acknowledges that each Investor and each Agent are entering into the transactions contemplated hereby in reliance upon the Seller’s identity as a legal entity separate from the Master Servicer and its other Affiliates. Therefore, each Seller Party shall take all steps specifically required by this Agreement or reasonably required by the Agents to continue the Seller’s identity as a separate legal entity and to make it apparent to third Persons that the Seller is an entity with assets and liabilities distinct from those of its Affiliates, and is not a division of the Master Servicer or any other Person. Without limiting the foregoing, each Seller Party will take such actions as shall be required in order that:</w:t>
      </w:r>
    </w:p>
    <w:p>
      <w:pPr>
        <w:spacing w:after="0" w:line="150" w:lineRule="exact"/>
        <w:rPr>
          <w:sz w:val="20"/>
          <w:szCs w:val="20"/>
          <w:color w:val="auto"/>
        </w:rPr>
      </w:pPr>
    </w:p>
    <w:p>
      <w:pPr>
        <w:ind w:right="240" w:firstLine="656"/>
        <w:spacing w:after="0" w:line="307" w:lineRule="auto"/>
        <w:tabs>
          <w:tab w:leader="none" w:pos="1068"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Seller will be a limited purpose corporation whose primary activities are restricted in its Certificate of Incorporation to purchasing or otherwise acquiring from the Originators, owning, holding, granting security interests, or selling interests, in Receivables in the Receivables Pool and Related Assets, entering into agreements for the selling and servicing of the Receivables Pool, and conducting such other activities as it deems necessary or appropriate to carry out such activities;</w:t>
      </w:r>
    </w:p>
    <w:p>
      <w:pPr>
        <w:spacing w:after="0" w:line="138" w:lineRule="exact"/>
        <w:rPr>
          <w:rFonts w:ascii="Arial" w:cs="Arial" w:eastAsia="Arial" w:hAnsi="Arial"/>
          <w:sz w:val="19"/>
          <w:szCs w:val="19"/>
          <w:color w:val="auto"/>
        </w:rPr>
      </w:pPr>
    </w:p>
    <w:p>
      <w:pPr>
        <w:ind w:firstLine="656"/>
        <w:spacing w:after="0" w:line="285" w:lineRule="auto"/>
        <w:tabs>
          <w:tab w:leader="none" w:pos="1080"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At least one member of the Seller’s Board of Directors shall be an Independent Director. The certificate of incorporation of the Seller shall provide that (i) at least one member of the Seller’s Board of Directors shall be an Independent Director, (ii) the Seller’s Board of Directors shall not approve, or take any other action to cause the filing of, a voluntary bankruptcy petition with respect to the Seller unless the Independent Director shall approve the taking of such action in writing prior to the taking of such action, (iii) the Independent Director shall be employed by a nationally recognized provider of corporate or structured finance services, (iv) the Independent Director may not be removed by the Seller’s stockholders or the Seller’s Board of Directors except (w) for cause, (x) in the event the Independent Director ceases to be employed by the service provider which is his or her employer on the date the Independent Director first becomes an Independent Director or (y) with the consent of the Administrative Agent, not to be unreasonably withheld or delayed, and that any such removal pursuant to </w:t>
      </w:r>
      <w:r>
        <w:rPr>
          <w:rFonts w:ascii="Arial" w:cs="Arial" w:eastAsia="Arial" w:hAnsi="Arial"/>
          <w:sz w:val="19"/>
          <w:szCs w:val="19"/>
          <w:u w:val="single" w:color="auto"/>
          <w:color w:val="auto"/>
        </w:rPr>
        <w:t>clause (w)</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w:t>
      </w:r>
      <w:r>
        <w:rPr>
          <w:rFonts w:ascii="Arial" w:cs="Arial" w:eastAsia="Arial" w:hAnsi="Arial"/>
          <w:sz w:val="19"/>
          <w:szCs w:val="19"/>
          <w:color w:val="auto"/>
        </w:rPr>
        <w:t xml:space="preserve"> shall not be effective until at least ten days after written notice to the Independent Director and the Administrative Agent of such removal and the grounds therefor, and (v) the provisions requiring an Independent Director and the provisions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w:t>
      </w:r>
    </w:p>
    <w:p>
      <w:pPr>
        <w:ind w:left="380" w:hanging="372"/>
        <w:spacing w:after="0"/>
        <w:tabs>
          <w:tab w:leader="none" w:pos="380" w:val="left"/>
        </w:tabs>
        <w:numPr>
          <w:ilvl w:val="0"/>
          <w:numId w:val="63"/>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cannot be amended without the prior written consent of the Independent Director;</w:t>
      </w:r>
    </w:p>
    <w:p>
      <w:pPr>
        <w:spacing w:after="0" w:line="201" w:lineRule="exact"/>
        <w:rPr>
          <w:rFonts w:ascii="Arial" w:cs="Arial" w:eastAsia="Arial" w:hAnsi="Arial"/>
          <w:sz w:val="22"/>
          <w:szCs w:val="22"/>
          <w:u w:val="single" w:color="auto"/>
          <w:color w:val="auto"/>
        </w:rPr>
      </w:pPr>
    </w:p>
    <w:p>
      <w:pPr>
        <w:ind w:left="1080" w:hanging="424"/>
        <w:spacing w:after="0"/>
        <w:tabs>
          <w:tab w:leader="none" w:pos="108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Independent Director shall not at any time serve as a trustee in bankruptcy for the Seller or any Affiliate thereof;</w:t>
      </w:r>
    </w:p>
    <w:p>
      <w:pPr>
        <w:spacing w:after="0" w:line="267" w:lineRule="exact"/>
        <w:rPr>
          <w:rFonts w:ascii="Arial" w:cs="Arial" w:eastAsia="Arial" w:hAnsi="Arial"/>
          <w:sz w:val="19"/>
          <w:szCs w:val="19"/>
          <w:color w:val="auto"/>
        </w:rPr>
      </w:pPr>
    </w:p>
    <w:p>
      <w:pPr>
        <w:jc w:val="both"/>
        <w:ind w:firstLine="656"/>
        <w:spacing w:after="0" w:line="251" w:lineRule="auto"/>
        <w:tabs>
          <w:tab w:leader="none" w:pos="10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(the parties acknowledge that the Master Servicer will be fully compensated for its services by payment of the Servicing Fee), and certain organizational expenses in connection with the formation of the Seller;</w:t>
      </w:r>
    </w:p>
    <w:p>
      <w:pPr>
        <w:spacing w:after="0" w:line="189" w:lineRule="exact"/>
        <w:rPr>
          <w:rFonts w:ascii="Arial" w:cs="Arial" w:eastAsia="Arial" w:hAnsi="Arial"/>
          <w:sz w:val="22"/>
          <w:szCs w:val="22"/>
          <w:color w:val="auto"/>
        </w:rPr>
      </w:pPr>
    </w:p>
    <w:p>
      <w:pPr>
        <w:ind w:firstLine="656"/>
        <w:spacing w:after="0" w:line="260" w:lineRule="auto"/>
        <w:tabs>
          <w:tab w:leader="none" w:pos="1068"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Seller will contract with the Master Servicer to perform for the Seller all operations required on a daily basis to service the Receivables Pool. The Seller will pay the Master Servicer the Servicing Fee pursuant hereto. The Seller will not incur any material indirect or overhead expenses for items shared with the Master Servicer (or any other Affiliate thereof) which are not reflected in the Servicing Fee. To the extent, if any, that the Seller (or any other Affiliate thereof) shares items of expenses not reflected in the Servicing Fee, for legal, auditing and other professional services and directors’ fees, such expenses will be allocated to the extent practical on the basis of actual use or the value of services rendered, and otherwise on a basis reasonably related to the actual use or the value of services rendered, it being understood that Lennox shall pay or cause to be paid all expenses relating to the preparation, negotiation, execution and delivery of the Transaction Documents, including, without limitation, legal, rating agency and other fees;</w:t>
      </w:r>
    </w:p>
    <w:p>
      <w:pPr>
        <w:spacing w:after="0" w:line="184" w:lineRule="exact"/>
        <w:rPr>
          <w:rFonts w:ascii="Arial" w:cs="Arial" w:eastAsia="Arial" w:hAnsi="Arial"/>
          <w:sz w:val="21"/>
          <w:szCs w:val="21"/>
          <w:color w:val="auto"/>
        </w:rPr>
      </w:pPr>
    </w:p>
    <w:p>
      <w:pPr>
        <w:ind w:right="320" w:firstLine="656"/>
        <w:spacing w:after="0" w:line="276" w:lineRule="auto"/>
        <w:tabs>
          <w:tab w:leader="none" w:pos="1044"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Seller shall at all times be adequately capitalized in light of its contemplated business and the Seller’s operating expenses will not be paid by any other Seller Party or other Affiliate of the Seller;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Seller will have its own stationery;</w:t>
      </w:r>
    </w:p>
    <w:p>
      <w:pPr>
        <w:spacing w:after="0" w:line="233" w:lineRule="exact"/>
        <w:rPr>
          <w:rFonts w:ascii="Arial" w:cs="Arial" w:eastAsia="Arial" w:hAnsi="Arial"/>
          <w:sz w:val="22"/>
          <w:szCs w:val="22"/>
          <w:color w:val="auto"/>
        </w:rPr>
      </w:pPr>
    </w:p>
    <w:p>
      <w:pPr>
        <w:ind w:right="80" w:firstLine="656"/>
        <w:spacing w:after="0" w:line="276" w:lineRule="auto"/>
        <w:tabs>
          <w:tab w:leader="none" w:pos="10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books of account, financial reports and corporate records of the Seller will be maintained separately from those of the Master Servicer and each other Affiliate of the Seller;</w:t>
      </w:r>
    </w:p>
    <w:p>
      <w:pPr>
        <w:spacing w:after="0" w:line="160" w:lineRule="exact"/>
        <w:rPr>
          <w:rFonts w:ascii="Arial" w:cs="Arial" w:eastAsia="Arial" w:hAnsi="Arial"/>
          <w:sz w:val="22"/>
          <w:szCs w:val="22"/>
          <w:color w:val="auto"/>
        </w:rPr>
      </w:pPr>
    </w:p>
    <w:p>
      <w:pPr>
        <w:jc w:val="both"/>
        <w:ind w:right="640" w:firstLine="656"/>
        <w:spacing w:after="0" w:line="358" w:lineRule="auto"/>
        <w:tabs>
          <w:tab w:leader="none" w:pos="103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financial statements of any Seller Party or Affiliate thereof which are consolidated to include the Seller will contain detailed notes clearly stating that (i) all of the Seller’s assets are owned by the Seller, and (ii) the Seller is a separate</w:t>
      </w:r>
    </w:p>
    <w:p>
      <w:pPr>
        <w:sectPr>
          <w:pgSz w:w="11900" w:h="17028" w:orient="portrait"/>
          <w:cols w:equalWidth="0" w:num="1">
            <w:col w:w="11400"/>
          </w:cols>
          <w:pgMar w:left="240" w:top="132" w:right="259" w:bottom="0" w:gutter="0" w:footer="0" w:header="0"/>
        </w:sectPr>
      </w:pPr>
    </w:p>
    <w:bookmarkStart w:id="68" w:name="page69"/>
    <w:bookmarkEnd w:id="68"/>
    <w:p>
      <w:pPr>
        <w:ind w:right="80"/>
        <w:spacing w:after="0" w:line="250" w:lineRule="auto"/>
        <w:rPr>
          <w:sz w:val="20"/>
          <w:szCs w:val="20"/>
          <w:color w:val="auto"/>
        </w:rPr>
      </w:pPr>
      <w:r>
        <w:rPr>
          <w:rFonts w:ascii="Arial" w:cs="Arial" w:eastAsia="Arial" w:hAnsi="Arial"/>
          <w:sz w:val="22"/>
          <w:szCs w:val="22"/>
          <w:color w:val="auto"/>
        </w:rPr>
        <w:t>corporate entity with its own separate creditors that will be entitled to be satisfied out of the Seller’s assets prior to any value in the Seller becoming available to the Seller’s equity holders; and the accounting records and the published financial statements of the Originators will clearly show that, for accounting purposes, the Pool Receivables and Related Assets have been sold by the Originators to the Seller;</w:t>
      </w:r>
    </w:p>
    <w:p>
      <w:pPr>
        <w:spacing w:after="0" w:line="188" w:lineRule="exact"/>
        <w:rPr>
          <w:sz w:val="20"/>
          <w:szCs w:val="20"/>
          <w:color w:val="auto"/>
        </w:rPr>
      </w:pPr>
    </w:p>
    <w:p>
      <w:pPr>
        <w:ind w:right="140" w:firstLine="656"/>
        <w:spacing w:after="0" w:line="276" w:lineRule="auto"/>
        <w:tabs>
          <w:tab w:leader="none" w:pos="10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Seller’s assets will be maintained in a manner that facilitates their identification and segregation from those of the Master Servicer and the other Affiliates;</w:t>
      </w:r>
    </w:p>
    <w:p>
      <w:pPr>
        <w:spacing w:after="0" w:line="160" w:lineRule="exact"/>
        <w:rPr>
          <w:rFonts w:ascii="Arial" w:cs="Arial" w:eastAsia="Arial" w:hAnsi="Arial"/>
          <w:sz w:val="22"/>
          <w:szCs w:val="22"/>
          <w:color w:val="auto"/>
        </w:rPr>
      </w:pPr>
    </w:p>
    <w:p>
      <w:pPr>
        <w:ind w:right="260" w:firstLine="656"/>
        <w:spacing w:after="0" w:line="260" w:lineRule="auto"/>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Affiliate of the Seller will strictly observe corporate formalities in its dealings with the Seller, and, except as permitted pursuant to this Agreement with respect to Collections, funds or other assets of the Seller will not be commingled with those of any of its Affiliates;</w:t>
      </w:r>
    </w:p>
    <w:p>
      <w:pPr>
        <w:spacing w:after="0" w:line="177" w:lineRule="exact"/>
        <w:rPr>
          <w:rFonts w:ascii="Arial" w:cs="Arial" w:eastAsia="Arial" w:hAnsi="Arial"/>
          <w:sz w:val="22"/>
          <w:szCs w:val="22"/>
          <w:color w:val="auto"/>
        </w:rPr>
      </w:pPr>
    </w:p>
    <w:p>
      <w:pPr>
        <w:ind w:right="140" w:firstLine="656"/>
        <w:spacing w:after="0" w:line="307" w:lineRule="auto"/>
        <w:tabs>
          <w:tab w:leader="none" w:pos="10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No Affiliate of the Seller will maintain joint bank accounts with the Seller or other depository accounts with the Seller to which any such Affiliate (other than in its capacity as the Master Servicer hereunder or under the Sale Agreement) has independent access,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occurrence of a Credit Event, Collections may (following receipt in the Lockbox Accounts) be deposited into general accounts of the Master Servicer, subject to the obligations of the Master Servicer hereunder;</w:t>
      </w:r>
    </w:p>
    <w:p>
      <w:pPr>
        <w:spacing w:after="0" w:line="138" w:lineRule="exact"/>
        <w:rPr>
          <w:rFonts w:ascii="Arial" w:cs="Arial" w:eastAsia="Arial" w:hAnsi="Arial"/>
          <w:sz w:val="19"/>
          <w:szCs w:val="19"/>
          <w:color w:val="auto"/>
        </w:rPr>
      </w:pPr>
    </w:p>
    <w:p>
      <w:pPr>
        <w:ind w:right="20" w:firstLine="656"/>
        <w:spacing w:after="0" w:line="358" w:lineRule="auto"/>
        <w:tabs>
          <w:tab w:leader="none" w:pos="11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Affiliate of the Seller shall, directly or indirectly, name the Seller or enter into any agreement to name the Seller as a direct or contingent beneficiary or loss payee on any insurance policy covering the property of any Affiliate of the Seller;</w:t>
      </w:r>
    </w:p>
    <w:p>
      <w:pPr>
        <w:spacing w:after="0" w:line="90" w:lineRule="exact"/>
        <w:rPr>
          <w:rFonts w:ascii="Arial" w:cs="Arial" w:eastAsia="Arial" w:hAnsi="Arial"/>
          <w:sz w:val="19"/>
          <w:szCs w:val="19"/>
          <w:color w:val="auto"/>
        </w:rPr>
      </w:pPr>
    </w:p>
    <w:p>
      <w:pPr>
        <w:ind w:right="60" w:firstLine="656"/>
        <w:spacing w:after="0" w:line="260" w:lineRule="auto"/>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Affiliate of the Seller will maintain arm’s length relationships with the Seller, and each Affiliate of the Seller that renders or otherwise furnishes services or merchandise to the Seller will be compensated by the Seller at market rates for such services or merchandise;</w:t>
      </w:r>
    </w:p>
    <w:p>
      <w:pPr>
        <w:spacing w:after="0" w:line="177" w:lineRule="exact"/>
        <w:rPr>
          <w:rFonts w:ascii="Arial" w:cs="Arial" w:eastAsia="Arial" w:hAnsi="Arial"/>
          <w:sz w:val="22"/>
          <w:szCs w:val="22"/>
          <w:color w:val="auto"/>
        </w:rPr>
      </w:pPr>
    </w:p>
    <w:p>
      <w:pPr>
        <w:ind w:right="40" w:firstLine="656"/>
        <w:spacing w:after="0" w:line="294"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Affiliate of the Seller will be, nor will it hold itself out to be, responsible for the debts of the Seller or the decisions or actions in respect of the daily business and affairs of the Seller. The Seller shall not (i) guarantee or become obligated for the debts of any other entity or hold out its credit as being available to satisfy the obligations of others, (ii) acquire obligations of its shareholders, (iii) pledge its assets for the benefit of any other entity or make any loans or advances to any other entity or (iv) make any payment or distribution of assets with respect to any obligation of any Affiliate of Seller. The Master Servicer and the Seller will immediately correct any known misrepresentation with respect to the foregoing and they will not operate or purport to operate as an integrated single economic unit with respect to each other or in their dealing with any other entity;</w:t>
      </w:r>
    </w:p>
    <w:p>
      <w:pPr>
        <w:spacing w:after="0" w:line="152" w:lineRule="exact"/>
        <w:rPr>
          <w:rFonts w:ascii="Arial" w:cs="Arial" w:eastAsia="Arial" w:hAnsi="Arial"/>
          <w:sz w:val="19"/>
          <w:szCs w:val="19"/>
          <w:color w:val="auto"/>
        </w:rPr>
      </w:pPr>
    </w:p>
    <w:p>
      <w:pPr>
        <w:jc w:val="both"/>
        <w:ind w:right="180" w:firstLine="656"/>
        <w:spacing w:after="0" w:line="320"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Seller will hold regular duly noticed meetings of its board of directors and keep correct and complete books and records of account and minutes of the meetings and other proceedings of its stockholder and board of directors, as applicable, and the resolutions, agreements and other instruments of the Seller will be continuously maintained as official records by the Seller;</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Seller will not participate in the management of any other Seller Party or any Affiliate thereof; and</w:t>
      </w:r>
    </w:p>
    <w:p>
      <w:pPr>
        <w:spacing w:after="0" w:line="233" w:lineRule="exact"/>
        <w:rPr>
          <w:rFonts w:ascii="Arial" w:cs="Arial" w:eastAsia="Arial" w:hAnsi="Arial"/>
          <w:sz w:val="22"/>
          <w:szCs w:val="22"/>
          <w:color w:val="auto"/>
        </w:rPr>
      </w:pPr>
    </w:p>
    <w:p>
      <w:pPr>
        <w:ind w:right="280" w:firstLine="656"/>
        <w:spacing w:after="0" w:line="358" w:lineRule="auto"/>
        <w:tabs>
          <w:tab w:leader="none" w:pos="10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Seller, on the one hand, and each Originator, on the other hand, will hold itself out to the public and conduct its business solely in its own corporate name and in such a separate manner so as not to mislead others with whom they are dealing.</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VIII.</w:t>
      </w:r>
    </w:p>
    <w:p>
      <w:pPr>
        <w:spacing w:after="0" w:line="274"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Administration and Collection</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color w:val="auto"/>
        </w:rPr>
        <w:t>Designation of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289" w:lineRule="auto"/>
        <w:tabs>
          <w:tab w:leader="none" w:pos="106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Lennox as Initial Master Servicer</w:t>
      </w:r>
      <w:r>
        <w:rPr>
          <w:rFonts w:ascii="Arial" w:cs="Arial" w:eastAsia="Arial" w:hAnsi="Arial"/>
          <w:sz w:val="19"/>
          <w:szCs w:val="19"/>
          <w:color w:val="auto"/>
        </w:rPr>
        <w:t xml:space="preserve">. The servicing, administering and collection of the Pool Receivables shall be conducted by the Person designated as Master Servicer hereunder from time to time in accordance with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Until the Administrative Agent at the direction of the Purchaser Agents, on the Investors’ behalf, gives to Lennox a Successor Notice (as defined in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Lennox is hereby designated as, and hereby agrees to perform the duties and obligations of, the Master Servicer pursuant to the terms hereof. Each of the Originators named in the Sale Agreement, has agreed to act as subservicer for the purpose of performing certain duties and obligations with respect to all Receivables purchased by the Seller from such Originator pursuant to the terms of the Sale Agreement. In so acting as subservicer, each of the Originators has agreed to comply with, and be bound by, all of the terms and provisions of this Agreement applicable to such Originator in the performance of its duties as subservicer;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such Originator (i) shall cease to act as subservicer upon the Administrative Agent’s delivery of a Successor Notice to Lennox, and (ii) shall not be entitled to receive any Servicing Fee provided for herein (except that the Master Servicer may agree to pay to the subservicers a proportional share of the Servicing Fee which obligation shall be that of the Master Servicer).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 w:firstLine="656"/>
        <w:spacing w:after="0" w:line="300" w:lineRule="auto"/>
        <w:tabs>
          <w:tab w:leader="none" w:pos="10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Successor Notice; Master Servicer Transfer Events</w:t>
      </w:r>
      <w:r>
        <w:rPr>
          <w:rFonts w:ascii="Arial" w:cs="Arial" w:eastAsia="Arial" w:hAnsi="Arial"/>
          <w:sz w:val="19"/>
          <w:szCs w:val="19"/>
          <w:color w:val="auto"/>
        </w:rPr>
        <w:t>. Upon Lennox’s receipt of a notice from the Administrative Agent of the Administrative Agent’s designation at the direction of the Purchaser Agents, on the Investors’ behalf, of a new Master Servicer (a “</w:t>
      </w:r>
      <w:r>
        <w:rPr>
          <w:rFonts w:ascii="Arial" w:cs="Arial" w:eastAsia="Arial" w:hAnsi="Arial"/>
          <w:sz w:val="19"/>
          <w:szCs w:val="19"/>
          <w:i w:val="1"/>
          <w:iCs w:val="1"/>
          <w:u w:val="single" w:color="auto"/>
          <w:color w:val="auto"/>
        </w:rPr>
        <w:t>Successor Notice</w:t>
      </w:r>
      <w:r>
        <w:rPr>
          <w:rFonts w:ascii="Arial" w:cs="Arial" w:eastAsia="Arial" w:hAnsi="Arial"/>
          <w:sz w:val="19"/>
          <w:szCs w:val="19"/>
          <w:color w:val="auto"/>
        </w:rPr>
        <w:t>”), Lennox agrees that it will terminate its activities as Master Servicer hereunder in a manner that the Agents believe will facilitate the transition of the performance of such activities to the new Master Servicer, and the Administrative Agent (or its designee) shall assume each and all of Lennox’s obligations to service and administer such Receivables, on the terms</w:t>
      </w:r>
    </w:p>
    <w:p>
      <w:pPr>
        <w:sectPr>
          <w:pgSz w:w="11900" w:h="16838" w:orient="portrait"/>
          <w:cols w:equalWidth="0" w:num="1">
            <w:col w:w="11400"/>
          </w:cols>
          <w:pgMar w:left="240" w:top="132" w:right="259" w:bottom="0" w:gutter="0" w:footer="0" w:header="0"/>
        </w:sectPr>
      </w:pPr>
    </w:p>
    <w:bookmarkStart w:id="69" w:name="page70"/>
    <w:bookmarkEnd w:id="69"/>
    <w:p>
      <w:pPr>
        <w:ind w:right="100"/>
        <w:spacing w:after="0" w:line="250" w:lineRule="auto"/>
        <w:rPr>
          <w:sz w:val="20"/>
          <w:szCs w:val="20"/>
          <w:color w:val="auto"/>
        </w:rPr>
      </w:pPr>
      <w:r>
        <w:rPr>
          <w:rFonts w:ascii="Arial" w:cs="Arial" w:eastAsia="Arial" w:hAnsi="Arial"/>
          <w:sz w:val="22"/>
          <w:szCs w:val="22"/>
          <w:color w:val="auto"/>
        </w:rPr>
        <w:t>and subject to the conditions herein set forth, and Lennox shall use its best efforts to assist the Administrative Agent (or its designee) in assuming such obligations. Without limiting the foregoing, Lennox agrees, at its expense, to take all actions necessary to provide the new Master Servicer with access to all computer software necessary or useful in collecting, billing or maintaining records with respect to the Receivables.</w:t>
      </w:r>
    </w:p>
    <w:p>
      <w:pPr>
        <w:spacing w:after="0" w:line="188" w:lineRule="exact"/>
        <w:rPr>
          <w:sz w:val="20"/>
          <w:szCs w:val="20"/>
          <w:color w:val="auto"/>
        </w:rPr>
      </w:pPr>
    </w:p>
    <w:p>
      <w:pPr>
        <w:ind w:right="260" w:firstLine="656"/>
        <w:spacing w:after="0" w:line="307" w:lineRule="auto"/>
        <w:tabs>
          <w:tab w:leader="none" w:pos="106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Subcontracts</w:t>
      </w:r>
      <w:r>
        <w:rPr>
          <w:rFonts w:ascii="Arial" w:cs="Arial" w:eastAsia="Arial" w:hAnsi="Arial"/>
          <w:sz w:val="19"/>
          <w:szCs w:val="19"/>
          <w:color w:val="auto"/>
        </w:rPr>
        <w:t xml:space="preserve">. The Master Servicer may, with the prior consent of the Agents, subcontract with any other Person for servicing, administering or collecting the Pool Receivables,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Master Servicer shall remain liable for the performance of the duties and obligations of the Master Servicer pursuant to the terms hereof and such subservicing arrangement may be terminated at the Administrative Agent’s request, at any time after a Successor Notice has been given.</w:t>
      </w:r>
    </w:p>
    <w:p>
      <w:pPr>
        <w:spacing w:after="0" w:line="1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color w:val="auto"/>
        </w:rPr>
        <w:t>Duties of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294" w:lineRule="auto"/>
        <w:tabs>
          <w:tab w:leader="none" w:pos="106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Appointment; Duties in General</w:t>
      </w:r>
      <w:r>
        <w:rPr>
          <w:rFonts w:ascii="Arial" w:cs="Arial" w:eastAsia="Arial" w:hAnsi="Arial"/>
          <w:sz w:val="19"/>
          <w:szCs w:val="19"/>
          <w:color w:val="auto"/>
        </w:rPr>
        <w:t xml:space="preserve">. Each of the Seller, the Investors and the Agents hereby appoints as its agent the Master Servicer, as from time to time designated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to enforce its rights and interests in and under the Pool Receivables and the Related Assets and the related Contracts. The Master Servicer shall take or cause to be taken all such actions as may be necessary or advisable to collect each Pool Receivable from time to time, all in accordance with applicable laws, rules and regulations, with reasonable care and diligence, and in accordance with the Credit and Collection Policy. In performing its duties as Master Servicer, the Master Servicer shall exercise the same care and apply the same policies as it would exercise and apply if it owned such Receivables and shall act in the best interests of the Seller and the Investors.</w:t>
      </w:r>
    </w:p>
    <w:p>
      <w:pPr>
        <w:spacing w:after="0" w:line="152" w:lineRule="exact"/>
        <w:rPr>
          <w:rFonts w:ascii="Arial" w:cs="Arial" w:eastAsia="Arial" w:hAnsi="Arial"/>
          <w:sz w:val="19"/>
          <w:szCs w:val="19"/>
          <w:color w:val="auto"/>
        </w:rPr>
      </w:pPr>
    </w:p>
    <w:p>
      <w:pPr>
        <w:ind w:right="100" w:firstLine="656"/>
        <w:spacing w:after="0" w:line="290" w:lineRule="auto"/>
        <w:tabs>
          <w:tab w:leader="none" w:pos="108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Allocation of Collections; Segregation</w:t>
      </w:r>
      <w:r>
        <w:rPr>
          <w:rFonts w:ascii="Arial" w:cs="Arial" w:eastAsia="Arial" w:hAnsi="Arial"/>
          <w:sz w:val="19"/>
          <w:szCs w:val="19"/>
          <w:color w:val="auto"/>
        </w:rPr>
        <w:t xml:space="preserve">. The Master Servicer shall identify for the account of the Seller and Investors their respective allocable shares of the Collections of Pool Receivables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but shall not be required (unless otherwise requested by the Administrative Agent or any Purchaser Agent, on behalf of such Purchaser Agent’s Purchaser Group) to segregate the funds constituting such portions of such Collections prior to the remittance thereof in accordance with said Section. If instructed by the Administrative Agent or any Purchaser Agent, the Master Servicer shall segregate and deposit into the Collection Account, the Investors’ Share of Collections of Pool Receivables, on the second Business Day following receipt by the Master Servicer of such Collections in immediately available funds. The Master Servicer shall, from time to time after the occurrence and during the continuance of an Unmatured Liquidation Event or a Liquidation Event, at the request of any Purchaser Agent, furnish to such Purchaser Agent (promptly after any such request) a calculation of the amounts set aside for the Investors in such Purchaser Agent’s Purchaser Group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right="20" w:firstLine="656"/>
        <w:spacing w:after="0" w:line="262" w:lineRule="auto"/>
        <w:tabs>
          <w:tab w:leader="none" w:pos="1068"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Modification of Receivables</w:t>
      </w:r>
      <w:r>
        <w:rPr>
          <w:rFonts w:ascii="Arial" w:cs="Arial" w:eastAsia="Arial" w:hAnsi="Arial"/>
          <w:sz w:val="21"/>
          <w:szCs w:val="21"/>
          <w:color w:val="auto"/>
        </w:rPr>
        <w:t xml:space="preserve">. So long as no Credit Event, no Liquidation Event and no Unmatured Liquidation Event shall have occurred and be continuing, Lennox, while it is Master Servicer, may, in accordance with the applicable Credit and Collection Policy, (i) extend the maturity or adjust the Unpaid Balance of any Defaulted Receivable as the Master Servicer may reasonably determine to be appropriate to maximize Collections thereof, and (ii) adjust the Unpaid Balance of any Receivable to reflect the reductions or cancellations described in the first sentence of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extension or adjustment shall not alter the status of such Receivables as Delinquent Receivables or Defaulted Receivables or limit the rights of any Agent or any Investor with respect thereto.</w:t>
      </w:r>
    </w:p>
    <w:p>
      <w:pPr>
        <w:spacing w:after="0" w:line="180" w:lineRule="exact"/>
        <w:rPr>
          <w:rFonts w:ascii="Arial" w:cs="Arial" w:eastAsia="Arial" w:hAnsi="Arial"/>
          <w:sz w:val="21"/>
          <w:szCs w:val="21"/>
          <w:color w:val="auto"/>
        </w:rPr>
      </w:pPr>
    </w:p>
    <w:p>
      <w:pPr>
        <w:ind w:firstLine="656"/>
        <w:spacing w:after="0" w:line="320" w:lineRule="auto"/>
        <w:tabs>
          <w:tab w:leader="none" w:pos="108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Documents and Records</w:t>
      </w:r>
      <w:r>
        <w:rPr>
          <w:rFonts w:ascii="Arial" w:cs="Arial" w:eastAsia="Arial" w:hAnsi="Arial"/>
          <w:sz w:val="19"/>
          <w:szCs w:val="19"/>
          <w:color w:val="auto"/>
        </w:rPr>
        <w:t>. Each Seller Party shall deliver to the Master Servicer, and the Master Servicer shall hold in trust for the Seller and the Purchaser Agents, on behalf of the Investors, in accordance with their respective interests, all documents, instruments and records (including, without limitation, computer tapes or disks) that evidence or relate to Pool Receivables.</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Certain Duties to the Seller</w:t>
      </w:r>
      <w:r>
        <w:rPr>
          <w:rFonts w:ascii="Arial" w:cs="Arial" w:eastAsia="Arial" w:hAnsi="Arial"/>
          <w:sz w:val="19"/>
          <w:szCs w:val="19"/>
          <w:color w:val="auto"/>
        </w:rPr>
        <w:t>. The Master Servicer shall, as soon as practicable following receipt, turn over to the Seller</w:t>
      </w:r>
    </w:p>
    <w:p>
      <w:pPr>
        <w:spacing w:after="0" w:line="56" w:lineRule="exact"/>
        <w:rPr>
          <w:rFonts w:ascii="Arial" w:cs="Arial" w:eastAsia="Arial" w:hAnsi="Arial"/>
          <w:sz w:val="19"/>
          <w:szCs w:val="19"/>
          <w:color w:val="auto"/>
        </w:rPr>
      </w:pPr>
    </w:p>
    <w:p>
      <w:pPr>
        <w:ind w:right="60" w:firstLine="8"/>
        <w:spacing w:after="0" w:line="259" w:lineRule="auto"/>
        <w:tabs>
          <w:tab w:leader="none" w:pos="258"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that portion of Collections of Pool Receivables representing its undivided percentage ownership interest therein, less the Seller’s Share of the Servicing Fee, and, in the event that neither Lennox nor any other Seller Party or Affiliate thereof is the Master Servicer, all reasonable and appropriate out-of-pocket costs and expenses of the Master Servicer of servicing, collecting and administering the Pool Receivables to the extent not covered by the Servicing Fee received by it, and (ii) the Collections of any Receivable which is not a Pool Receivable. The Master Servicer, if other than Lennox or any other Seller Party or Affiliate thereof, shall, as soon as practicable upon demand, deliver to the Seller all documents, instruments and records in its possession that evidence or relate to Receivables of the Seller other than Pool Receivables, and copies of documents, instruments and records in its possession that evidence or relate to Pool Receivables.</w:t>
      </w:r>
    </w:p>
    <w:p>
      <w:pPr>
        <w:spacing w:after="0" w:line="179" w:lineRule="exact"/>
        <w:rPr>
          <w:rFonts w:ascii="Arial" w:cs="Arial" w:eastAsia="Arial" w:hAnsi="Arial"/>
          <w:sz w:val="21"/>
          <w:szCs w:val="21"/>
          <w:color w:val="auto"/>
        </w:rPr>
      </w:pPr>
    </w:p>
    <w:p>
      <w:pPr>
        <w:ind w:left="1060" w:hanging="404"/>
        <w:spacing w:after="0"/>
        <w:tabs>
          <w:tab w:leader="none" w:pos="106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The Master Servicer’s authorization under this Agreement shall terminate upon the Final Payout Date.</w:t>
      </w:r>
    </w:p>
    <w:p>
      <w:pPr>
        <w:spacing w:after="0" w:line="267" w:lineRule="exact"/>
        <w:rPr>
          <w:rFonts w:ascii="Arial" w:cs="Arial" w:eastAsia="Arial" w:hAnsi="Arial"/>
          <w:sz w:val="19"/>
          <w:szCs w:val="19"/>
          <w:color w:val="auto"/>
        </w:rPr>
      </w:pPr>
    </w:p>
    <w:p>
      <w:pPr>
        <w:ind w:right="200" w:firstLine="656"/>
        <w:spacing w:after="0" w:line="307" w:lineRule="auto"/>
        <w:tabs>
          <w:tab w:leader="none" w:pos="108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Power of Attorney</w:t>
      </w:r>
      <w:r>
        <w:rPr>
          <w:rFonts w:ascii="Arial" w:cs="Arial" w:eastAsia="Arial" w:hAnsi="Arial"/>
          <w:sz w:val="19"/>
          <w:szCs w:val="19"/>
          <w:color w:val="auto"/>
        </w:rPr>
        <w:t>. The Seller hereby grants to the Master Servicer an irrevocable power of attorney, with full power of substitution, coupled with an interest, to take in the name of the Seller all steps which are necessary or advisable to endorse, negotiate or otherwise realize on any writing or other right of any kind held or transmitted by the Seller or transmitted or received by the Master Servicer (whether or not from the Seller) in connection with any Receivable.</w:t>
      </w:r>
    </w:p>
    <w:p>
      <w:pPr>
        <w:spacing w:after="0" w:line="13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color w:val="auto"/>
        </w:rPr>
        <w:t>[Reserved]</w:t>
      </w:r>
      <w:r>
        <w:rPr>
          <w:rFonts w:ascii="Arial" w:cs="Arial" w:eastAsia="Arial" w:hAnsi="Arial"/>
          <w:sz w:val="19"/>
          <w:szCs w:val="19"/>
          <w:b w:val="1"/>
          <w:bCs w:val="1"/>
          <w:color w:val="auto"/>
        </w:rPr>
        <w:t>.</w:t>
      </w:r>
    </w:p>
    <w:p>
      <w:pPr>
        <w:spacing w:after="0" w:line="23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color w:val="auto"/>
        </w:rPr>
        <w:t>Servicer Defaults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events shall constitute a “</w:t>
      </w:r>
      <w:r>
        <w:rPr>
          <w:rFonts w:ascii="Arial" w:cs="Arial" w:eastAsia="Arial" w:hAnsi="Arial"/>
          <w:sz w:val="22"/>
          <w:szCs w:val="22"/>
          <w:i w:val="1"/>
          <w:iCs w:val="1"/>
          <w:u w:val="single" w:color="auto"/>
          <w:color w:val="auto"/>
        </w:rPr>
        <w:t>Servicer Default</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70" w:name="page71"/>
    <w:bookmarkEnd w:id="70"/>
    <w:p>
      <w:pPr>
        <w:ind w:right="220" w:firstLine="656"/>
        <w:spacing w:after="0" w:line="287" w:lineRule="auto"/>
        <w:tabs>
          <w:tab w:leader="none" w:pos="1068"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failure by the Master Servicer to make any payment, transfer or deposit or to give instructions or notice to any Agent as required by this Agreement including, without limitation, delivery of any Information Package or Interim Information Package or any failure to make any payment or deposit required to be made in order to reduce the Asset Interest to the Allocation Limit and, (i) in the case of failure to deliver an Information Package or Interim Information Package, as the case may be, such failure shall remain unremedied for two (2) Business Days after the earliest to occur of (A) written notice thereof shall have been given by any Agent to the Master Servicer or (B) the Master Servicer shall have otherwise become aware of such failure and</w:t>
      </w:r>
    </w:p>
    <w:p>
      <w:pPr>
        <w:spacing w:after="0" w:line="3" w:lineRule="exact"/>
        <w:rPr>
          <w:rFonts w:ascii="Arial" w:cs="Arial" w:eastAsia="Arial" w:hAnsi="Arial"/>
          <w:sz w:val="19"/>
          <w:szCs w:val="19"/>
          <w:color w:val="auto"/>
        </w:rPr>
      </w:pPr>
    </w:p>
    <w:p>
      <w:pPr>
        <w:ind w:right="160" w:firstLine="8"/>
        <w:spacing w:after="0" w:line="245" w:lineRule="auto"/>
        <w:tabs>
          <w:tab w:leader="none" w:pos="318"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except with respect to any payment or deposit required to be made in order to reduce the Asset Interest to the Allocation Limit which shall be made when due, in the case of failure to make any payment or deposit to be made by the Master Servicer such failure shall remain unremedied for three (3) Business Days after the due date thereof;</w:t>
      </w:r>
    </w:p>
    <w:p>
      <w:pPr>
        <w:spacing w:after="0" w:line="193" w:lineRule="exact"/>
        <w:rPr>
          <w:rFonts w:ascii="Arial" w:cs="Arial" w:eastAsia="Arial" w:hAnsi="Arial"/>
          <w:sz w:val="22"/>
          <w:szCs w:val="22"/>
          <w:color w:val="auto"/>
        </w:rPr>
      </w:pPr>
    </w:p>
    <w:p>
      <w:pPr>
        <w:ind w:firstLine="656"/>
        <w:spacing w:after="0" w:line="251" w:lineRule="auto"/>
        <w:tabs>
          <w:tab w:leader="none" w:pos="10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failure on the part of the Master Servicer duly to observe or perform in any material respect any other covenants or agreements of the Master Servicer set forth in this Agreement or any other Transaction Document to which the Master Servicer is a party, which failure continues unremedied for a period of 30 days after the first to occur of (i) the date on which written notice of such failure requiring the same to be remedied shall have been given to the Master Servicer by any Agent and (ii) the date on which the Master Servicer becomes aware thereof;</w:t>
      </w:r>
    </w:p>
    <w:p>
      <w:pPr>
        <w:spacing w:after="0" w:line="189" w:lineRule="exact"/>
        <w:rPr>
          <w:rFonts w:ascii="Arial" w:cs="Arial" w:eastAsia="Arial" w:hAnsi="Arial"/>
          <w:sz w:val="22"/>
          <w:szCs w:val="22"/>
          <w:color w:val="auto"/>
        </w:rPr>
      </w:pPr>
    </w:p>
    <w:p>
      <w:pPr>
        <w:ind w:right="460" w:firstLine="656"/>
        <w:spacing w:after="0" w:line="294" w:lineRule="auto"/>
        <w:tabs>
          <w:tab w:leader="none" w:pos="1068"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any representation, warranty or certification made by the Master Servicer in this Agreement or in any certificate delivered pursuant to this Agreement shall prove to have been false or incorrect in any material respect when made, which continues to be unremedied for a period of 30 days after the first to occur of (i) the date on which written notice of such incorrectness requiring the same to be remedied shall have been given to the Master Servicer by any Agent and (ii) the date on which the Master Servicer becomes aware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certification that was not made in writing, a Servicer Default shall occur hereunder only if such representation, warranty or certification was reasonably relied upon by any Agent and/or the Investors;</w:t>
      </w:r>
    </w:p>
    <w:p>
      <w:pPr>
        <w:spacing w:after="0" w:line="152" w:lineRule="exact"/>
        <w:rPr>
          <w:rFonts w:ascii="Arial" w:cs="Arial" w:eastAsia="Arial" w:hAnsi="Arial"/>
          <w:sz w:val="19"/>
          <w:szCs w:val="19"/>
          <w:color w:val="auto"/>
        </w:rPr>
      </w:pPr>
    </w:p>
    <w:p>
      <w:pPr>
        <w:ind w:left="1080" w:hanging="424"/>
        <w:spacing w:after="0"/>
        <w:tabs>
          <w:tab w:leader="none" w:pos="10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 Credit Event shall occur or any bankruptcy, insolvency or similar event occurs with respect to the Master Servicer; or</w:t>
      </w:r>
    </w:p>
    <w:p>
      <w:pPr>
        <w:spacing w:after="0" w:line="267" w:lineRule="exact"/>
        <w:rPr>
          <w:rFonts w:ascii="Arial" w:cs="Arial" w:eastAsia="Arial" w:hAnsi="Arial"/>
          <w:sz w:val="19"/>
          <w:szCs w:val="19"/>
          <w:color w:val="auto"/>
        </w:rPr>
      </w:pPr>
    </w:p>
    <w:p>
      <w:pPr>
        <w:ind w:right="120" w:firstLine="656"/>
        <w:spacing w:after="0" w:line="276" w:lineRule="auto"/>
        <w:tabs>
          <w:tab w:leader="none" w:pos="1068"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change in the control of the Master Servicer which takes the form of either a merger or consolidation in which the Master Servicer is not the surviving entity.</w:t>
      </w:r>
    </w:p>
    <w:p>
      <w:pPr>
        <w:spacing w:after="0" w:line="161"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Notwithstanding anything herein to the contrary, so long as any such Servicer Default shall not have been remedied, the Administrative Agent (at the direction of any Purchaser Agent), by written notice to the Master Servicer (a “</w:t>
      </w:r>
      <w:r>
        <w:rPr>
          <w:rFonts w:ascii="Arial" w:cs="Arial" w:eastAsia="Arial" w:hAnsi="Arial"/>
          <w:sz w:val="19"/>
          <w:szCs w:val="19"/>
          <w:i w:val="1"/>
          <w:iCs w:val="1"/>
          <w:u w:val="single" w:color="auto"/>
          <w:color w:val="auto"/>
        </w:rPr>
        <w:t>Termination Notice</w:t>
      </w:r>
      <w:r>
        <w:rPr>
          <w:rFonts w:ascii="Arial" w:cs="Arial" w:eastAsia="Arial" w:hAnsi="Arial"/>
          <w:sz w:val="19"/>
          <w:szCs w:val="19"/>
          <w:color w:val="auto"/>
        </w:rPr>
        <w:t>”), may terminate all of the rights and obligations of the Master Servicer as Master Servicer under this Agreement and appoint a successor Master Servicer satisfactory to the Administrative Agent (in the Administrative Agent’s sole discretion).</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color w:val="auto"/>
        </w:rPr>
        <w:t>Rights of the Administrative Agent</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260"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Notice to Obligors</w:t>
      </w:r>
      <w:r>
        <w:rPr>
          <w:rFonts w:ascii="Arial" w:cs="Arial" w:eastAsia="Arial" w:hAnsi="Arial"/>
          <w:sz w:val="22"/>
          <w:szCs w:val="22"/>
          <w:color w:val="auto"/>
        </w:rPr>
        <w:t>. At any time when a Liquidation Event has occurred and is continuing, the Administrative Agent, at the request of the Purchaser Agents, may notify the Obligors of Pool Receivables, or any of them, of the ownership of the Asset Interest by the Investors.</w:t>
      </w:r>
    </w:p>
    <w:p>
      <w:pPr>
        <w:spacing w:after="0" w:line="177" w:lineRule="exact"/>
        <w:rPr>
          <w:rFonts w:ascii="Arial" w:cs="Arial" w:eastAsia="Arial" w:hAnsi="Arial"/>
          <w:sz w:val="22"/>
          <w:szCs w:val="22"/>
          <w:color w:val="auto"/>
        </w:rPr>
      </w:pPr>
    </w:p>
    <w:p>
      <w:pPr>
        <w:ind w:right="260" w:firstLine="656"/>
        <w:spacing w:after="0" w:line="301" w:lineRule="auto"/>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Notice to Lockbox Banks</w:t>
      </w:r>
      <w:r>
        <w:rPr>
          <w:rFonts w:ascii="Arial" w:cs="Arial" w:eastAsia="Arial" w:hAnsi="Arial"/>
          <w:sz w:val="21"/>
          <w:szCs w:val="21"/>
          <w:color w:val="auto"/>
        </w:rPr>
        <w:t>. At any time, the Administrative Agent is hereby authorized to give notice to the Lockbox Banks, as provided in the Lockbox Agreements, directing disposition of the funds in the Lockbox Accounts.</w:t>
      </w:r>
    </w:p>
    <w:p>
      <w:pPr>
        <w:spacing w:after="0" w:line="137" w:lineRule="exact"/>
        <w:rPr>
          <w:rFonts w:ascii="Arial" w:cs="Arial" w:eastAsia="Arial" w:hAnsi="Arial"/>
          <w:sz w:val="21"/>
          <w:szCs w:val="21"/>
          <w:color w:val="auto"/>
        </w:rPr>
      </w:pPr>
    </w:p>
    <w:p>
      <w:pPr>
        <w:ind w:right="540" w:firstLine="656"/>
        <w:spacing w:after="0" w:line="276"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Rights on Servicer Transfer Event</w:t>
      </w:r>
      <w:r>
        <w:rPr>
          <w:rFonts w:ascii="Arial" w:cs="Arial" w:eastAsia="Arial" w:hAnsi="Arial"/>
          <w:sz w:val="22"/>
          <w:szCs w:val="22"/>
          <w:color w:val="auto"/>
        </w:rPr>
        <w:t xml:space="preserve">. At any time following the designation of a Master Servicer other than Lennox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right="240" w:firstLine="645"/>
        <w:spacing w:after="0" w:line="260" w:lineRule="auto"/>
        <w:tabs>
          <w:tab w:leader="none" w:pos="1692"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Administrative Agent may, or at the request of the Purchaser Agents, shall, direct the Obligors of Pool Receivables, or any of them, to pay all amounts payable under any Pool Receivable directly to the Collection Account, or otherwise to the Administrative Agent or its designee.</w:t>
      </w:r>
    </w:p>
    <w:p>
      <w:pPr>
        <w:spacing w:after="0" w:line="177" w:lineRule="exact"/>
        <w:rPr>
          <w:rFonts w:ascii="Arial" w:cs="Arial" w:eastAsia="Arial" w:hAnsi="Arial"/>
          <w:sz w:val="22"/>
          <w:szCs w:val="22"/>
          <w:color w:val="auto"/>
        </w:rPr>
      </w:pPr>
    </w:p>
    <w:p>
      <w:pPr>
        <w:jc w:val="both"/>
        <w:ind w:left="660" w:right="120" w:firstLine="645"/>
        <w:spacing w:after="0" w:line="320" w:lineRule="auto"/>
        <w:tabs>
          <w:tab w:leader="none" w:pos="1752" w:val="left"/>
        </w:tabs>
        <w:numPr>
          <w:ilvl w:val="1"/>
          <w:numId w:val="71"/>
        </w:numPr>
        <w:rPr>
          <w:rFonts w:ascii="Arial" w:cs="Arial" w:eastAsia="Arial" w:hAnsi="Arial"/>
          <w:sz w:val="19"/>
          <w:szCs w:val="19"/>
          <w:color w:val="auto"/>
        </w:rPr>
      </w:pPr>
      <w:r>
        <w:rPr>
          <w:rFonts w:ascii="Arial" w:cs="Arial" w:eastAsia="Arial" w:hAnsi="Arial"/>
          <w:sz w:val="19"/>
          <w:szCs w:val="19"/>
          <w:color w:val="auto"/>
        </w:rPr>
        <w:t>Any Seller Party shall, at the Administrative Agent’s request and at such Seller Party’s expense, give notice of the Investors’ ownership and security interests in the Pool Receivables to each Obligor of Pool Receivables and direct that payments be made directly to the Collection Account or otherwise to the Administrative Agent or its designee.</w:t>
      </w:r>
    </w:p>
    <w:p>
      <w:pPr>
        <w:spacing w:after="0" w:line="125" w:lineRule="exact"/>
        <w:rPr>
          <w:rFonts w:ascii="Arial" w:cs="Arial" w:eastAsia="Arial" w:hAnsi="Arial"/>
          <w:sz w:val="19"/>
          <w:szCs w:val="19"/>
          <w:color w:val="auto"/>
        </w:rPr>
      </w:pPr>
    </w:p>
    <w:p>
      <w:pPr>
        <w:ind w:left="1800" w:hanging="495"/>
        <w:spacing w:after="0"/>
        <w:tabs>
          <w:tab w:leader="none" w:pos="1800" w:val="left"/>
        </w:tabs>
        <w:numPr>
          <w:ilvl w:val="1"/>
          <w:numId w:val="71"/>
        </w:numPr>
        <w:rPr>
          <w:rFonts w:ascii="Arial" w:cs="Arial" w:eastAsia="Arial" w:hAnsi="Arial"/>
          <w:sz w:val="21"/>
          <w:szCs w:val="21"/>
          <w:color w:val="auto"/>
        </w:rPr>
      </w:pPr>
      <w:r>
        <w:rPr>
          <w:rFonts w:ascii="Arial" w:cs="Arial" w:eastAsia="Arial" w:hAnsi="Arial"/>
          <w:sz w:val="21"/>
          <w:szCs w:val="21"/>
          <w:color w:val="auto"/>
        </w:rPr>
        <w:t>Each Seller Party shall, at the Administrative Agent’s request (at the direction of any Purchaser Agent),</w:t>
      </w:r>
    </w:p>
    <w:p>
      <w:pPr>
        <w:spacing w:after="0" w:line="33" w:lineRule="exact"/>
        <w:rPr>
          <w:sz w:val="20"/>
          <w:szCs w:val="20"/>
          <w:color w:val="auto"/>
        </w:rPr>
      </w:pPr>
    </w:p>
    <w:p>
      <w:pPr>
        <w:ind w:left="660" w:right="20" w:hanging="4"/>
        <w:spacing w:after="0" w:line="293" w:lineRule="auto"/>
        <w:tabs>
          <w:tab w:leader="none" w:pos="1014"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assemble all of the documents, instruments and other records (including, without limitation, computer programs, tapes and disks) which evidence the Pool Receivables, the Related Assets, and the related Contracts, or which are otherwise necessary or desirable to collect such Pool Receivables, and make the same available to the successor Master Servicer at a place selected by such Agent, and (B) segregate all cash, checks and other instruments received by it from time to time constituting Collections of Pool Receivables in a manner acceptable to the Agents and promptly upon receipt, remit all such cash, checks and instruments, duly endorsed or with duly executed instruments of transfer, to the successor Master Servicer.</w:t>
      </w:r>
    </w:p>
    <w:p>
      <w:pPr>
        <w:spacing w:after="0" w:line="150" w:lineRule="exact"/>
        <w:rPr>
          <w:rFonts w:ascii="Arial" w:cs="Arial" w:eastAsia="Arial" w:hAnsi="Arial"/>
          <w:sz w:val="19"/>
          <w:szCs w:val="19"/>
          <w:color w:val="auto"/>
        </w:rPr>
      </w:pPr>
    </w:p>
    <w:p>
      <w:pPr>
        <w:jc w:val="both"/>
        <w:ind w:left="660" w:right="20" w:firstLine="645"/>
        <w:spacing w:after="0" w:line="320" w:lineRule="auto"/>
        <w:tabs>
          <w:tab w:leader="none" w:pos="18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Each Seller Party hereby authorizes the Administrative Agent, and grants to the Administrative Agent an irrevocable power of attorney (which shall terminate on the Final Payout Date), to take any and all steps in such Seller Party’s name and on behalf of the Seller Parties which are necessary or desirable, in the determination of the Administrative</w:t>
      </w:r>
    </w:p>
    <w:p>
      <w:pPr>
        <w:sectPr>
          <w:pgSz w:w="11900" w:h="16838" w:orient="portrait"/>
          <w:cols w:equalWidth="0" w:num="1">
            <w:col w:w="11400"/>
          </w:cols>
          <w:pgMar w:left="240" w:top="132" w:right="259" w:bottom="0" w:gutter="0" w:footer="0" w:header="0"/>
        </w:sectPr>
      </w:pPr>
    </w:p>
    <w:bookmarkStart w:id="71" w:name="page72"/>
    <w:bookmarkEnd w:id="71"/>
    <w:p>
      <w:pPr>
        <w:ind w:left="660" w:right="60"/>
        <w:spacing w:after="0" w:line="253" w:lineRule="auto"/>
        <w:rPr>
          <w:sz w:val="20"/>
          <w:szCs w:val="20"/>
          <w:color w:val="auto"/>
        </w:rPr>
      </w:pPr>
      <w:r>
        <w:rPr>
          <w:rFonts w:ascii="Arial" w:cs="Arial" w:eastAsia="Arial" w:hAnsi="Arial"/>
          <w:sz w:val="22"/>
          <w:szCs w:val="22"/>
          <w:color w:val="auto"/>
        </w:rPr>
        <w:t>Agent, to collect all amounts due under any and all Pool Receivables, including, without limitation, endorsing any Seller Party’s name on checks and other instruments representing Collections and enforcing such Pool Receivables and the related Contracts.</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color w:val="auto"/>
        </w:rPr>
        <w:t>Responsibilities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Anything herein to the contrary notwithstanding:</w:t>
      </w:r>
    </w:p>
    <w:p>
      <w:pPr>
        <w:spacing w:after="0" w:line="220" w:lineRule="exact"/>
        <w:rPr>
          <w:sz w:val="20"/>
          <w:szCs w:val="20"/>
          <w:color w:val="auto"/>
        </w:rPr>
      </w:pPr>
    </w:p>
    <w:p>
      <w:pPr>
        <w:ind w:right="200" w:firstLine="656"/>
        <w:spacing w:after="0" w:line="254" w:lineRule="auto"/>
        <w:tabs>
          <w:tab w:leader="none" w:pos="106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Contracts</w:t>
      </w:r>
      <w:r>
        <w:rPr>
          <w:rFonts w:ascii="Arial" w:cs="Arial" w:eastAsia="Arial" w:hAnsi="Arial"/>
          <w:sz w:val="22"/>
          <w:szCs w:val="22"/>
          <w:color w:val="auto"/>
        </w:rPr>
        <w:t>. Each Seller Party shall remain responsible for performing all of its obligations (if any) under the Contracts related to the Pool Receivables and under the related agreements to the same extent as if the Asset Interest had not been sold hereunder, and the exercise by the Administrative Agent or its designee of its rights hereunder shall not relieve any Seller Party from such obligations.</w:t>
      </w:r>
    </w:p>
    <w:p>
      <w:pPr>
        <w:spacing w:after="0" w:line="185" w:lineRule="exact"/>
        <w:rPr>
          <w:rFonts w:ascii="Arial" w:cs="Arial" w:eastAsia="Arial" w:hAnsi="Arial"/>
          <w:sz w:val="22"/>
          <w:szCs w:val="22"/>
          <w:color w:val="auto"/>
        </w:rPr>
      </w:pPr>
    </w:p>
    <w:p>
      <w:pPr>
        <w:ind w:right="400" w:firstLine="656"/>
        <w:spacing w:after="0" w:line="260" w:lineRule="auto"/>
        <w:tabs>
          <w:tab w:leader="none" w:pos="10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 Agent or Investor shall have any obligation or liability with respect to any Pool Receivables, Contracts related thereto or any other related agreements, nor shall any of them be obligated to perform any of the obligations of any Seller Party or any Originator thereunder.</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color w:val="auto"/>
        </w:rPr>
        <w:t>Further Action Evidencing Purchases and Reinvestments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300" w:lineRule="auto"/>
        <w:tabs>
          <w:tab w:leader="none" w:pos="106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Each Seller Party agrees that from time to time, at its expense, it will promptly execute and deliver all further instruments and documents, and take all further action that the Administrative Agent or its designee may reasonably request in order to perfect, protect or more fully evidence the Purchases hereunder and the resulting Asset Interest, or to enable the Secured Parties or the Agents or any of their respective designees to exercise or enforce any of their respective rights hereunder or under any Transaction Document in respect thereof. Without limiting the generality of the foregoing, each Seller Party will:</w:t>
      </w:r>
    </w:p>
    <w:p>
      <w:pPr>
        <w:spacing w:after="0" w:line="147" w:lineRule="exact"/>
        <w:rPr>
          <w:rFonts w:ascii="Arial" w:cs="Arial" w:eastAsia="Arial" w:hAnsi="Arial"/>
          <w:sz w:val="19"/>
          <w:szCs w:val="19"/>
          <w:color w:val="auto"/>
        </w:rPr>
      </w:pPr>
    </w:p>
    <w:p>
      <w:pPr>
        <w:ind w:left="660" w:right="260" w:firstLine="645"/>
        <w:spacing w:after="0" w:line="254" w:lineRule="auto"/>
        <w:tabs>
          <w:tab w:leader="none" w:pos="1692" w:val="left"/>
        </w:tabs>
        <w:numPr>
          <w:ilvl w:val="2"/>
          <w:numId w:val="74"/>
        </w:numPr>
        <w:rPr>
          <w:rFonts w:ascii="Arial" w:cs="Arial" w:eastAsia="Arial" w:hAnsi="Arial"/>
          <w:sz w:val="22"/>
          <w:szCs w:val="22"/>
          <w:color w:val="auto"/>
        </w:rPr>
      </w:pPr>
      <w:r>
        <w:rPr>
          <w:rFonts w:ascii="Arial" w:cs="Arial" w:eastAsia="Arial" w:hAnsi="Arial"/>
          <w:sz w:val="22"/>
          <w:szCs w:val="22"/>
          <w:color w:val="auto"/>
        </w:rPr>
        <w:t>upon the request of the Administrative Agent in its discretion or at the direction of the Purchaser Agents, on behalf of the Investors, execute and file such financing or continuation statements, or amendments thereto or assignments thereof, and such other instruments or notices, as may be necessary or appropriate, in accordance with the terms of this Agreement;</w:t>
      </w:r>
    </w:p>
    <w:p>
      <w:pPr>
        <w:spacing w:after="0" w:line="185" w:lineRule="exact"/>
        <w:rPr>
          <w:rFonts w:ascii="Arial" w:cs="Arial" w:eastAsia="Arial" w:hAnsi="Arial"/>
          <w:sz w:val="22"/>
          <w:szCs w:val="22"/>
          <w:color w:val="auto"/>
        </w:rPr>
      </w:pPr>
    </w:p>
    <w:p>
      <w:pPr>
        <w:jc w:val="both"/>
        <w:ind w:left="660" w:right="120" w:firstLine="645"/>
        <w:spacing w:after="0" w:line="320" w:lineRule="auto"/>
        <w:tabs>
          <w:tab w:leader="none" w:pos="1752" w:val="left"/>
        </w:tabs>
        <w:numPr>
          <w:ilvl w:val="2"/>
          <w:numId w:val="74"/>
        </w:numPr>
        <w:rPr>
          <w:rFonts w:ascii="Arial" w:cs="Arial" w:eastAsia="Arial" w:hAnsi="Arial"/>
          <w:sz w:val="19"/>
          <w:szCs w:val="19"/>
          <w:color w:val="auto"/>
        </w:rPr>
      </w:pPr>
      <w:r>
        <w:rPr>
          <w:rFonts w:ascii="Arial" w:cs="Arial" w:eastAsia="Arial" w:hAnsi="Arial"/>
          <w:sz w:val="19"/>
          <w:szCs w:val="19"/>
          <w:color w:val="auto"/>
        </w:rPr>
        <w:t>upon the request of the Administrative Agent at the direction of any Purchaser Agent, after the occurrence and during the continuance of a Liquidation Event, mark conspicuously each Contract evidencing each Pool Receivable with a legend, acceptable to the Agents, evidencing that the Asset Interest has been sold in accordance with this Agreement; and</w:t>
      </w:r>
    </w:p>
    <w:p>
      <w:pPr>
        <w:spacing w:after="0" w:line="125" w:lineRule="exact"/>
        <w:rPr>
          <w:rFonts w:ascii="Arial" w:cs="Arial" w:eastAsia="Arial" w:hAnsi="Arial"/>
          <w:sz w:val="19"/>
          <w:szCs w:val="19"/>
          <w:color w:val="auto"/>
        </w:rPr>
      </w:pPr>
    </w:p>
    <w:p>
      <w:pPr>
        <w:ind w:left="660" w:right="160" w:firstLine="645"/>
        <w:spacing w:after="0" w:line="358" w:lineRule="auto"/>
        <w:tabs>
          <w:tab w:leader="none" w:pos="1812" w:val="left"/>
        </w:tabs>
        <w:numPr>
          <w:ilvl w:val="2"/>
          <w:numId w:val="74"/>
        </w:numPr>
        <w:rPr>
          <w:rFonts w:ascii="Arial" w:cs="Arial" w:eastAsia="Arial" w:hAnsi="Arial"/>
          <w:sz w:val="19"/>
          <w:szCs w:val="19"/>
          <w:color w:val="auto"/>
        </w:rPr>
      </w:pPr>
      <w:r>
        <w:rPr>
          <w:rFonts w:ascii="Arial" w:cs="Arial" w:eastAsia="Arial" w:hAnsi="Arial"/>
          <w:sz w:val="19"/>
          <w:szCs w:val="19"/>
          <w:color w:val="auto"/>
        </w:rPr>
        <w:t>mark its master data processing records evidencing the Pool Receivables and related Contracts with a legend, acceptable to the Agents, evidencing that the Asset Interest has been sold in accordance with this Agreement.</w:t>
      </w:r>
    </w:p>
    <w:p>
      <w:pPr>
        <w:spacing w:after="0" w:line="90" w:lineRule="exact"/>
        <w:rPr>
          <w:rFonts w:ascii="Arial" w:cs="Arial" w:eastAsia="Arial" w:hAnsi="Arial"/>
          <w:sz w:val="19"/>
          <w:szCs w:val="19"/>
          <w:color w:val="auto"/>
        </w:rPr>
      </w:pPr>
    </w:p>
    <w:p>
      <w:pPr>
        <w:ind w:right="20" w:firstLine="656"/>
        <w:spacing w:after="0" w:line="260" w:lineRule="auto"/>
        <w:tabs>
          <w:tab w:leader="none" w:pos="108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Additional Financing Statements; Performance by Administrative Agent</w:t>
      </w:r>
      <w:r>
        <w:rPr>
          <w:rFonts w:ascii="Arial" w:cs="Arial" w:eastAsia="Arial" w:hAnsi="Arial"/>
          <w:sz w:val="21"/>
          <w:szCs w:val="21"/>
          <w:color w:val="auto"/>
        </w:rPr>
        <w:t xml:space="preserve">. Each Seller Party hereby authorizes the Administrative Agent, on behalf of the Secured Parties, or its designee, to file one or more financing or continuation statements, and amendments thereto and assignments thereof, relative to all or any of the Pool Receivables and the Related Assets now existing or hereafter arising in the name of any Seller Party, which financing statements filed against the Seller may describe the collateral covered thereby as “all assets of the Seller,” “all personal property of the Seller” or words of similar effect. If any Seller Party fails to perform any of its agreements or obligations under this Agreement, the Administrative Agent or its designee may (but shall not be required to) itself perform, or cause performance of, such agreement or obligation, and the reasonable expenses of the Administrative Agent or its designee incurred in connection therewith shall be payable by the Seller Parties as provided in </w:t>
      </w:r>
      <w:r>
        <w:rPr>
          <w:rFonts w:ascii="Arial" w:cs="Arial" w:eastAsia="Arial" w:hAnsi="Arial"/>
          <w:sz w:val="21"/>
          <w:szCs w:val="21"/>
          <w:u w:val="single" w:color="auto"/>
          <w:color w:val="auto"/>
        </w:rPr>
        <w:t>Section 14.5</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left="1080" w:hanging="424"/>
        <w:spacing w:after="0"/>
        <w:tabs>
          <w:tab w:leader="none" w:pos="1080"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Continuation Statements; Opinion</w:t>
      </w:r>
      <w:r>
        <w:rPr>
          <w:rFonts w:ascii="Arial" w:cs="Arial" w:eastAsia="Arial" w:hAnsi="Arial"/>
          <w:sz w:val="19"/>
          <w:szCs w:val="19"/>
          <w:color w:val="auto"/>
        </w:rPr>
        <w:t xml:space="preserve">. Without limiting the generality of </w:t>
      </w:r>
      <w:r>
        <w:rPr>
          <w:rFonts w:ascii="Arial" w:cs="Arial" w:eastAsia="Arial" w:hAnsi="Arial"/>
          <w:sz w:val="19"/>
          <w:szCs w:val="19"/>
          <w:u w:val="single" w:color="auto"/>
          <w:color w:val="auto"/>
        </w:rPr>
        <w:t>subsection (a)</w:t>
      </w:r>
      <w:r>
        <w:rPr>
          <w:rFonts w:ascii="Arial" w:cs="Arial" w:eastAsia="Arial" w:hAnsi="Arial"/>
          <w:sz w:val="19"/>
          <w:szCs w:val="19"/>
          <w:color w:val="auto"/>
        </w:rPr>
        <w:t>, the Seller will, not earlier than six</w:t>
      </w:r>
    </w:p>
    <w:p>
      <w:pPr>
        <w:spacing w:after="0" w:line="56" w:lineRule="exact"/>
        <w:rPr>
          <w:rFonts w:ascii="Arial" w:cs="Arial" w:eastAsia="Arial" w:hAnsi="Arial"/>
          <w:sz w:val="19"/>
          <w:szCs w:val="19"/>
          <w:color w:val="auto"/>
        </w:rPr>
      </w:pPr>
    </w:p>
    <w:p>
      <w:pPr>
        <w:ind w:right="80" w:firstLine="8"/>
        <w:spacing w:after="0" w:line="251" w:lineRule="auto"/>
        <w:tabs>
          <w:tab w:leader="none" w:pos="3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months and not later than three (3) months prior to the fifth anniversary of the date of filing of the financing statements referred to in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any other financing statement filed pursuant to this Agreement or in connection with any Purchase hereunder, if the Final Payout Date shall not have occurred:</w:t>
      </w:r>
    </w:p>
    <w:p>
      <w:pPr>
        <w:spacing w:after="0" w:line="187" w:lineRule="exact"/>
        <w:rPr>
          <w:rFonts w:ascii="Arial" w:cs="Arial" w:eastAsia="Arial" w:hAnsi="Arial"/>
          <w:sz w:val="22"/>
          <w:szCs w:val="22"/>
          <w:color w:val="auto"/>
        </w:rPr>
      </w:pPr>
    </w:p>
    <w:p>
      <w:pPr>
        <w:ind w:left="660" w:right="520" w:firstLine="645"/>
        <w:spacing w:after="0" w:line="276" w:lineRule="auto"/>
        <w:tabs>
          <w:tab w:leader="none" w:pos="1692" w:val="left"/>
        </w:tabs>
        <w:numPr>
          <w:ilvl w:val="2"/>
          <w:numId w:val="75"/>
        </w:numPr>
        <w:rPr>
          <w:rFonts w:ascii="Arial" w:cs="Arial" w:eastAsia="Arial" w:hAnsi="Arial"/>
          <w:sz w:val="22"/>
          <w:szCs w:val="22"/>
          <w:color w:val="auto"/>
        </w:rPr>
      </w:pPr>
      <w:r>
        <w:rPr>
          <w:rFonts w:ascii="Arial" w:cs="Arial" w:eastAsia="Arial" w:hAnsi="Arial"/>
          <w:sz w:val="22"/>
          <w:szCs w:val="22"/>
          <w:color w:val="auto"/>
        </w:rPr>
        <w:t>if necessary, deliver and file or cause to be filed an appropriate continuation statement with respect to such financing statement; and</w:t>
      </w:r>
    </w:p>
    <w:p>
      <w:pPr>
        <w:spacing w:after="0" w:line="160" w:lineRule="exact"/>
        <w:rPr>
          <w:rFonts w:ascii="Arial" w:cs="Arial" w:eastAsia="Arial" w:hAnsi="Arial"/>
          <w:sz w:val="22"/>
          <w:szCs w:val="22"/>
          <w:color w:val="auto"/>
        </w:rPr>
      </w:pPr>
    </w:p>
    <w:p>
      <w:pPr>
        <w:jc w:val="both"/>
        <w:ind w:left="660" w:firstLine="645"/>
        <w:spacing w:after="0" w:line="251" w:lineRule="auto"/>
        <w:tabs>
          <w:tab w:leader="none" w:pos="1752" w:val="left"/>
        </w:tabs>
        <w:numPr>
          <w:ilvl w:val="2"/>
          <w:numId w:val="75"/>
        </w:numPr>
        <w:rPr>
          <w:rFonts w:ascii="Arial" w:cs="Arial" w:eastAsia="Arial" w:hAnsi="Arial"/>
          <w:sz w:val="22"/>
          <w:szCs w:val="22"/>
          <w:color w:val="auto"/>
        </w:rPr>
      </w:pPr>
      <w:r>
        <w:rPr>
          <w:rFonts w:ascii="Arial" w:cs="Arial" w:eastAsia="Arial" w:hAnsi="Arial"/>
          <w:sz w:val="22"/>
          <w:szCs w:val="22"/>
          <w:color w:val="auto"/>
        </w:rPr>
        <w:t xml:space="preserve">deliver or cause to be delivered to each Agent an opinion of the counsel for the Seller Parties (which may be an opinion of in-house counsel for the Seller Parties), in form and substance reasonably satisfactory to each Agent, confirming and updating the opinion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to the effect that the Asset Interest hereunder continues to be a valid and perfected ownership or security interest, subject to no other Liens of record except as provided herein or otherwise permitted hereunder.</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color w:val="auto"/>
        </w:rPr>
        <w:t>Application of Collections</w:t>
      </w:r>
      <w:r>
        <w:rPr>
          <w:rFonts w:ascii="Arial" w:cs="Arial" w:eastAsia="Arial" w:hAnsi="Arial"/>
          <w:sz w:val="19"/>
          <w:szCs w:val="19"/>
          <w:b w:val="1"/>
          <w:bCs w:val="1"/>
          <w:color w:val="auto"/>
        </w:rPr>
        <w:t>.</w:t>
      </w:r>
    </w:p>
    <w:p>
      <w:pPr>
        <w:spacing w:after="0" w:line="239"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Any payment by an Obligor in respect of any indebtedness owed by it to any Originator or Seller shall, except as otherwise specified by such Obligor or required by the underlying Contract or law, be applied, first, as a Collection of any Pool Receivable or</w:t>
      </w:r>
    </w:p>
    <w:p>
      <w:pPr>
        <w:sectPr>
          <w:pgSz w:w="11900" w:h="16838" w:orient="portrait"/>
          <w:cols w:equalWidth="0" w:num="1">
            <w:col w:w="11420"/>
          </w:cols>
          <w:pgMar w:left="240" w:top="132" w:right="239" w:bottom="0" w:gutter="0" w:footer="0" w:header="0"/>
        </w:sectPr>
      </w:pPr>
    </w:p>
    <w:bookmarkStart w:id="72" w:name="page73"/>
    <w:bookmarkEnd w:id="72"/>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Receivables then outstanding of such Obligor in the order of the age of such Pool Receivables, starting with the oldest of such Pool Receivables and, second, to any other indebtedness of such Obligor.</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Security Interest</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color w:val="auto"/>
        </w:rPr>
        <w:t>Grant of Security Interest</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To secure all obligations of the Seller arising in connection with this Agreement and each other Transaction Document, whether now or hereafter existing, due or to become due, direct or indirect, or absolute or contingent, including, without limitation, all Indemnified Amounts, payments on account of Collections received or deemed to be received and fees, the Seller hereby assigns and pledges to the Administrative Agent, as agent for and for the benefit of the Secured Parties and their respective successors and assigns, and hereby grants to the Administrative Agent, as agent for and for the benefit of the Secured Parties, a security interest in, all of the Seller’s right, title and interest now or hereafter existing in, to and under all assets of the Seller, including, without limitation, (a) all the Pool Receivables and Related Assets (and including specifically any undivided percentage ownership interest therein retained by the Seller hereunder), (b) the Sale Agreement and the other Transaction Documents, including, without limitation, (i) all rights of the Seller to receive moneys due or to become due under or pursuant to the Sale Agreement or the Assurance Agreement, (ii) all security interests and property subject thereto from time to time purporting to secure payment of monies due or to become due under or pursuant to the Sale Agreement or the Assurance Agreement, (iii) all rights of the Seller to receive proceeds of any insurance, indemnity, warranty or guaranty with respect to the Sale Agreement or the Assurance Agreement, (iv) claims of the Seller for damages arising out of or for breach of or default under the Sale Agreement or the Assurance Agreement, and (v) the right of the Seller to compel performance and otherwise exercise all remedies thereunder,</w:t>
      </w:r>
    </w:p>
    <w:p>
      <w:pPr>
        <w:spacing w:after="0" w:line="3" w:lineRule="exact"/>
        <w:rPr>
          <w:sz w:val="20"/>
          <w:szCs w:val="20"/>
          <w:color w:val="auto"/>
        </w:rPr>
      </w:pPr>
    </w:p>
    <w:p>
      <w:pPr>
        <w:ind w:right="60" w:firstLine="8"/>
        <w:spacing w:after="0" w:line="246" w:lineRule="auto"/>
        <w:tabs>
          <w:tab w:leader="none" w:pos="294"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lockbox related to a Lockbox Account, each Lockbox Account and the funds deposited therein, and (d) all proceeds of any of the foregoing (collectively, the “</w:t>
      </w:r>
      <w:r>
        <w:rPr>
          <w:rFonts w:ascii="Arial" w:cs="Arial" w:eastAsia="Arial" w:hAnsi="Arial"/>
          <w:sz w:val="22"/>
          <w:szCs w:val="22"/>
          <w:i w:val="1"/>
          <w:iCs w:val="1"/>
          <w:u w:val="single" w:color="auto"/>
          <w:color w:val="auto"/>
        </w:rPr>
        <w:t>Collateral</w:t>
      </w:r>
      <w:r>
        <w:rPr>
          <w:rFonts w:ascii="Arial" w:cs="Arial" w:eastAsia="Arial" w:hAnsi="Arial"/>
          <w:sz w:val="22"/>
          <w:szCs w:val="22"/>
          <w:color w:val="auto"/>
        </w:rPr>
        <w:t>”).</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color w:val="auto"/>
        </w:rPr>
        <w:t>Further Assurances</w:t>
      </w:r>
      <w:r>
        <w:rPr>
          <w:rFonts w:ascii="Arial" w:cs="Arial" w:eastAsia="Arial" w:hAnsi="Arial"/>
          <w:sz w:val="19"/>
          <w:szCs w:val="19"/>
          <w:b w:val="1"/>
          <w:bCs w:val="1"/>
          <w:color w:val="auto"/>
        </w:rPr>
        <w:t>.</w:t>
      </w:r>
    </w:p>
    <w:p>
      <w:pPr>
        <w:spacing w:after="0" w:line="23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shall apply to the security interest granted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as well as to the Purchases, Reinvestments and all the Asset Interests hereunder.</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8"/>
          <w:szCs w:val="18"/>
          <w:color w:val="auto"/>
        </w:rPr>
        <w:t>Remedies</w:t>
      </w:r>
      <w:r>
        <w:rPr>
          <w:rFonts w:ascii="Arial" w:cs="Arial" w:eastAsia="Arial" w:hAnsi="Arial"/>
          <w:sz w:val="18"/>
          <w:szCs w:val="18"/>
          <w:b w:val="1"/>
          <w:bCs w:val="1"/>
          <w:color w:val="auto"/>
        </w:rPr>
        <w:t>.</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Upon the occurrence of a Liquidation Event, the Administrative Agent, on behalf of the Secured Parties shall have, with respect to the Collateral granted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and in addition to all other rights and remedies available to any Investor or Agent under this Agreement and the other Transaction Documents or other applicable law, all the rights and remedies of a secured party upon default under the UCC.</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Liquidation Events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color w:val="auto"/>
        </w:rPr>
        <w:t>Liquidation Events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events shall be “</w:t>
      </w:r>
      <w:r>
        <w:rPr>
          <w:rFonts w:ascii="Arial" w:cs="Arial" w:eastAsia="Arial" w:hAnsi="Arial"/>
          <w:sz w:val="22"/>
          <w:szCs w:val="22"/>
          <w:i w:val="1"/>
          <w:iCs w:val="1"/>
          <w:u w:val="single" w:color="auto"/>
          <w:color w:val="auto"/>
        </w:rPr>
        <w:t>Liquidation Events</w:t>
      </w:r>
      <w:r>
        <w:rPr>
          <w:rFonts w:ascii="Arial" w:cs="Arial" w:eastAsia="Arial" w:hAnsi="Arial"/>
          <w:sz w:val="22"/>
          <w:szCs w:val="22"/>
          <w:color w:val="auto"/>
        </w:rPr>
        <w:t>” hereunder:</w:t>
      </w:r>
    </w:p>
    <w:p>
      <w:pPr>
        <w:spacing w:after="0" w:line="220" w:lineRule="exact"/>
        <w:rPr>
          <w:sz w:val="20"/>
          <w:szCs w:val="20"/>
          <w:color w:val="auto"/>
        </w:rPr>
      </w:pPr>
    </w:p>
    <w:p>
      <w:pPr>
        <w:ind w:right="220" w:firstLine="656"/>
        <w:spacing w:after="0" w:line="290" w:lineRule="auto"/>
        <w:tabs>
          <w:tab w:leader="none" w:pos="106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Master Servicer (if any Seller Party or Affiliate thereof is the Master Servicer) or the Seller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(i) shall fail to perform or observe any term, covenant or agreement that is an obligation of the Master Servicer hereunder (other than as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below or in other paragraphs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and such failure shall remain unremedied for fifteen (15) days after written notice thereof shall have been given by the Administrative Agent to the Master Servicer or the Master Servicer shall have otherwise become aware, or (ii) shall fail to make any payment or deposit to be made by it hereunder when due which failure shall continue for one (1) Business Day, if such payment or deposit is in connection with the reduction of the Invested Amount or for two (2) Business Days for any other payment, or (iii) shall fail to deliver any Information Package or Interim Information Package when due and such failure shall remain unremedied for two (2) Business Days after the earliest to occur of (A) written notice thereof shall have been given by any Agent to the Master Servicer or (B) the Master Servicer shall have otherwise become aware of such failure; or</w:t>
      </w:r>
    </w:p>
    <w:p>
      <w:pPr>
        <w:spacing w:after="0" w:line="155" w:lineRule="exact"/>
        <w:rPr>
          <w:rFonts w:ascii="Arial" w:cs="Arial" w:eastAsia="Arial" w:hAnsi="Arial"/>
          <w:sz w:val="19"/>
          <w:szCs w:val="19"/>
          <w:color w:val="auto"/>
        </w:rPr>
      </w:pPr>
    </w:p>
    <w:p>
      <w:pPr>
        <w:ind w:firstLine="656"/>
        <w:spacing w:after="0" w:line="264" w:lineRule="auto"/>
        <w:tabs>
          <w:tab w:leader="none" w:pos="10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Any representation or warranty made or deemed to be made by any Seller Party, any Originator or Lennox International (or any of its officers) under this Agreement or any other Transaction Document or any Information Package, Interim Information Package or other information or report delivered pursuant hereto shall prove to have been false or incorrect in any material respect when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case of any representation, warranty or information that was not made or provided in writing, a Liquidation Event shall occur hereunder only if such representation, warranty or information was reasonably relied upon by any Agent and/or any Investor; or</w:t>
      </w:r>
    </w:p>
    <w:p>
      <w:pPr>
        <w:spacing w:after="0" w:line="175" w:lineRule="exact"/>
        <w:rPr>
          <w:rFonts w:ascii="Arial" w:cs="Arial" w:eastAsia="Arial" w:hAnsi="Arial"/>
          <w:sz w:val="21"/>
          <w:szCs w:val="21"/>
          <w:color w:val="auto"/>
        </w:rPr>
      </w:pPr>
    </w:p>
    <w:p>
      <w:pPr>
        <w:ind w:right="80" w:firstLine="656"/>
        <w:spacing w:after="0" w:line="358" w:lineRule="auto"/>
        <w:tabs>
          <w:tab w:leader="none" w:pos="106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Any Seller Party or any Originator shall fail to perform or observe (i) any other term, covenant or agreement contained in this Agreement (other than as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or any of the other Transaction Documents on its part to be</w:t>
      </w:r>
    </w:p>
    <w:p>
      <w:pPr>
        <w:sectPr>
          <w:pgSz w:w="11900" w:h="16988" w:orient="portrait"/>
          <w:cols w:equalWidth="0" w:num="1">
            <w:col w:w="11420"/>
          </w:cols>
          <w:pgMar w:left="240" w:top="132" w:right="239" w:bottom="0" w:gutter="0" w:footer="0" w:header="0"/>
        </w:sectPr>
      </w:pPr>
    </w:p>
    <w:bookmarkStart w:id="73" w:name="page74"/>
    <w:bookmarkEnd w:id="73"/>
    <w:p>
      <w:pPr>
        <w:ind w:right="100"/>
        <w:spacing w:after="0" w:line="250" w:lineRule="auto"/>
        <w:rPr>
          <w:sz w:val="20"/>
          <w:szCs w:val="20"/>
          <w:color w:val="auto"/>
        </w:rPr>
      </w:pPr>
      <w:r>
        <w:rPr>
          <w:rFonts w:ascii="Arial" w:cs="Arial" w:eastAsia="Arial" w:hAnsi="Arial"/>
          <w:sz w:val="22"/>
          <w:szCs w:val="22"/>
          <w:color w:val="auto"/>
        </w:rPr>
        <w:t xml:space="preserve">performed or observed and any such failure shall remain unremedied for fifteen (15) days (or with respect to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hereof, five (5) days) after written notice thereof shall have been given by any Agent to any Seller Party or such Seller Party shall have otherwise become aware or (ii) any covenant applicable to such Person contained in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hereof or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of the Sale Agreement; or</w:t>
      </w:r>
    </w:p>
    <w:p>
      <w:pPr>
        <w:spacing w:after="0" w:line="188" w:lineRule="exact"/>
        <w:rPr>
          <w:sz w:val="20"/>
          <w:szCs w:val="20"/>
          <w:color w:val="auto"/>
        </w:rPr>
      </w:pPr>
    </w:p>
    <w:p>
      <w:pPr>
        <w:ind w:right="40" w:firstLine="656"/>
        <w:spacing w:after="0" w:line="292" w:lineRule="auto"/>
        <w:tabs>
          <w:tab w:leader="none" w:pos="10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Any Seller Party, any Originator or Lennox International shall (A) fail to pay any principal or interest, regardless of amount, due in respect of any Indebtedness (including, without limitation, any such Indebtedness relating to the purchase of receivables or under any asset securitization agreement or arrangement) when the aggregate unpaid principal amount is in excess of in the case of the Seller, $25,000, or in the case of Lennox International, any Originator or the Master Servicer $75,000,000 when and as the same shall become due and payable (after expiration of any applicable grace period) or (B) fail to observe or perform any other term, covenant, condition or agreement (after expiration of any applicable grace period) contained in any agreement or instrument evidencing or governing any such Indebtedness if the effect of any failure referred to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is to cause such Indebtedness to become due prior to its stated maturity; or</w:t>
      </w:r>
    </w:p>
    <w:p>
      <w:pPr>
        <w:spacing w:after="0" w:line="155" w:lineRule="exact"/>
        <w:rPr>
          <w:rFonts w:ascii="Arial" w:cs="Arial" w:eastAsia="Arial" w:hAnsi="Arial"/>
          <w:sz w:val="19"/>
          <w:szCs w:val="19"/>
          <w:color w:val="auto"/>
        </w:rPr>
      </w:pPr>
    </w:p>
    <w:p>
      <w:pPr>
        <w:ind w:right="880" w:firstLine="656"/>
        <w:spacing w:after="0" w:line="276" w:lineRule="auto"/>
        <w:tabs>
          <w:tab w:leader="none" w:pos="1068"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 Event of Bankruptcy shall have occurred and remain continuing with respect to Lennox International, any Originator or any Seller Party; or</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Seller shall become an “investment company” within the meaning of the Investment Company Act of 1940; or</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rolling 3 month average Dilution Ratio at any Cut-Off Date exceeds 12.00%;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rolling 3 month average Default Ratio at any Cut-Off Date exceeds 3.00%; or</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rolling 3 month average Delinquency Ratio at any Cut-Off Date exceeds 4.50%; or</w:t>
      </w:r>
    </w:p>
    <w:p>
      <w:pPr>
        <w:spacing w:after="0" w:line="233" w:lineRule="exact"/>
        <w:rPr>
          <w:rFonts w:ascii="Arial" w:cs="Arial" w:eastAsia="Arial" w:hAnsi="Arial"/>
          <w:sz w:val="22"/>
          <w:szCs w:val="22"/>
          <w:color w:val="auto"/>
        </w:rPr>
      </w:pPr>
    </w:p>
    <w:p>
      <w:pPr>
        <w:ind w:firstLine="656"/>
        <w:spacing w:after="0" w:line="250" w:lineRule="auto"/>
        <w:tabs>
          <w:tab w:leader="none" w:pos="10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On any Settlement Date, after giving effect to the payments made under </w:t>
      </w:r>
      <w:r>
        <w:rPr>
          <w:rFonts w:ascii="Arial" w:cs="Arial" w:eastAsia="Arial" w:hAnsi="Arial"/>
          <w:sz w:val="22"/>
          <w:szCs w:val="22"/>
          <w:u w:val="single" w:color="auto"/>
          <w:color w:val="auto"/>
        </w:rPr>
        <w:t>Section 3.1(c)</w:t>
      </w:r>
      <w:r>
        <w:rPr>
          <w:rFonts w:ascii="Arial" w:cs="Arial" w:eastAsia="Arial" w:hAnsi="Arial"/>
          <w:sz w:val="22"/>
          <w:szCs w:val="22"/>
          <w:color w:val="auto"/>
        </w:rPr>
        <w:t>, (i) the Asset Interest exceeds 100%, (ii) the Invested Amount exceeds the Purchase Limit in effect at such time; or (iii) the Purchaser Group Invested Amount of any Purchaser Group exceeds such Purchaser Group’s Purchaser Group Limit in effect at such time, and, in the case of any failure to make a timely payment or deposit with respect thereto solely by reason of any mechanical delay in or malfunction of the Fedwire system or due to an error on the part of the initiating or receiving bank such failure shall continue for more than one (1) Business Day; or</w:t>
      </w:r>
    </w:p>
    <w:p>
      <w:pPr>
        <w:spacing w:after="0" w:line="188" w:lineRule="exact"/>
        <w:rPr>
          <w:rFonts w:ascii="Arial" w:cs="Arial" w:eastAsia="Arial" w:hAnsi="Arial"/>
          <w:sz w:val="22"/>
          <w:szCs w:val="22"/>
          <w:color w:val="auto"/>
        </w:rPr>
      </w:pPr>
    </w:p>
    <w:p>
      <w:pPr>
        <w:ind w:right="60" w:firstLine="656"/>
        <w:spacing w:after="0" w:line="260" w:lineRule="auto"/>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There shall have occurred any event which materially adversely impairs the ability of the Originators to originate Receivables of a credit quality which are at least of the credit quality of the Receivables included in the first Purchase hereunder, or any other event occurs that is reasonably likely to have a Material Adverse Effect; or</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Seller Party, Originator or Lennox International is subject to a Change in Control; or</w:t>
      </w:r>
    </w:p>
    <w:p>
      <w:pPr>
        <w:spacing w:after="0" w:line="233" w:lineRule="exact"/>
        <w:rPr>
          <w:rFonts w:ascii="Arial" w:cs="Arial" w:eastAsia="Arial" w:hAnsi="Arial"/>
          <w:sz w:val="22"/>
          <w:szCs w:val="22"/>
          <w:color w:val="auto"/>
        </w:rPr>
      </w:pPr>
    </w:p>
    <w:p>
      <w:pPr>
        <w:ind w:right="100" w:firstLine="656"/>
        <w:spacing w:after="0" w:line="270" w:lineRule="auto"/>
        <w:tabs>
          <w:tab w:leader="none" w:pos="11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Internal Revenue Service shall file notice of a lien pursuant to Section 6323 of the Code with regard to any of the Receivables or Related Assets and such lien shall not have been released within seven (7) days, or the Pension Benefit Guaranty Corporation shall, or shall indicate its intention to, file notice of a lien pursuant to Section 4068 of the Employee Retirement Income Security Act of 1974 with regard to any of the Receivables or Related Assets; or</w:t>
      </w:r>
    </w:p>
    <w:p>
      <w:pPr>
        <w:spacing w:after="0" w:line="169" w:lineRule="exact"/>
        <w:rPr>
          <w:rFonts w:ascii="Arial" w:cs="Arial" w:eastAsia="Arial" w:hAnsi="Arial"/>
          <w:sz w:val="21"/>
          <w:szCs w:val="21"/>
          <w:color w:val="auto"/>
        </w:rPr>
      </w:pPr>
    </w:p>
    <w:p>
      <w:pPr>
        <w:ind w:right="40" w:firstLine="656"/>
        <w:spacing w:after="0" w:line="276" w:lineRule="auto"/>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Seller Party or any Originator shall make any material change in the policies as to origination of Receivables or in its Credit and Collection Policy without prior written notice to and consent of the Agents; or</w:t>
      </w:r>
    </w:p>
    <w:p>
      <w:pPr>
        <w:spacing w:after="0" w:line="160" w:lineRule="exact"/>
        <w:rPr>
          <w:rFonts w:ascii="Arial" w:cs="Arial" w:eastAsia="Arial" w:hAnsi="Arial"/>
          <w:sz w:val="22"/>
          <w:szCs w:val="22"/>
          <w:color w:val="auto"/>
        </w:rPr>
      </w:pPr>
    </w:p>
    <w:p>
      <w:pPr>
        <w:ind w:right="260" w:firstLine="656"/>
        <w:spacing w:after="0" w:line="320" w:lineRule="auto"/>
        <w:tabs>
          <w:tab w:leader="none" w:pos="10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Administrative Agent for the benefit of the Secured Parties, for any reason, does not have a valid, perfected first priority undivided percentage ownership interest in the Pool Receivables and the Related Assets; or the security interest created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shall for any reason cease to be a valid and perfected first priority security interest in the Collateral; or</w:t>
      </w:r>
    </w:p>
    <w:p>
      <w:pPr>
        <w:spacing w:after="0" w:line="125" w:lineRule="exact"/>
        <w:rPr>
          <w:rFonts w:ascii="Arial" w:cs="Arial" w:eastAsia="Arial" w:hAnsi="Arial"/>
          <w:sz w:val="19"/>
          <w:szCs w:val="19"/>
          <w:color w:val="auto"/>
        </w:rPr>
      </w:pPr>
    </w:p>
    <w:p>
      <w:pPr>
        <w:ind w:right="100" w:firstLine="656"/>
        <w:spacing w:after="0" w:line="297" w:lineRule="auto"/>
        <w:tabs>
          <w:tab w:leader="none" w:pos="10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final judgment or judgments shall be rendered against Lennox International, the Master Servicer, the Seller, any Originator or any combination thereof for the payment of money with respect to which an aggregate amount in excess of $25,000 with respect to the Seller and $75,000,000 with respect to Lennox International, any Originator or the Master Servicer is not covered by insurance and the same shall remain undischarged for a period of 30 consecutive days during which execution shall not be effectively stayed, or any action shall be legally taken by a judgment creditor to levy upon assets or properties of Lennox International, the Master Servicer, any Originator or the Seller to enforce any such judgment; or</w:t>
      </w:r>
    </w:p>
    <w:p>
      <w:pPr>
        <w:spacing w:after="0" w:line="146" w:lineRule="exact"/>
        <w:rPr>
          <w:rFonts w:ascii="Arial" w:cs="Arial" w:eastAsia="Arial" w:hAnsi="Arial"/>
          <w:sz w:val="19"/>
          <w:szCs w:val="19"/>
          <w:color w:val="auto"/>
        </w:rPr>
      </w:pPr>
    </w:p>
    <w:p>
      <w:pPr>
        <w:ind w:right="60" w:firstLine="656"/>
        <w:spacing w:after="0" w:line="292" w:lineRule="auto"/>
        <w:tabs>
          <w:tab w:leader="none" w:pos="108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 Reportable Event or Reportable Events, or a failure to make a required installment or other payment (within the meaning of Section 412(n)(1) of the Code), shall have occurred with respect to any Plan or Plans that reasonably could be expected to result in liability of any Master Servicer or any ERISA Affiliate to the Pension Benefit Guaranty Corporation (“</w:t>
      </w:r>
      <w:r>
        <w:rPr>
          <w:rFonts w:ascii="Arial" w:cs="Arial" w:eastAsia="Arial" w:hAnsi="Arial"/>
          <w:sz w:val="19"/>
          <w:szCs w:val="19"/>
          <w:i w:val="1"/>
          <w:iCs w:val="1"/>
          <w:u w:val="single" w:color="auto"/>
          <w:color w:val="auto"/>
        </w:rPr>
        <w:t>PBGC</w:t>
      </w:r>
      <w:r>
        <w:rPr>
          <w:rFonts w:ascii="Arial" w:cs="Arial" w:eastAsia="Arial" w:hAnsi="Arial"/>
          <w:sz w:val="19"/>
          <w:szCs w:val="19"/>
          <w:color w:val="auto"/>
        </w:rPr>
        <w:t>”) or to a Plan in an aggregate amount exceeding $5,000,000 and, within 30 days after the reporting of any such Reportable Event to the Agents, the Administrative Agent shall have notified the Master Servicer in writing that (i) it or any other Agent has made a determination that, on the basis of such Reportable Event or Reportable Events or the failure to make a required payment, there are reasonable grounds (A) for the termination of such Plan or Plans by the PBGC, (B) for the appointment by the appropriate United States District Court of a trustee to administer such Plan or Plans or (C) for the imposition of a lien in favor of a Plan and (ii) as a</w:t>
      </w:r>
    </w:p>
    <w:p>
      <w:pPr>
        <w:sectPr>
          <w:pgSz w:w="11900" w:h="16838" w:orient="portrait"/>
          <w:cols w:equalWidth="0" w:num="1">
            <w:col w:w="11420"/>
          </w:cols>
          <w:pgMar w:left="240" w:top="132" w:right="239" w:bottom="0" w:gutter="0" w:footer="0" w:header="0"/>
        </w:sectPr>
      </w:pPr>
    </w:p>
    <w:bookmarkStart w:id="74" w:name="page75"/>
    <w:bookmarkEnd w:id="74"/>
    <w:p>
      <w:pPr>
        <w:ind w:right="260"/>
        <w:spacing w:after="0" w:line="287" w:lineRule="auto"/>
        <w:rPr>
          <w:sz w:val="20"/>
          <w:szCs w:val="20"/>
          <w:color w:val="auto"/>
        </w:rPr>
      </w:pPr>
      <w:r>
        <w:rPr>
          <w:rFonts w:ascii="Arial" w:cs="Arial" w:eastAsia="Arial" w:hAnsi="Arial"/>
          <w:sz w:val="21"/>
          <w:szCs w:val="21"/>
          <w:color w:val="auto"/>
        </w:rPr>
        <w:t>result thereof a Liquidation Event exists hereunder; or a trustee shall be appointed by a United States District Court to administer any such Plan or Plans; or the PBGC shall institute proceedings to terminate any Plan or Plans;</w:t>
      </w:r>
    </w:p>
    <w:p>
      <w:pPr>
        <w:spacing w:after="0" w:line="152" w:lineRule="exact"/>
        <w:rPr>
          <w:sz w:val="20"/>
          <w:szCs w:val="20"/>
          <w:color w:val="auto"/>
        </w:rPr>
      </w:pPr>
    </w:p>
    <w:p>
      <w:pPr>
        <w:ind w:left="1060" w:hanging="404"/>
        <w:spacing w:after="0"/>
        <w:tabs>
          <w:tab w:leader="none" w:pos="10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occurrence of a Servicer Default;</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Seller’s Net Worth shall be less than the Threshold Amount;</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Sale Agreement or the Assurance Agreement shall cease for any reason to be in full force and effect; or</w:t>
      </w:r>
    </w:p>
    <w:p>
      <w:pPr>
        <w:spacing w:after="0" w:line="244" w:lineRule="exact"/>
        <w:rPr>
          <w:rFonts w:ascii="Arial" w:cs="Arial" w:eastAsia="Arial" w:hAnsi="Arial"/>
          <w:sz w:val="21"/>
          <w:szCs w:val="21"/>
          <w:color w:val="auto"/>
        </w:rPr>
      </w:pPr>
    </w:p>
    <w:p>
      <w:pPr>
        <w:ind w:right="400" w:firstLine="656"/>
        <w:spacing w:after="0" w:line="276" w:lineRule="auto"/>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Event of Default (as defined in the Credit Agreement) shall have occurred, regardless of whether such Event of Default has been waived by the parties to the Credit Agreement.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color w:val="auto"/>
        </w:rPr>
        <w:t>Remedies</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656"/>
        <w:spacing w:after="0" w:line="320" w:lineRule="auto"/>
        <w:tabs>
          <w:tab w:leader="none" w:pos="106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Optional Liquidation</w:t>
      </w:r>
      <w:r>
        <w:rPr>
          <w:rFonts w:ascii="Arial" w:cs="Arial" w:eastAsia="Arial" w:hAnsi="Arial"/>
          <w:sz w:val="19"/>
          <w:szCs w:val="19"/>
          <w:color w:val="auto"/>
        </w:rPr>
        <w:t xml:space="preserve">. Upon the occurrence of a Liquidation Event (other than a Liquidation Event described in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w:t>
      </w:r>
      <w:r>
        <w:rPr>
          <w:rFonts w:ascii="Arial" w:cs="Arial" w:eastAsia="Arial" w:hAnsi="Arial"/>
          <w:sz w:val="19"/>
          <w:szCs w:val="19"/>
          <w:color w:val="auto"/>
        </w:rPr>
        <w:t>), the Administrative Agent shall, at the request, or may with the consent, of any Purchaser Agent, by notice to the Seller declare the Funding Termination Date to have occurred and the Liquidation Period to have commenced.</w:t>
      </w:r>
    </w:p>
    <w:p>
      <w:pPr>
        <w:spacing w:after="0" w:line="125" w:lineRule="exact"/>
        <w:rPr>
          <w:rFonts w:ascii="Arial" w:cs="Arial" w:eastAsia="Arial" w:hAnsi="Arial"/>
          <w:sz w:val="19"/>
          <w:szCs w:val="19"/>
          <w:color w:val="auto"/>
        </w:rPr>
      </w:pPr>
    </w:p>
    <w:p>
      <w:pPr>
        <w:ind w:right="340" w:firstLine="656"/>
        <w:spacing w:after="0" w:line="276" w:lineRule="auto"/>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Automatic Liquidation</w:t>
      </w:r>
      <w:r>
        <w:rPr>
          <w:rFonts w:ascii="Arial" w:cs="Arial" w:eastAsia="Arial" w:hAnsi="Arial"/>
          <w:sz w:val="22"/>
          <w:szCs w:val="22"/>
          <w:color w:val="auto"/>
        </w:rPr>
        <w:t xml:space="preserve">. Upon the occurrence of a Liquidation Event described in </w:t>
      </w:r>
      <w:r>
        <w:rPr>
          <w:rFonts w:ascii="Arial" w:cs="Arial" w:eastAsia="Arial" w:hAnsi="Arial"/>
          <w:sz w:val="22"/>
          <w:szCs w:val="22"/>
          <w:u w:val="single" w:color="auto"/>
          <w:color w:val="auto"/>
        </w:rPr>
        <w:t>subsection (e)</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10.1</w:t>
      </w:r>
      <w:r>
        <w:rPr>
          <w:rFonts w:ascii="Arial" w:cs="Arial" w:eastAsia="Arial" w:hAnsi="Arial"/>
          <w:sz w:val="22"/>
          <w:szCs w:val="22"/>
          <w:color w:val="auto"/>
        </w:rPr>
        <w:t>, the Funding Termination Date shall occur and the Liquidation Period shall commence automatically.</w:t>
      </w:r>
    </w:p>
    <w:p>
      <w:pPr>
        <w:spacing w:after="0" w:line="160" w:lineRule="exact"/>
        <w:rPr>
          <w:rFonts w:ascii="Arial" w:cs="Arial" w:eastAsia="Arial" w:hAnsi="Arial"/>
          <w:sz w:val="22"/>
          <w:szCs w:val="22"/>
          <w:color w:val="auto"/>
        </w:rPr>
      </w:pPr>
    </w:p>
    <w:p>
      <w:pPr>
        <w:jc w:val="both"/>
        <w:ind w:right="120" w:firstLine="656"/>
        <w:spacing w:after="0" w:line="254" w:lineRule="auto"/>
        <w:tabs>
          <w:tab w:leader="none" w:pos="106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Additional Remedies</w:t>
      </w:r>
      <w:r>
        <w:rPr>
          <w:rFonts w:ascii="Arial" w:cs="Arial" w:eastAsia="Arial" w:hAnsi="Arial"/>
          <w:sz w:val="22"/>
          <w:szCs w:val="22"/>
          <w:color w:val="auto"/>
        </w:rPr>
        <w:t>. Upon the occurrence of the Termination Date, no Purchases or Reinvestments thereafter will be made, and the Administrative Agent, on behalf of the Secured Parties, shall have, in addition to all other rights and remedies under this Agreement or otherwise, all other rights and remedies provided under the UCC of each applicable jurisdiction and other applicable laws, which rights shall be cumulative.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XI.</w:t>
      </w:r>
    </w:p>
    <w:p>
      <w:pPr>
        <w:spacing w:after="0" w:line="274" w:lineRule="exact"/>
        <w:rPr>
          <w:sz w:val="20"/>
          <w:szCs w:val="20"/>
          <w:color w:val="auto"/>
        </w:rPr>
      </w:pPr>
    </w:p>
    <w:p>
      <w:pPr>
        <w:ind w:left="4580"/>
        <w:spacing w:after="0"/>
        <w:rPr>
          <w:sz w:val="20"/>
          <w:szCs w:val="20"/>
          <w:color w:val="auto"/>
        </w:rPr>
      </w:pPr>
      <w:r>
        <w:rPr>
          <w:rFonts w:ascii="Arial" w:cs="Arial" w:eastAsia="Arial" w:hAnsi="Arial"/>
          <w:sz w:val="22"/>
          <w:szCs w:val="22"/>
          <w:u w:val="single" w:color="auto"/>
          <w:color w:val="auto"/>
        </w:rPr>
        <w:t>The Administrative Agent</w:t>
      </w:r>
    </w:p>
    <w:p>
      <w:pPr>
        <w:spacing w:after="0" w:line="21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color w:val="auto"/>
        </w:rPr>
        <w:t>Administrative Agent Authorization and Action</w:t>
      </w:r>
      <w:r>
        <w:rPr>
          <w:rFonts w:ascii="Arial" w:cs="Arial" w:eastAsia="Arial" w:hAnsi="Arial"/>
          <w:sz w:val="19"/>
          <w:szCs w:val="19"/>
          <w:b w:val="1"/>
          <w:bCs w:val="1"/>
          <w:color w:val="auto"/>
        </w:rPr>
        <w:t>.</w:t>
      </w:r>
    </w:p>
    <w:p>
      <w:pPr>
        <w:spacing w:after="0" w:line="23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Each Investor and Purchaser Agent hereby appoints and authorizes the Administrative Agent (or its designees) to take such action as agent on its behalf and to exercise such powers under this Agreement as are delegated to the Administrative Agent by the terms hereof, together with such powers as are reasonably incidental thereto. As to any matters not expressly provided for by this Agreement or the other Transaction Documents (including, without limitation, enforcement of this Agreement or the other Transaction Documents), the Administrative Agent shall not be required to exercise any discretion or take any action, but shall be required to act or to refrain from acting (and shall be fully protected in so acting or refraining from acting) upon the instructions of any Purchaser Agent and such instructions shall be binding upon all Investors; provided, however, that the Administrative Agent shall not be required to take any action which exposes the Administrative Agent to personal liability or which is contrary to this Agreement, the other Transaction Documents or applicable law.</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color w:val="auto"/>
        </w:rPr>
        <w:t>Administrative Agent’s Reliance, Etc</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The Administrative Agent and its directors, officers, agents or employees shall not be liable for any action taken or omitted to be taken by it or them in good faith under or in connection with the Transaction Documents (including, without limitation, the servicing, administering or collecting Pool Receivables as Master Servicer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except for its or their own breach of the applicable terms of the Transaction Documents or its or their own gross negligence or willful misconduct. Without limiting the generality of the foregoing, the Administrative Agent: (a) may consult with legal counsel (including counsel for the Seller), independent certified public accountants and other experts selected by it and shall not be liable for any action taken or omitted to be taken in good faith by it in accordance with the advice of such counsel, accountants or experts; (b) makes no warranty or representation to the Investors or any other holder of any interest in Pool Receivables and shall not be responsible to the Investors or any such other holder for any statements, warranties or representations made by any Seller Party in or in connection with any Transaction Document; (c) shall not have any duty to ascertain or to inquire as to the performance or observance of any of the terms, covenants or conditions of any Transaction Document on the part of any Seller Party or to inspect the property (including the books and records) of any Seller Party; (d) shall not be responsible to the Investors or any other holder of any interest in Pool Receivables for the due execution, legality, validity, enforceability, genuineness, sufficiency or value of any Transaction Document; and (e) shall incur no liability under or in respect of this Agreement by acting upon any notice (including notice by telephone where permitted herein), consent, certificate or other instrument or writing (which may be by facsimile) in good faith believed by it to be genuine and signed or sent by the proper party or parties.</w:t>
      </w:r>
    </w:p>
    <w:p>
      <w:pPr>
        <w:spacing w:after="0" w:line="16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21"/>
          <w:szCs w:val="21"/>
          <w:color w:val="auto"/>
        </w:rPr>
        <w:t>BTMU and Affiliates.</w:t>
      </w:r>
    </w:p>
    <w:p>
      <w:pPr>
        <w:spacing w:after="0" w:line="239" w:lineRule="exact"/>
        <w:rPr>
          <w:sz w:val="20"/>
          <w:szCs w:val="20"/>
          <w:color w:val="auto"/>
        </w:rPr>
      </w:pPr>
    </w:p>
    <w:p>
      <w:pPr>
        <w:ind w:right="220" w:firstLine="648"/>
        <w:spacing w:after="0" w:line="343" w:lineRule="auto"/>
        <w:rPr>
          <w:sz w:val="20"/>
          <w:szCs w:val="20"/>
          <w:color w:val="auto"/>
        </w:rPr>
      </w:pPr>
      <w:r>
        <w:rPr>
          <w:rFonts w:ascii="Arial" w:cs="Arial" w:eastAsia="Arial" w:hAnsi="Arial"/>
          <w:sz w:val="19"/>
          <w:szCs w:val="19"/>
          <w:color w:val="auto"/>
        </w:rPr>
        <w:t>BTMU and any of its Affiliates may generally engage in any kind of business with Seller, Master Servicer, any Originator or any Obligor, any of their respective Affiliates and any Person who may do business with or own securities of Seller, Master</w:t>
      </w:r>
    </w:p>
    <w:p>
      <w:pPr>
        <w:sectPr>
          <w:pgSz w:w="11900" w:h="16838" w:orient="portrait"/>
          <w:cols w:equalWidth="0" w:num="1">
            <w:col w:w="11420"/>
          </w:cols>
          <w:pgMar w:left="240" w:top="132" w:right="239" w:bottom="0" w:gutter="0" w:footer="0" w:header="0"/>
        </w:sectPr>
      </w:pPr>
    </w:p>
    <w:bookmarkStart w:id="75" w:name="page76"/>
    <w:bookmarkEnd w:id="75"/>
    <w:p>
      <w:pPr>
        <w:spacing w:after="0" w:line="134" w:lineRule="exact"/>
        <w:rPr>
          <w:sz w:val="20"/>
          <w:szCs w:val="20"/>
          <w:color w:val="auto"/>
        </w:rPr>
      </w:pPr>
    </w:p>
    <w:p>
      <w:pPr>
        <w:ind w:right="440"/>
        <w:spacing w:after="0" w:line="287" w:lineRule="auto"/>
        <w:rPr>
          <w:sz w:val="20"/>
          <w:szCs w:val="20"/>
          <w:color w:val="auto"/>
        </w:rPr>
      </w:pPr>
      <w:r>
        <w:rPr>
          <w:rFonts w:ascii="Arial" w:cs="Arial" w:eastAsia="Arial" w:hAnsi="Arial"/>
          <w:sz w:val="21"/>
          <w:szCs w:val="21"/>
          <w:color w:val="auto"/>
        </w:rPr>
        <w:t>Servicer, Originator or any Obligor or any of their respective Affiliates, all as if BTMU were not the Administrative Agent and without any duty to account therefor to any Investor or any other holder of an interest in Pool Receivables.</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11.4</w:t>
      </w:r>
      <w:r>
        <w:rPr>
          <w:sz w:val="20"/>
          <w:szCs w:val="20"/>
          <w:color w:val="auto"/>
        </w:rPr>
        <w:tab/>
      </w:r>
      <w:r>
        <w:rPr>
          <w:rFonts w:ascii="Arial" w:cs="Arial" w:eastAsia="Arial" w:hAnsi="Arial"/>
          <w:sz w:val="19"/>
          <w:szCs w:val="19"/>
          <w:color w:val="auto"/>
        </w:rPr>
        <w:t>Liquidity Bank’s Purchase Decision.</w:t>
      </w:r>
    </w:p>
    <w:p>
      <w:pPr>
        <w:spacing w:after="0" w:line="2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Each Liquidity Bank acknowledges that it has, independently and without reliance upon any Agent, any of its Affiliates or any other Liquidity Bank and based on such documents and information as it has deemed appropriate, made its own evaluation and decision to enter into this Agreement. Each Liquidity Bank also acknowledges that it will, independently and without reliance upon any Agent, any of its Affiliates or any other Liquidity Bank and based on such documents and information as it shall deem appropriate at the time, continue to make its own decisions in taking or not taking action under this Agreement.</w:t>
      </w:r>
    </w:p>
    <w:p>
      <w:pPr>
        <w:spacing w:after="0" w:line="14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color w:val="auto"/>
        </w:rPr>
        <w:t>Indemnification of Agent</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 xml:space="preserve">Each Liquidity Bank agrees to indemnify the Administrative Agent (to the extent not reimbursed by the Seller or the Master Servicer), ratably according to its Percentage of the Pro Rata Share of its Purchaser Group,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the other Transaction Documents or any action taken or omitted by the Administrative Agent under this Agreement or the other Transaction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Liquidity Bank shall be liable for any portion of such liabilities, obligations, losses, damages, penalties, actions, judgments, suits, costs, expenses or disbursements resulting from the Administrative Agent’s breach of the applicable terms of the Transaction Documents or its own gross negligence or willful misconduct.</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color w:val="auto"/>
        </w:rPr>
        <w:t>Purchaser Agent Authorization and Action</w:t>
      </w:r>
      <w:r>
        <w:rPr>
          <w:rFonts w:ascii="Arial" w:cs="Arial" w:eastAsia="Arial" w:hAnsi="Arial"/>
          <w:sz w:val="19"/>
          <w:szCs w:val="19"/>
          <w:b w:val="1"/>
          <w:bCs w:val="1"/>
          <w:color w:val="auto"/>
        </w:rPr>
        <w:t>.</w:t>
      </w:r>
    </w:p>
    <w:p>
      <w:pPr>
        <w:spacing w:after="0" w:line="239"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Pursuant to agreements entered into with the BTMU Purchaser Agent, the BTMU Purchaser has appointed and authorized the BTMU Purchaser Agent (or its designees), to take such action as agent on its behalf and to exercise such powers under this Agreement as are delegated to the BTMU Purchaser Agent by the terms hereof, together with such powers as are reasonably incidental thereto.</w:t>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19"/>
          <w:szCs w:val="19"/>
          <w:color w:val="auto"/>
        </w:rPr>
        <w:t>Purchaser Agent’s Reliance, Etc.</w:t>
      </w:r>
    </w:p>
    <w:p>
      <w:pPr>
        <w:spacing w:after="0" w:line="239" w:lineRule="exact"/>
        <w:rPr>
          <w:sz w:val="20"/>
          <w:szCs w:val="20"/>
          <w:color w:val="auto"/>
        </w:rPr>
      </w:pPr>
    </w:p>
    <w:p>
      <w:pPr>
        <w:ind w:firstLine="656"/>
        <w:spacing w:after="0" w:line="286" w:lineRule="auto"/>
        <w:tabs>
          <w:tab w:leader="none" w:pos="106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Each Purchaser Agent and its directors, officers, agents or employees shall not be liable for any action taken or omitted to be taken by it or them in good faith under or in connection with the Transaction Documents (including, without limitation, the servicing, administering or collecting Pool Receivables as Master Servicer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except for its or their own breach of the applicable terms of the Transaction Documents or its or their own gross negligence or willful misconduct. Without limiting the generality of the foregoing, each Purchaser Agent: (a) may consult with legal counsel (including counsel for the Seller), independent certified public accountants and other experts selected by it and shall not be liable for any action taken or omitted to be taken in good faith by it in accordance with the advice of such counsel, accountants or experts; (b) makes no warranty or representation to any Investor or any other holder of any portion of its respective Purchaser Group’s interest in Pool Receivables and shall not be responsible to any Investor or any such other holder for any statements, warranties or representations made by any Seller Party in or in connection with any Transaction Document; (c) shall not have any duty to ascertain or to inquire as to the performance or observance of any of the terms, covenants or conditions of any Transaction Document on the part of any Seller Party or to inspect the property (including the books and records) of any Seller Party; (d) shall not be responsible to any Investor or any other holder of any of the its respective Purchaser Group’s interest in Pool Receivables for the due execution, legality, validity, enforceability, genuineness, sufficiency or value of any Transaction Document; and (e) shall incur no liability under or in respect of this Agreement by acting upon any notice (including notice by telephone where permitted herein), consent, certificate or other instrument or writing (which may be by facsimile) in good faith believed by it to be genuine and signed or sent by the proper party or parties.</w:t>
      </w: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XII.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Assignments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color w:val="auto"/>
        </w:rPr>
        <w:t>Restrictions on Assignments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320" w:firstLine="656"/>
        <w:spacing w:after="0" w:line="278" w:lineRule="auto"/>
        <w:tabs>
          <w:tab w:leader="none" w:pos="1068"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 Seller Party may assign its rights, or delegate its duties hereunder or any interest herein without the prior written consent of the Agents (except a Seller Party may delegate certain administrative duties to an Affiliate, such as payroll, financial reporting, tax and the like, so long as such Seller Party remains liable for performance of such duties).</w:t>
      </w:r>
    </w:p>
    <w:p>
      <w:pPr>
        <w:spacing w:after="0" w:line="160" w:lineRule="exact"/>
        <w:rPr>
          <w:rFonts w:ascii="Arial" w:cs="Arial" w:eastAsia="Arial" w:hAnsi="Arial"/>
          <w:sz w:val="21"/>
          <w:szCs w:val="21"/>
          <w:color w:val="auto"/>
        </w:rPr>
      </w:pPr>
    </w:p>
    <w:p>
      <w:pPr>
        <w:ind w:firstLine="656"/>
        <w:spacing w:after="0" w:line="297" w:lineRule="auto"/>
        <w:tabs>
          <w:tab w:leader="none" w:pos="10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This Agreement and the Purchasers’ rights and obligations herein (including ownership of the Asset Interest) shall be assignable by the Purchasers and their successors and assigns to any Eligible Assignee (including, without limitation, pursuant to a Liquidity Agreement). Each assignor of an Asset Interest or any interest therein shall notify the Administrative Agent, the Purchaser Agent of such assignor’s Purchaser Group and the Seller of any such assignment. Each assignor of a Asset Interest or any interest therein may, in connection with any such assignment, disclose to the assignee or potential assignee any information relating to any Seller Party or any Originator, furnished to such assignor by or on behalf of such Seller Party or by any Agent; provided that,</w:t>
      </w:r>
    </w:p>
    <w:p>
      <w:pPr>
        <w:sectPr>
          <w:pgSz w:w="11900" w:h="16972" w:orient="portrait"/>
          <w:cols w:equalWidth="0" w:num="1">
            <w:col w:w="11420"/>
          </w:cols>
          <w:pgMar w:left="240" w:top="132" w:right="239" w:bottom="0" w:gutter="0" w:footer="0" w:header="0"/>
        </w:sectPr>
      </w:pPr>
    </w:p>
    <w:bookmarkStart w:id="76" w:name="page77"/>
    <w:bookmarkEnd w:id="76"/>
    <w:p>
      <w:pPr>
        <w:spacing w:after="0" w:line="263" w:lineRule="auto"/>
        <w:rPr>
          <w:sz w:val="20"/>
          <w:szCs w:val="20"/>
          <w:color w:val="auto"/>
        </w:rPr>
      </w:pPr>
      <w:r>
        <w:rPr>
          <w:rFonts w:ascii="Arial" w:cs="Arial" w:eastAsia="Arial" w:hAnsi="Arial"/>
          <w:sz w:val="22"/>
          <w:szCs w:val="22"/>
          <w:color w:val="auto"/>
        </w:rPr>
        <w:t xml:space="preserve">prior to any the disclosure of any Seller Information, the assignee or potential assignee agrees to preserve the confidentiality of any such information which is confidential in accordance with the provisions of </w:t>
      </w:r>
      <w:r>
        <w:rPr>
          <w:rFonts w:ascii="Arial" w:cs="Arial" w:eastAsia="Arial" w:hAnsi="Arial"/>
          <w:sz w:val="22"/>
          <w:szCs w:val="22"/>
          <w:u w:val="single" w:color="auto"/>
          <w:color w:val="auto"/>
        </w:rPr>
        <w:t>Section 14.7</w:t>
      </w:r>
      <w:r>
        <w:rPr>
          <w:rFonts w:ascii="Arial" w:cs="Arial" w:eastAsia="Arial" w:hAnsi="Arial"/>
          <w:sz w:val="22"/>
          <w:szCs w:val="22"/>
          <w:color w:val="auto"/>
        </w:rPr>
        <w:t xml:space="preserve"> hereof.</w:t>
      </w:r>
    </w:p>
    <w:p>
      <w:pPr>
        <w:spacing w:after="0" w:line="175" w:lineRule="exact"/>
        <w:rPr>
          <w:sz w:val="20"/>
          <w:szCs w:val="20"/>
          <w:color w:val="auto"/>
        </w:rPr>
      </w:pPr>
    </w:p>
    <w:p>
      <w:pPr>
        <w:ind w:right="120" w:firstLine="656"/>
        <w:spacing w:after="0" w:line="288" w:lineRule="auto"/>
        <w:tabs>
          <w:tab w:leader="none" w:pos="1068"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Each Liquidity Bank may assign to any Eligible Assignee or to any other Liquidity Bank all or a portion of its rights and obligations under this Agreement (including, without limitation, all or a portion of any Asset Interest therein owned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such assignment shall be of a constant, and not a varying, percentage of all rights and obligations under this Agreement, (ii) the amount being assigned pursuant to each such assignment (determined as of the date of the Assignment and Acceptance Agreement with respect to such assignment) shall in no event be less than the lesser of</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$10,000,000 and (y) such Liquidity Bank’s Percentage of its Purchaser Group’s Purchaser Group Limit in effect at such time,</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parties to each such assignment shall execute and deliver to the Administrative Agent and the Purchaser Agent in such</w:t>
      </w:r>
    </w:p>
    <w:p>
      <w:pPr>
        <w:spacing w:after="0" w:line="38" w:lineRule="exact"/>
        <w:rPr>
          <w:rFonts w:ascii="Arial" w:cs="Arial" w:eastAsia="Arial" w:hAnsi="Arial"/>
          <w:sz w:val="19"/>
          <w:szCs w:val="19"/>
          <w:color w:val="auto"/>
        </w:rPr>
      </w:pPr>
    </w:p>
    <w:p>
      <w:pPr>
        <w:ind w:right="40"/>
        <w:spacing w:after="0" w:line="245" w:lineRule="auto"/>
        <w:rPr>
          <w:rFonts w:ascii="Arial" w:cs="Arial" w:eastAsia="Arial" w:hAnsi="Arial"/>
          <w:sz w:val="19"/>
          <w:szCs w:val="19"/>
          <w:color w:val="auto"/>
        </w:rPr>
      </w:pPr>
      <w:r>
        <w:rPr>
          <w:rFonts w:ascii="Arial" w:cs="Arial" w:eastAsia="Arial" w:hAnsi="Arial"/>
          <w:sz w:val="22"/>
          <w:szCs w:val="22"/>
          <w:color w:val="auto"/>
        </w:rPr>
        <w:t>Liquidity Bank’s Purchaser Group, an Assignment and Acceptance Agreement, and (iv) to the extent applicable, concurrently with such assignment, such assignor Liquidity Bank shall assign to such assignee Liquidity Bank or other Eligible Assignee an equal percentage of its rights and obligations under any Liquidity Agreement.</w:t>
      </w:r>
    </w:p>
    <w:p>
      <w:pPr>
        <w:spacing w:after="0" w:line="193" w:lineRule="exact"/>
        <w:rPr>
          <w:rFonts w:ascii="Arial" w:cs="Arial" w:eastAsia="Arial" w:hAnsi="Arial"/>
          <w:sz w:val="19"/>
          <w:szCs w:val="19"/>
          <w:color w:val="auto"/>
        </w:rPr>
      </w:pPr>
    </w:p>
    <w:p>
      <w:pPr>
        <w:ind w:right="40" w:firstLine="656"/>
        <w:spacing w:after="0" w:line="289" w:lineRule="auto"/>
        <w:tabs>
          <w:tab w:leader="none" w:pos="10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(i) any Liquidity Bank may at any time pledge or grant a security interest in all or any portion of its rights (including, without limitation, rights to payment of Earned Discount) under this Agreement or under any Liquidity Agreement to secure obligations of such Liquidity Bank to a Federal Reserve Bank, without notice to or consent of the Seller or any Agent; provided that no such pledge or grant of a security interest shall release a Liquidity Bank from any of its obligations hereunder or under such Liquidity Agreement, as the case may be, or substitute any such pledgee or grantee for such Liquidity Bank as a party hereto or to such Liquidity Agreement, as the case may be; and (ii) each Purchaser may assign and grant a security interest in all of its rights in the Transaction Documents, together with all of its rights and interest in the Asset Interest, to secure such Purchaser’s obligations under or in connection with the Commercial Paper Notes, the related Liquidity Agreement, and certain other obligations of such Purchaser incurred in connection with the funding of the Purchases and Reinvestments hereunder, which assignment and grant of a security interest shall not be considered an “assignment” prior to the enforcement of such security interest, for purposes of any provision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color w:val="auto"/>
        </w:rPr>
        <w:t>Rights of Assignee.</w:t>
      </w:r>
    </w:p>
    <w:p>
      <w:pPr>
        <w:spacing w:after="0" w:line="239" w:lineRule="exact"/>
        <w:rPr>
          <w:sz w:val="20"/>
          <w:szCs w:val="20"/>
          <w:color w:val="auto"/>
        </w:rPr>
      </w:pPr>
    </w:p>
    <w:p>
      <w:pPr>
        <w:ind w:right="180" w:firstLine="656"/>
        <w:spacing w:after="0" w:line="294" w:lineRule="auto"/>
        <w:tabs>
          <w:tab w:leader="none" w:pos="1068" w:val="left"/>
        </w:tabs>
        <w:numPr>
          <w:ilvl w:val="0"/>
          <w:numId w:val="86"/>
        </w:numPr>
        <w:rPr>
          <w:rFonts w:ascii="Arial" w:cs="Arial" w:eastAsia="Arial" w:hAnsi="Arial"/>
          <w:sz w:val="19"/>
          <w:szCs w:val="19"/>
          <w:color w:val="auto"/>
        </w:rPr>
      </w:pPr>
      <w:r>
        <w:rPr>
          <w:rFonts w:ascii="Arial" w:cs="Arial" w:eastAsia="Arial" w:hAnsi="Arial"/>
          <w:sz w:val="19"/>
          <w:szCs w:val="19"/>
          <w:color w:val="auto"/>
        </w:rPr>
        <w:t>Upon the execution and delivery and effectiveness of an Assignment and Acceptance Agreement, (x) the assignee Liquidity Bank thereunder shall be a party to this Agreement and, to the extent that rights and obligations hereunder have been assigned to it pursuant to such Assignment and Acceptance Agreement, have the rights and obligations of a Liquidity Bank hereunder and (y) the assigning Liquidity Bank shall, to the extent that rights and obligations hereunder have been assigned by it pursuant to such Assignment and Acceptance Agreement, relinquish such rights and be released from such obligations under this Agreement (and, in the case of an Assignment and Acceptance Agreement covering all or the remaining portion of an assigning Liquidity Bank’s rights and obligations under this Agreement, such Liquidity Bank shall cease to be a party hereto).</w:t>
      </w:r>
    </w:p>
    <w:p>
      <w:pPr>
        <w:spacing w:after="0" w:line="152" w:lineRule="exact"/>
        <w:rPr>
          <w:rFonts w:ascii="Arial" w:cs="Arial" w:eastAsia="Arial" w:hAnsi="Arial"/>
          <w:sz w:val="19"/>
          <w:szCs w:val="19"/>
          <w:color w:val="auto"/>
        </w:rPr>
      </w:pPr>
    </w:p>
    <w:p>
      <w:pPr>
        <w:ind w:right="80" w:firstLine="656"/>
        <w:spacing w:after="0" w:line="307" w:lineRule="auto"/>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Upon the assignment by a Purchaser in accordance with this </w:t>
      </w:r>
      <w:r>
        <w:rPr>
          <w:rFonts w:ascii="Arial" w:cs="Arial" w:eastAsia="Arial" w:hAnsi="Arial"/>
          <w:sz w:val="19"/>
          <w:szCs w:val="19"/>
          <w:u w:val="single" w:color="auto"/>
          <w:color w:val="auto"/>
        </w:rPr>
        <w:t>Article XII</w:t>
      </w:r>
      <w:r>
        <w:rPr>
          <w:rFonts w:ascii="Arial" w:cs="Arial" w:eastAsia="Arial" w:hAnsi="Arial"/>
          <w:sz w:val="19"/>
          <w:szCs w:val="19"/>
          <w:color w:val="auto"/>
        </w:rPr>
        <w:t>, the assignee receiving such assignment shall have all of the rights of the related Purchaser with respect to the Transaction Documents and the Asset Interest (or such portion thereof as has been assigned) and the assigning Purchaser shall, to the extent that rights and obligations hereunder have been assigned by it, relinquish such rights and be released from such obligations under this Agreement.</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12.3</w:t>
      </w:r>
      <w:r>
        <w:rPr>
          <w:sz w:val="20"/>
          <w:szCs w:val="20"/>
          <w:color w:val="auto"/>
        </w:rPr>
        <w:tab/>
      </w:r>
      <w:r>
        <w:rPr>
          <w:rFonts w:ascii="Arial" w:cs="Arial" w:eastAsia="Arial" w:hAnsi="Arial"/>
          <w:sz w:val="19"/>
          <w:szCs w:val="19"/>
          <w:color w:val="auto"/>
        </w:rPr>
        <w:t>Terms and Evidence of Assignment</w:t>
      </w:r>
      <w:r>
        <w:rPr>
          <w:rFonts w:ascii="Arial" w:cs="Arial" w:eastAsia="Arial" w:hAnsi="Arial"/>
          <w:sz w:val="19"/>
          <w:szCs w:val="19"/>
          <w:b w:val="1"/>
          <w:bCs w:val="1"/>
          <w:color w:val="auto"/>
        </w:rPr>
        <w:t>.</w:t>
      </w:r>
    </w:p>
    <w:p>
      <w:pPr>
        <w:spacing w:after="0" w:line="239" w:lineRule="exact"/>
        <w:rPr>
          <w:sz w:val="20"/>
          <w:szCs w:val="20"/>
          <w:color w:val="auto"/>
        </w:rPr>
      </w:pPr>
    </w:p>
    <w:p>
      <w:pPr>
        <w:ind w:right="280" w:firstLine="648"/>
        <w:spacing w:after="0" w:line="263" w:lineRule="auto"/>
        <w:rPr>
          <w:sz w:val="20"/>
          <w:szCs w:val="20"/>
          <w:color w:val="auto"/>
        </w:rPr>
      </w:pPr>
      <w:r>
        <w:rPr>
          <w:rFonts w:ascii="Arial" w:cs="Arial" w:eastAsia="Arial" w:hAnsi="Arial"/>
          <w:sz w:val="21"/>
          <w:szCs w:val="21"/>
          <w:color w:val="auto"/>
        </w:rPr>
        <w:t xml:space="preserve">Any assignment of the Asset Interest (or any portion thereof) or any commitment hereunder to any Person which is otherwise permitted under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be upon such terms and conditions as the related assignor and the assignee may mutually agree, and may be evidenced by such instrument(s) or document(s) as may be satisfactory to the assignor, the related Purchaser Agent, the Administrative Agent and the assignee, which shall include, with respect to any assignment by a Liquidity Bank, an Assignment and Acceptance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12.4</w:t>
      </w:r>
      <w:r>
        <w:rPr>
          <w:sz w:val="20"/>
          <w:szCs w:val="20"/>
          <w:color w:val="auto"/>
        </w:rPr>
        <w:tab/>
      </w:r>
      <w:r>
        <w:rPr>
          <w:rFonts w:ascii="Arial" w:cs="Arial" w:eastAsia="Arial" w:hAnsi="Arial"/>
          <w:sz w:val="19"/>
          <w:szCs w:val="19"/>
          <w:color w:val="auto"/>
        </w:rPr>
        <w:t>Rights of Liquidity Banks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The Seller hereby agrees that, upon notice to the Seller, the Liquidity Banks may exercise all the rights of the Purchaser Agent and Purchaser in such Liquidity Bank’s Purchaser Group, with respect to the portion of the Asset Interest funded by such Purchaser Group (or any portions thereof), and Collections with respect thereto, which are owned by such Purchaser, and all other rights and interests of such Purchaser in, to or under this Agreement or any other Transaction Document. Without limiting the foregoing, upon such notice or at any time thereafter (but subject to any conditions applicable to the exercise of such rights by the Agents), the Liquidity Banks may request the Master Servicer to segregate such Purchaser’s allocable shares of Collections from the Seller’s allocable share, may require the Administrative Agent to give a Successor Notice pursuant to and in accordance with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may require the Administrative Agent to give notice to the Lockbox Banks as referred to in </w:t>
      </w:r>
      <w:r>
        <w:rPr>
          <w:rFonts w:ascii="Arial" w:cs="Arial" w:eastAsia="Arial" w:hAnsi="Arial"/>
          <w:sz w:val="19"/>
          <w:szCs w:val="19"/>
          <w:u w:val="single" w:color="auto"/>
          <w:color w:val="auto"/>
        </w:rPr>
        <w:t>Section 8.5(b)</w:t>
      </w:r>
      <w:r>
        <w:rPr>
          <w:rFonts w:ascii="Arial" w:cs="Arial" w:eastAsia="Arial" w:hAnsi="Arial"/>
          <w:sz w:val="19"/>
          <w:szCs w:val="19"/>
          <w:color w:val="auto"/>
        </w:rPr>
        <w:t xml:space="preserve"> and may direct the Administrative Agent to direct the Obligors of Pool Receivables to make payments in respect thereof directly to an account designated by them, in each case, to the same extent as such Purchaser Agent might have done.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XIII.</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Indemnification</w:t>
      </w:r>
    </w:p>
    <w:p>
      <w:pPr>
        <w:sectPr>
          <w:pgSz w:w="11900" w:h="16838" w:orient="portrait"/>
          <w:cols w:equalWidth="0" w:num="1">
            <w:col w:w="11340"/>
          </w:cols>
          <w:pgMar w:left="240" w:top="131" w:right="319" w:bottom="0" w:gutter="0" w:footer="0" w:header="0"/>
        </w:sectPr>
      </w:pPr>
    </w:p>
    <w:bookmarkStart w:id="77" w:name="page78"/>
    <w:bookmarkEnd w:id="77"/>
    <w:p>
      <w:pPr>
        <w:ind w:left="652"/>
        <w:spacing w:after="0"/>
        <w:tabs>
          <w:tab w:leader="none" w:pos="1912" w:val="left"/>
        </w:tabs>
        <w:rPr>
          <w:sz w:val="20"/>
          <w:szCs w:val="20"/>
          <w:color w:val="auto"/>
        </w:rPr>
      </w:pPr>
      <w:r>
        <w:rPr>
          <w:rFonts w:ascii="Arial" w:cs="Arial" w:eastAsia="Arial" w:hAnsi="Arial"/>
          <w:sz w:val="22"/>
          <w:szCs w:val="22"/>
          <w:b w:val="1"/>
          <w:bCs w:val="1"/>
          <w:color w:val="auto"/>
        </w:rPr>
        <w:t>Section 13.1</w:t>
      </w:r>
      <w:r>
        <w:rPr>
          <w:sz w:val="20"/>
          <w:szCs w:val="20"/>
          <w:color w:val="auto"/>
        </w:rPr>
        <w:tab/>
      </w:r>
      <w:r>
        <w:rPr>
          <w:rFonts w:ascii="Arial" w:cs="Arial" w:eastAsia="Arial" w:hAnsi="Arial"/>
          <w:sz w:val="19"/>
          <w:szCs w:val="19"/>
          <w:color w:val="auto"/>
        </w:rPr>
        <w:t>Indemnities by the Seller</w:t>
      </w:r>
      <w:r>
        <w:rPr>
          <w:rFonts w:ascii="Arial" w:cs="Arial" w:eastAsia="Arial" w:hAnsi="Arial"/>
          <w:sz w:val="19"/>
          <w:szCs w:val="19"/>
          <w:b w:val="1"/>
          <w:bCs w:val="1"/>
          <w:color w:val="auto"/>
        </w:rPr>
        <w:t>.</w:t>
      </w:r>
    </w:p>
    <w:p>
      <w:pPr>
        <w:spacing w:after="0" w:line="239" w:lineRule="exact"/>
        <w:rPr>
          <w:sz w:val="20"/>
          <w:szCs w:val="20"/>
          <w:color w:val="auto"/>
        </w:rPr>
      </w:pPr>
    </w:p>
    <w:p>
      <w:pPr>
        <w:ind w:left="-8" w:right="20" w:firstLine="656"/>
        <w:spacing w:after="0" w:line="285" w:lineRule="auto"/>
        <w:tabs>
          <w:tab w:leader="none" w:pos="1060"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General Indemnity</w:t>
      </w:r>
      <w:r>
        <w:rPr>
          <w:rFonts w:ascii="Arial" w:cs="Arial" w:eastAsia="Arial" w:hAnsi="Arial"/>
          <w:sz w:val="19"/>
          <w:szCs w:val="19"/>
          <w:color w:val="auto"/>
        </w:rPr>
        <w:t>. Without limiting any other rights which any such Person may have hereunder or under applicable law, the Seller hereby agrees to indemnify BTMU, both individually and as the Administrative Agent and the BTMU Purchaser Agent, the WFB Purchaser Agent, the Purchasers, the Liquidity Banks, the Liquidity Agents, each of their respective Affiliates, and all successors, transferees, participants and assigns and all officers, directors, shareholders, controlling persons, and employees of any of the foregoing, and any successor servicer and subservicer not affiliated with Lennox (each an “</w:t>
      </w:r>
      <w:r>
        <w:rPr>
          <w:rFonts w:ascii="Arial" w:cs="Arial" w:eastAsia="Arial" w:hAnsi="Arial"/>
          <w:sz w:val="19"/>
          <w:szCs w:val="19"/>
          <w:i w:val="1"/>
          <w:iCs w:val="1"/>
          <w:u w:val="single" w:color="auto"/>
          <w:color w:val="auto"/>
        </w:rPr>
        <w:t>Indemnified Party</w:t>
      </w:r>
      <w:r>
        <w:rPr>
          <w:rFonts w:ascii="Arial" w:cs="Arial" w:eastAsia="Arial" w:hAnsi="Arial"/>
          <w:sz w:val="19"/>
          <w:szCs w:val="19"/>
          <w:color w:val="auto"/>
        </w:rPr>
        <w:t>”), forthwith on demand, from and against any and all damages, losses, claims, liabilities and related costs and expenses, including attorneys’ fees and disbursements (all of the foregoing being collectively referred to as “</w:t>
      </w:r>
      <w:r>
        <w:rPr>
          <w:rFonts w:ascii="Arial" w:cs="Arial" w:eastAsia="Arial" w:hAnsi="Arial"/>
          <w:sz w:val="19"/>
          <w:szCs w:val="19"/>
          <w:i w:val="1"/>
          <w:iCs w:val="1"/>
          <w:u w:val="single" w:color="auto"/>
          <w:color w:val="auto"/>
        </w:rPr>
        <w:t>Indemnified Amounts</w:t>
      </w:r>
      <w:r>
        <w:rPr>
          <w:rFonts w:ascii="Arial" w:cs="Arial" w:eastAsia="Arial" w:hAnsi="Arial"/>
          <w:sz w:val="19"/>
          <w:szCs w:val="19"/>
          <w:color w:val="auto"/>
        </w:rPr>
        <w:t>”) awarded against or incurred by any of them arising out of or relating to the Transaction Documents or the ownership or funding of the Asset Interest or in respect of any Receivable or any Contract, excluding, however, (x) Indemnified Amounts to the extent determined by a court of competent jurisdiction to have resulted from gross negligence or willful misconduct on the part of such Indemnified Party or</w:t>
      </w:r>
    </w:p>
    <w:p>
      <w:pPr>
        <w:spacing w:after="0" w:line="2" w:lineRule="exact"/>
        <w:rPr>
          <w:rFonts w:ascii="Arial" w:cs="Arial" w:eastAsia="Arial" w:hAnsi="Arial"/>
          <w:sz w:val="19"/>
          <w:szCs w:val="19"/>
          <w:color w:val="auto"/>
        </w:rPr>
      </w:pPr>
    </w:p>
    <w:p>
      <w:pPr>
        <w:ind w:left="-8" w:right="300" w:firstLine="8"/>
        <w:spacing w:after="0" w:line="292" w:lineRule="auto"/>
        <w:tabs>
          <w:tab w:leader="none" w:pos="298" w:val="left"/>
        </w:tabs>
        <w:numPr>
          <w:ilvl w:val="0"/>
          <w:numId w:val="88"/>
        </w:numPr>
        <w:rPr>
          <w:rFonts w:ascii="Arial" w:cs="Arial" w:eastAsia="Arial" w:hAnsi="Arial"/>
          <w:sz w:val="19"/>
          <w:szCs w:val="19"/>
          <w:color w:val="auto"/>
        </w:rPr>
      </w:pPr>
      <w:r>
        <w:rPr>
          <w:rFonts w:ascii="Arial" w:cs="Arial" w:eastAsia="Arial" w:hAnsi="Arial"/>
          <w:sz w:val="19"/>
          <w:szCs w:val="19"/>
          <w:color w:val="auto"/>
        </w:rPr>
        <w:t>recourse (except as otherwise specifically provided in this Agreement) for Defaulted Receivables; the Seller further agrees to indemnify any agent (which is not otherwise an Indemnified Party) of any of BTMU, WFB, the Agents, the Purchasers, the Liquidity Banks, and the Liquidity Agents forthwith on demand, from and against any and all Indemnified Amounts awarded against or incurred by any of them arising out of or caused by the gross negligence or willful misconduct of the Seller. Without limiting the foregoing, the Seller shall indemnify each Indemnified Party for Indemnified Amounts arising out of or relating to:</w:t>
      </w:r>
    </w:p>
    <w:p>
      <w:pPr>
        <w:spacing w:after="0" w:line="152" w:lineRule="exact"/>
        <w:rPr>
          <w:rFonts w:ascii="Arial" w:cs="Arial" w:eastAsia="Arial" w:hAnsi="Arial"/>
          <w:sz w:val="19"/>
          <w:szCs w:val="19"/>
          <w:color w:val="auto"/>
        </w:rPr>
      </w:pPr>
    </w:p>
    <w:p>
      <w:pPr>
        <w:jc w:val="both"/>
        <w:ind w:left="652" w:right="500" w:firstLine="645"/>
        <w:spacing w:after="0" w:line="320" w:lineRule="auto"/>
        <w:tabs>
          <w:tab w:leader="none" w:pos="1684" w:val="left"/>
        </w:tabs>
        <w:numPr>
          <w:ilvl w:val="2"/>
          <w:numId w:val="88"/>
        </w:numPr>
        <w:rPr>
          <w:rFonts w:ascii="Arial" w:cs="Arial" w:eastAsia="Arial" w:hAnsi="Arial"/>
          <w:sz w:val="19"/>
          <w:szCs w:val="19"/>
          <w:color w:val="auto"/>
        </w:rPr>
      </w:pPr>
      <w:r>
        <w:rPr>
          <w:rFonts w:ascii="Arial" w:cs="Arial" w:eastAsia="Arial" w:hAnsi="Arial"/>
          <w:sz w:val="19"/>
          <w:szCs w:val="19"/>
          <w:color w:val="auto"/>
        </w:rPr>
        <w:t xml:space="preserve">the transfer by any Seller Party of any interest in any Receivable other than the transfer of Receivables and related property by the Originators to the Seller pursuant to the Sale Agreement, the transfer of an Asset Interest to the Investors pursuant to this Agreement and the grant of a security interest to the Secured Parties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652" w:firstLine="645"/>
        <w:spacing w:after="0" w:line="292" w:lineRule="auto"/>
        <w:tabs>
          <w:tab w:leader="none" w:pos="1744" w:val="left"/>
        </w:tabs>
        <w:numPr>
          <w:ilvl w:val="2"/>
          <w:numId w:val="88"/>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by the Seller in the last sentence of </w:t>
      </w:r>
      <w:r>
        <w:rPr>
          <w:rFonts w:ascii="Arial" w:cs="Arial" w:eastAsia="Arial" w:hAnsi="Arial"/>
          <w:sz w:val="19"/>
          <w:szCs w:val="19"/>
          <w:u w:val="single" w:color="auto"/>
          <w:color w:val="auto"/>
        </w:rPr>
        <w:t>Section 6.1(p)</w:t>
      </w:r>
      <w:r>
        <w:rPr>
          <w:rFonts w:ascii="Arial" w:cs="Arial" w:eastAsia="Arial" w:hAnsi="Arial"/>
          <w:sz w:val="19"/>
          <w:szCs w:val="19"/>
          <w:color w:val="auto"/>
        </w:rPr>
        <w:t xml:space="preserve"> shall have been false, incorrect or misleading in any respect when made or deemed made, or any other representation or warranty made in writing by any Seller Party (or any of its officers) under or in connection with any Transaction Document, any Information Package, Interim Information Package or any other information or report delivered by or on behalf of any Seller Party pursuant hereto, which shall have been false, incorrect or misleading in any material respect when made or deemed made or delivered,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information that was not made or delivered in writing, indemnification shall be available to an Indemnified Party hereunder only if such representation, warranty or information was reasonably relied upon by such Indemnified Party;</w:t>
      </w:r>
    </w:p>
    <w:p>
      <w:pPr>
        <w:spacing w:after="0" w:line="155" w:lineRule="exact"/>
        <w:rPr>
          <w:rFonts w:ascii="Arial" w:cs="Arial" w:eastAsia="Arial" w:hAnsi="Arial"/>
          <w:sz w:val="19"/>
          <w:szCs w:val="19"/>
          <w:color w:val="auto"/>
        </w:rPr>
      </w:pPr>
    </w:p>
    <w:p>
      <w:pPr>
        <w:ind w:left="652" w:right="260" w:firstLine="645"/>
        <w:spacing w:after="0" w:line="270" w:lineRule="auto"/>
        <w:tabs>
          <w:tab w:leader="none" w:pos="1804" w:val="left"/>
        </w:tabs>
        <w:numPr>
          <w:ilvl w:val="2"/>
          <w:numId w:val="88"/>
        </w:numPr>
        <w:rPr>
          <w:rFonts w:ascii="Arial" w:cs="Arial" w:eastAsia="Arial" w:hAnsi="Arial"/>
          <w:sz w:val="21"/>
          <w:szCs w:val="21"/>
          <w:color w:val="auto"/>
        </w:rPr>
      </w:pPr>
      <w:r>
        <w:rPr>
          <w:rFonts w:ascii="Arial" w:cs="Arial" w:eastAsia="Arial" w:hAnsi="Arial"/>
          <w:sz w:val="21"/>
          <w:szCs w:val="21"/>
          <w:color w:val="auto"/>
        </w:rPr>
        <w:t>the failure by any Seller Party to comply with any applicable law, rule or regulation with respect to any Pool Receivable or the related Contract, or the nonconformity of any Pool Receivable or the related Contract with any such applicable law, rule or regulation or the failure of the Seller to perform its duties or obligations in accordance with the provisions hereof or to perform its duties or obligations under the Contracts;</w:t>
      </w:r>
    </w:p>
    <w:p>
      <w:pPr>
        <w:spacing w:after="0" w:line="169" w:lineRule="exact"/>
        <w:rPr>
          <w:rFonts w:ascii="Arial" w:cs="Arial" w:eastAsia="Arial" w:hAnsi="Arial"/>
          <w:sz w:val="21"/>
          <w:szCs w:val="21"/>
          <w:color w:val="auto"/>
        </w:rPr>
      </w:pPr>
    </w:p>
    <w:p>
      <w:pPr>
        <w:ind w:left="652" w:firstLine="645"/>
        <w:spacing w:after="0" w:line="251" w:lineRule="auto"/>
        <w:tabs>
          <w:tab w:leader="none" w:pos="1792"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the failure to vest and maintain vested in (A) the Investors an undivided percentage ownership interest, to the extent of the Asset Interest, in the Receivables in, or purporting to be in, the Receivables Pool, or (B) the Secured Parties a security interest in the Collateral, in each case free and clear of any Lien, other than a Lien arising solely as a result of an act of any Investor or the Administrative Agent, whether existing at the time of any Purchase or Reinvestment of such Asset Interest or at any time thereafter;</w:t>
      </w:r>
    </w:p>
    <w:p>
      <w:pPr>
        <w:spacing w:after="0" w:line="189" w:lineRule="exact"/>
        <w:rPr>
          <w:rFonts w:ascii="Arial" w:cs="Arial" w:eastAsia="Arial" w:hAnsi="Arial"/>
          <w:sz w:val="22"/>
          <w:szCs w:val="22"/>
          <w:color w:val="auto"/>
        </w:rPr>
      </w:pPr>
    </w:p>
    <w:p>
      <w:pPr>
        <w:jc w:val="both"/>
        <w:ind w:left="652" w:right="200" w:firstLine="645"/>
        <w:spacing w:after="0" w:line="320" w:lineRule="auto"/>
        <w:tabs>
          <w:tab w:leader="none" w:pos="1732" w:val="left"/>
        </w:tabs>
        <w:numPr>
          <w:ilvl w:val="2"/>
          <w:numId w:val="88"/>
        </w:numPr>
        <w:rPr>
          <w:rFonts w:ascii="Arial" w:cs="Arial" w:eastAsia="Arial" w:hAnsi="Arial"/>
          <w:sz w:val="19"/>
          <w:szCs w:val="19"/>
          <w:color w:val="auto"/>
        </w:rPr>
      </w:pPr>
      <w:r>
        <w:rPr>
          <w:rFonts w:ascii="Arial" w:cs="Arial" w:eastAsia="Arial" w:hAnsi="Arial"/>
          <w:sz w:val="19"/>
          <w:szCs w:val="19"/>
          <w:color w:val="auto"/>
        </w:rPr>
        <w:t>the failure to file, or any delay in filing, financing statements or other similar instruments or documents under the UCC of any applicable jurisdiction or other applicable laws with respect to any Receivables in, or purporting to be in, the Receivables Pool, whether at the time of any Purchase or Reinvestment or at any time thereafter;</w:t>
      </w:r>
    </w:p>
    <w:p>
      <w:pPr>
        <w:spacing w:after="0" w:line="125" w:lineRule="exact"/>
        <w:rPr>
          <w:rFonts w:ascii="Arial" w:cs="Arial" w:eastAsia="Arial" w:hAnsi="Arial"/>
          <w:sz w:val="19"/>
          <w:szCs w:val="19"/>
          <w:color w:val="auto"/>
        </w:rPr>
      </w:pPr>
    </w:p>
    <w:p>
      <w:pPr>
        <w:ind w:left="652" w:right="100" w:firstLine="645"/>
        <w:spacing w:after="0" w:line="266" w:lineRule="auto"/>
        <w:tabs>
          <w:tab w:leader="none" w:pos="1792" w:val="left"/>
        </w:tabs>
        <w:numPr>
          <w:ilvl w:val="2"/>
          <w:numId w:val="88"/>
        </w:numPr>
        <w:rPr>
          <w:rFonts w:ascii="Arial" w:cs="Arial" w:eastAsia="Arial" w:hAnsi="Arial"/>
          <w:sz w:val="21"/>
          <w:szCs w:val="21"/>
          <w:color w:val="auto"/>
        </w:rPr>
      </w:pPr>
      <w:r>
        <w:rPr>
          <w:rFonts w:ascii="Arial" w:cs="Arial" w:eastAsia="Arial" w:hAnsi="Arial"/>
          <w:sz w:val="21"/>
          <w:szCs w:val="21"/>
          <w:color w:val="auto"/>
        </w:rPr>
        <w:t>any dispute, claim, offset or defense (other than discharge in bankruptcy) of the Obligor to the payment of any Receivable in, or purporting to be in, the Receivables Pool (including, without limitation, a defense based on such Receivables or the related Contract not being a legal, valid and binding obligation of such Obligor enforceable against it in accordance with its terms), or any other claim resulting from the sale of the merchandise or services related to such Receivable or the furnishing or failure to furnish such merchandise or services;</w:t>
      </w:r>
    </w:p>
    <w:p>
      <w:pPr>
        <w:spacing w:after="0" w:line="174" w:lineRule="exact"/>
        <w:rPr>
          <w:rFonts w:ascii="Arial" w:cs="Arial" w:eastAsia="Arial" w:hAnsi="Arial"/>
          <w:sz w:val="21"/>
          <w:szCs w:val="21"/>
          <w:color w:val="auto"/>
        </w:rPr>
      </w:pPr>
    </w:p>
    <w:p>
      <w:pPr>
        <w:ind w:left="1852" w:hanging="555"/>
        <w:spacing w:after="0"/>
        <w:tabs>
          <w:tab w:leader="none" w:pos="1852" w:val="left"/>
        </w:tabs>
        <w:numPr>
          <w:ilvl w:val="2"/>
          <w:numId w:val="88"/>
        </w:numPr>
        <w:rPr>
          <w:rFonts w:ascii="Arial" w:cs="Arial" w:eastAsia="Arial" w:hAnsi="Arial"/>
          <w:sz w:val="22"/>
          <w:szCs w:val="22"/>
          <w:color w:val="auto"/>
        </w:rPr>
      </w:pPr>
      <w:r>
        <w:rPr>
          <w:rFonts w:ascii="Arial" w:cs="Arial" w:eastAsia="Arial" w:hAnsi="Arial"/>
          <w:sz w:val="22"/>
          <w:szCs w:val="22"/>
          <w:color w:val="auto"/>
        </w:rPr>
        <w:t xml:space="preserve">any matter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2" w:right="440" w:firstLine="645"/>
        <w:spacing w:after="0" w:line="276" w:lineRule="auto"/>
        <w:tabs>
          <w:tab w:leader="none" w:pos="1912" w:val="left"/>
        </w:tabs>
        <w:numPr>
          <w:ilvl w:val="2"/>
          <w:numId w:val="88"/>
        </w:numPr>
        <w:rPr>
          <w:rFonts w:ascii="Arial" w:cs="Arial" w:eastAsia="Arial" w:hAnsi="Arial"/>
          <w:sz w:val="22"/>
          <w:szCs w:val="22"/>
          <w:color w:val="auto"/>
        </w:rPr>
      </w:pPr>
      <w:r>
        <w:rPr>
          <w:rFonts w:ascii="Arial" w:cs="Arial" w:eastAsia="Arial" w:hAnsi="Arial"/>
          <w:sz w:val="22"/>
          <w:szCs w:val="22"/>
          <w:color w:val="auto"/>
        </w:rPr>
        <w:t xml:space="preserve">any failure of any Seller Party, as the Master Servicer or otherwise, to perform its duties or obligations in accordance with the provisions of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52" w:right="180" w:firstLine="645"/>
        <w:spacing w:after="0" w:line="276" w:lineRule="auto"/>
        <w:tabs>
          <w:tab w:leader="none" w:pos="1792" w:val="left"/>
        </w:tabs>
        <w:numPr>
          <w:ilvl w:val="2"/>
          <w:numId w:val="88"/>
        </w:numPr>
        <w:rPr>
          <w:rFonts w:ascii="Arial" w:cs="Arial" w:eastAsia="Arial" w:hAnsi="Arial"/>
          <w:sz w:val="22"/>
          <w:szCs w:val="22"/>
          <w:color w:val="auto"/>
        </w:rPr>
      </w:pPr>
      <w:r>
        <w:rPr>
          <w:rFonts w:ascii="Arial" w:cs="Arial" w:eastAsia="Arial" w:hAnsi="Arial"/>
          <w:sz w:val="22"/>
          <w:szCs w:val="22"/>
          <w:color w:val="auto"/>
        </w:rPr>
        <w:t>any product liability claim arising out of or in connection with merchandise or services that are the subject of any Pool Receivable;</w:t>
      </w:r>
    </w:p>
    <w:p>
      <w:pPr>
        <w:spacing w:after="0" w:line="160" w:lineRule="exact"/>
        <w:rPr>
          <w:rFonts w:ascii="Arial" w:cs="Arial" w:eastAsia="Arial" w:hAnsi="Arial"/>
          <w:sz w:val="22"/>
          <w:szCs w:val="22"/>
          <w:color w:val="auto"/>
        </w:rPr>
      </w:pPr>
    </w:p>
    <w:p>
      <w:pPr>
        <w:ind w:left="1732" w:hanging="435"/>
        <w:spacing w:after="0"/>
        <w:tabs>
          <w:tab w:leader="none" w:pos="1732" w:val="left"/>
        </w:tabs>
        <w:numPr>
          <w:ilvl w:val="2"/>
          <w:numId w:val="88"/>
        </w:numPr>
        <w:rPr>
          <w:rFonts w:ascii="Arial" w:cs="Arial" w:eastAsia="Arial" w:hAnsi="Arial"/>
          <w:sz w:val="21"/>
          <w:szCs w:val="21"/>
          <w:color w:val="auto"/>
        </w:rPr>
      </w:pPr>
      <w:r>
        <w:rPr>
          <w:rFonts w:ascii="Arial" w:cs="Arial" w:eastAsia="Arial" w:hAnsi="Arial"/>
          <w:sz w:val="21"/>
          <w:szCs w:val="21"/>
          <w:color w:val="auto"/>
        </w:rPr>
        <w:t>any claim of breach by any Seller Party of any related Contract with respect to any Pool Receivable;</w:t>
      </w:r>
    </w:p>
    <w:p>
      <w:pPr>
        <w:spacing w:after="0" w:line="244" w:lineRule="exact"/>
        <w:rPr>
          <w:rFonts w:ascii="Arial" w:cs="Arial" w:eastAsia="Arial" w:hAnsi="Arial"/>
          <w:sz w:val="21"/>
          <w:szCs w:val="21"/>
          <w:color w:val="auto"/>
        </w:rPr>
      </w:pPr>
    </w:p>
    <w:p>
      <w:pPr>
        <w:ind w:left="652" w:right="300" w:firstLine="645"/>
        <w:spacing w:after="0" w:line="358" w:lineRule="auto"/>
        <w:tabs>
          <w:tab w:leader="none" w:pos="1792" w:val="left"/>
        </w:tabs>
        <w:numPr>
          <w:ilvl w:val="2"/>
          <w:numId w:val="88"/>
        </w:numPr>
        <w:rPr>
          <w:rFonts w:ascii="Arial" w:cs="Arial" w:eastAsia="Arial" w:hAnsi="Arial"/>
          <w:sz w:val="19"/>
          <w:szCs w:val="19"/>
          <w:color w:val="auto"/>
        </w:rPr>
      </w:pPr>
      <w:r>
        <w:rPr>
          <w:rFonts w:ascii="Arial" w:cs="Arial" w:eastAsia="Arial" w:hAnsi="Arial"/>
          <w:sz w:val="19"/>
          <w:szCs w:val="19"/>
          <w:color w:val="auto"/>
        </w:rPr>
        <w:t>any Tax or Other Taxes, all interest and penalties thereon or with respect thereto, and all out-of-pocket costs and expenses, including the reasonable fees and expenses of counsel in defending against the same, which may arise by</w:t>
      </w:r>
    </w:p>
    <w:p>
      <w:pPr>
        <w:sectPr>
          <w:pgSz w:w="11900" w:h="16838" w:orient="portrait"/>
          <w:cols w:equalWidth="0" w:num="1">
            <w:col w:w="11412"/>
          </w:cols>
          <w:pgMar w:left="248" w:top="153" w:right="239" w:bottom="0" w:gutter="0" w:footer="0" w:header="0"/>
        </w:sectPr>
      </w:pPr>
    </w:p>
    <w:bookmarkStart w:id="78" w:name="page79"/>
    <w:bookmarkEnd w:id="78"/>
    <w:p>
      <w:pPr>
        <w:ind w:left="660" w:right="480"/>
        <w:spacing w:after="0" w:line="263" w:lineRule="auto"/>
        <w:rPr>
          <w:sz w:val="20"/>
          <w:szCs w:val="20"/>
          <w:color w:val="auto"/>
        </w:rPr>
      </w:pPr>
      <w:r>
        <w:rPr>
          <w:rFonts w:ascii="Arial" w:cs="Arial" w:eastAsia="Arial" w:hAnsi="Arial"/>
          <w:sz w:val="22"/>
          <w:szCs w:val="22"/>
          <w:color w:val="auto"/>
        </w:rPr>
        <w:t>reason of the purchase or ownership of any Asset Interest, or any other interest in the Pool Receivables or in any goods which secure any such Pool Receivables; or</w:t>
      </w:r>
    </w:p>
    <w:p>
      <w:pPr>
        <w:spacing w:after="0" w:line="175" w:lineRule="exact"/>
        <w:rPr>
          <w:sz w:val="20"/>
          <w:szCs w:val="20"/>
          <w:color w:val="auto"/>
        </w:rPr>
      </w:pPr>
    </w:p>
    <w:p>
      <w:pPr>
        <w:ind w:left="1860" w:hanging="555"/>
        <w:spacing w:after="0"/>
        <w:tabs>
          <w:tab w:leader="none" w:pos="18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commingling of Collections of Pool Receivables at any time with other funds.</w:t>
      </w:r>
    </w:p>
    <w:p>
      <w:pPr>
        <w:spacing w:after="0" w:line="233" w:lineRule="exact"/>
        <w:rPr>
          <w:rFonts w:ascii="Arial" w:cs="Arial" w:eastAsia="Arial" w:hAnsi="Arial"/>
          <w:sz w:val="22"/>
          <w:szCs w:val="22"/>
          <w:color w:val="auto"/>
        </w:rPr>
      </w:pPr>
    </w:p>
    <w:p>
      <w:pPr>
        <w:ind w:firstLine="656"/>
        <w:spacing w:after="0" w:line="294" w:lineRule="auto"/>
        <w:tabs>
          <w:tab w:leader="none" w:pos="108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Contest of Tax Claim; After-Tax Basis</w:t>
      </w:r>
      <w:r>
        <w:rPr>
          <w:rFonts w:ascii="Arial" w:cs="Arial" w:eastAsia="Arial" w:hAnsi="Arial"/>
          <w:sz w:val="19"/>
          <w:szCs w:val="19"/>
          <w:color w:val="auto"/>
        </w:rPr>
        <w:t xml:space="preserve">. If any Indemnified Party shall have written notice of any attempt to impose or collect any Tax or Other Taxes for which indemnification will be sought from Seller under </w:t>
      </w:r>
      <w:r>
        <w:rPr>
          <w:rFonts w:ascii="Arial" w:cs="Arial" w:eastAsia="Arial" w:hAnsi="Arial"/>
          <w:sz w:val="19"/>
          <w:szCs w:val="19"/>
          <w:u w:val="single" w:color="auto"/>
          <w:color w:val="auto"/>
        </w:rPr>
        <w:t>Section 13.1(a)(xi)</w:t>
      </w:r>
      <w:r>
        <w:rPr>
          <w:rFonts w:ascii="Arial" w:cs="Arial" w:eastAsia="Arial" w:hAnsi="Arial"/>
          <w:sz w:val="19"/>
          <w:szCs w:val="19"/>
          <w:color w:val="auto"/>
        </w:rPr>
        <w:t>, such Indemnified Party shall give prompt and timely notice of such attempt to the Seller. Indemnification hereunder shall be in an amount necessary to make the Indemnified Party whole after taking into account any tax consequences to the Indemnified Party of the payment of any of the aforesaid taxes (including any deduction) and the receipt of the indemnity provided hereunder or of any refund of any such tax previously indemnified hereunder, including the effect of such tax, deduction or refund on the amount of tax measured by net income or profit which is or was payable by the Indemnified Party.</w:t>
      </w:r>
    </w:p>
    <w:p>
      <w:pPr>
        <w:spacing w:after="0" w:line="152" w:lineRule="exact"/>
        <w:rPr>
          <w:rFonts w:ascii="Arial" w:cs="Arial" w:eastAsia="Arial" w:hAnsi="Arial"/>
          <w:sz w:val="19"/>
          <w:szCs w:val="19"/>
          <w:color w:val="auto"/>
        </w:rPr>
      </w:pPr>
    </w:p>
    <w:p>
      <w:pPr>
        <w:ind w:right="120" w:firstLine="656"/>
        <w:spacing w:after="0" w:line="300" w:lineRule="auto"/>
        <w:tabs>
          <w:tab w:leader="none" w:pos="106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for any reason the indemnification provided above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subject to the exceptions set forth therein) is unavailable to an Indemnified Party or is insufficient to hold an Indemnified Party harmless, then the Seller shall contribute to the amount paid or payable by such Indemnified Party as a result of such loss, claim, damage or liability in such proportion as is appropriate to reflect not only the relative benefits received by such Indemnified Party on the one hand and the Seller on the other hand but also the relative fault of such Indemnified Party as well as any other relevant equitable considerations.</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color w:val="auto"/>
        </w:rPr>
        <w:t>Indemnities by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 xml:space="preserve">Without limiting any other rights which any Indemnified Party may have hereunder or under applicable law, the Master Servicer hereby agrees to indemnify each of the Indemnified Parties forthwith on demand, from and against any and all Indemnified Amounts awarded against or incurred by any of them arising out of or relating to (i) the Master Servicer’s performance of, or failure to perform, any of its obligations under or in connection with any Transaction Document, or (ii) any representation or warranty made by the Master Servicer in the last sentence of </w:t>
      </w:r>
      <w:r>
        <w:rPr>
          <w:rFonts w:ascii="Arial" w:cs="Arial" w:eastAsia="Arial" w:hAnsi="Arial"/>
          <w:sz w:val="19"/>
          <w:szCs w:val="19"/>
          <w:u w:val="single" w:color="auto"/>
          <w:color w:val="auto"/>
        </w:rPr>
        <w:t>Section 6.1(p)</w:t>
      </w:r>
      <w:r>
        <w:rPr>
          <w:rFonts w:ascii="Arial" w:cs="Arial" w:eastAsia="Arial" w:hAnsi="Arial"/>
          <w:sz w:val="19"/>
          <w:szCs w:val="19"/>
          <w:color w:val="auto"/>
        </w:rPr>
        <w:t xml:space="preserve"> shall have been false, incorrect or misleading in any respect when made or deemed made, or (iii) any other representation or warranty made by the Master Servicer (or any of its officers) under or in connection with any Transaction Document, any Information Package, Interim Information Package or any other information or report delivered by or on behalf of the Master Servicer, which shall have been false, incorrect or misleading in any material respect when made or deemed made or delivered, as the case may be, or (iv) the failure of the Master Servicer to comply with any applicable law, rule or regulation with respect to any Pool Receivable or the related Contract, or (v) the commingling of Collections of Pool Receivables at any time with other funds, or (vi) any claim brought by any Person (other than an Indemnified Party) arising from any activity by the Master Servicer or its subservicers in servicing, administering or collecting any Pool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information that was not made or delivered in writing, indemnification shall be available to an Indemnified Party hereunder only if such representation, warranty or information was reasonably relied upon by such Indemnified Party. Notwithstanding the foregoing, in no event shall any Indemnified Party be awarded any Indemnified Amounts (a) to the extent determined by a court of competent jurisdiction to have resulted from gross negligence or willful misconduct on the part of such Indemnified Party or (b) recourse for Defaulted Receivables. The Master Servicer further agrees to indemnify any agent (which is not otherwise an Indemnified Party) of any of BTMU, WFB, the Agents, the Purchasers, the Liquidity Banks, and the Liquidity Agents forthwith on demand, from and against any and all Indemnified Amounts awarded against or incurred by any of them arising out of or caused by the gross negligence or willful misconduct of the Master Servicer.</w:t>
      </w:r>
    </w:p>
    <w:p>
      <w:pPr>
        <w:spacing w:after="0" w:line="200" w:lineRule="exact"/>
        <w:rPr>
          <w:sz w:val="20"/>
          <w:szCs w:val="20"/>
          <w:color w:val="auto"/>
        </w:rPr>
      </w:pPr>
    </w:p>
    <w:p>
      <w:pPr>
        <w:spacing w:after="0" w:line="216"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auto"/>
        </w:rPr>
        <w:t xml:space="preserve">If for any reason the indemnification provided above in this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(and subject to the exceptions set forth therein) is unavailable to an Indemnified Party or is insufficient to hold an Indemnified Party harmless, then the Master Servicer shall contribute to the amount paid or payable by such Indemnified Party as a result of such loss, claim, damage or liability in such proportion as is appropriate to reflect not only the relative benefits received by such Indemnified Party on the one hand and the Master Servicer on the other hand but also the relative fault of such Indemnified Party as well as any other relevant equitable considerations.</w:t>
      </w:r>
    </w:p>
    <w:p>
      <w:pPr>
        <w:spacing w:after="0" w:line="19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XIV.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14.1</w:t>
      </w:r>
      <w:r>
        <w:rPr>
          <w:sz w:val="20"/>
          <w:szCs w:val="20"/>
          <w:color w:val="auto"/>
        </w:rPr>
        <w:tab/>
      </w:r>
      <w:r>
        <w:rPr>
          <w:rFonts w:ascii="Arial" w:cs="Arial" w:eastAsia="Arial" w:hAnsi="Arial"/>
          <w:sz w:val="19"/>
          <w:szCs w:val="19"/>
          <w:color w:val="auto"/>
        </w:rPr>
        <w:t>Amendments, Etc</w:t>
      </w:r>
      <w:r>
        <w:rPr>
          <w:rFonts w:ascii="Arial" w:cs="Arial" w:eastAsia="Arial" w:hAnsi="Arial"/>
          <w:sz w:val="19"/>
          <w:szCs w:val="19"/>
          <w:b w:val="1"/>
          <w:bCs w:val="1"/>
          <w:color w:val="auto"/>
        </w:rPr>
        <w:t>.</w:t>
      </w:r>
    </w:p>
    <w:p>
      <w:pPr>
        <w:spacing w:after="0" w:line="23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9"/>
          <w:szCs w:val="19"/>
          <w:color w:val="auto"/>
        </w:rPr>
        <w:t>No amendment or waiver of any provision of this Agreement nor consent to any departure by any Seller Party therefrom shall in any event be effective unless the same shall be in writing and signed by (a) each Seller Party, the Agents and the Investors party hereto (with respect to an amendment), or (b) the Agents and the Investors party hereto (with respect to a waiver or consent by them) or any Seller Party (with respect to a waiver or consent by it), as the case may be, and then such waiver or consent shall be effective only in the specific instance and for the specific purpose for which given. The parties acknowledge that, before entering into such an amendment or granting such a waiver or consent, any Purchaser may also be required to obtain the approval of some or all of the Liquidity Banks in such Purchaser’s Purchaser Group or to obtain confirmation from certain rating agencies that such amendment, waiver or consent will not result in a withdrawal or reduction of the ratings of the Commercial Paper Notes</w:t>
      </w:r>
    </w:p>
    <w:p>
      <w:pPr>
        <w:sectPr>
          <w:pgSz w:w="11900" w:h="16838" w:orient="portrait"/>
          <w:cols w:equalWidth="0" w:num="1">
            <w:col w:w="11420"/>
          </w:cols>
          <w:pgMar w:left="240" w:top="131" w:right="239" w:bottom="0" w:gutter="0" w:footer="0" w:header="0"/>
        </w:sectPr>
      </w:pPr>
    </w:p>
    <w:bookmarkStart w:id="79" w:name="page80"/>
    <w:bookmarkEnd w:id="79"/>
    <w:p>
      <w:pPr>
        <w:spacing w:after="0" w:line="176"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(to the extent that any Purchaser is required to obtain any confirmation from any rating agency, such confirmation shall be in writing with respect to any material amendment, modification, waiver or consent).</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14.2</w:t>
      </w:r>
      <w:r>
        <w:rPr>
          <w:sz w:val="20"/>
          <w:szCs w:val="20"/>
          <w:color w:val="auto"/>
        </w:rPr>
        <w:tab/>
      </w:r>
      <w:r>
        <w:rPr>
          <w:rFonts w:ascii="Arial" w:cs="Arial" w:eastAsia="Arial" w:hAnsi="Arial"/>
          <w:sz w:val="19"/>
          <w:szCs w:val="19"/>
          <w:color w:val="auto"/>
        </w:rPr>
        <w:t>Notices, Etc</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All notices and other communications provided for hereunder shall, unless otherwise stated herein, be in writing (including facsimile communication) and shall be personally delivered or sent by express mail or courier or by certified mail, postage prepaid, or by facsimile or e-mail, to the intended party at the address or facsimile number of such party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at such other address or facsimile number as shall be designated by such party in a written notice to the other parties hereto. All such notices and communications shall be effective, (a) if personally delivered or sent by express mail or courier or if sent by certified mail, when received, and (b) if transmitted by facsimile or e-mail, when sent, receipt confirmed by telephone or electronic means;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financial statements required to be delivered by </w:t>
      </w:r>
      <w:r>
        <w:rPr>
          <w:rFonts w:ascii="Arial" w:cs="Arial" w:eastAsia="Arial" w:hAnsi="Arial"/>
          <w:sz w:val="19"/>
          <w:szCs w:val="19"/>
          <w:u w:val="single" w:color="auto"/>
          <w:color w:val="auto"/>
        </w:rPr>
        <w:t>Sections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7.2(b)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7.2(d)</w:t>
      </w:r>
      <w:r>
        <w:rPr>
          <w:rFonts w:ascii="Arial" w:cs="Arial" w:eastAsia="Arial" w:hAnsi="Arial"/>
          <w:sz w:val="19"/>
          <w:szCs w:val="19"/>
          <w:color w:val="auto"/>
        </w:rPr>
        <w:t xml:space="preserve"> shall be deemed delivered on the date such financial statements are deposited in the United States mail with first class postage prepaid, addressed to the intended party at the address as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at such other address as shall be designated by such party in a written notice to the other parties hereto.</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14.3</w:t>
      </w:r>
      <w:r>
        <w:rPr>
          <w:sz w:val="20"/>
          <w:szCs w:val="20"/>
          <w:color w:val="auto"/>
        </w:rPr>
        <w:tab/>
      </w:r>
      <w:r>
        <w:rPr>
          <w:rFonts w:ascii="Arial" w:cs="Arial" w:eastAsia="Arial" w:hAnsi="Arial"/>
          <w:sz w:val="19"/>
          <w:szCs w:val="19"/>
          <w:color w:val="auto"/>
        </w:rPr>
        <w:t>No Waiver; Remedies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9"/>
          <w:szCs w:val="19"/>
          <w:color w:val="auto"/>
        </w:rPr>
        <w:t>No failure on the part of the Administrative Agent, any Affected Party, any Indemnified Party, any Purchaser or any other holder of the Asset Interest (or any portion thereof)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 xml:space="preserve">Without limiting the foregoing, BTMU, individually and as an Agent, WFB, individually and as an Agent, and the Liquidity Banks are each hereby authorized by Seller and Lennox (as Master Servicer and as an Originator) at any time and from time to time, to the fullest extent permitted by law, to set off and apply any and all deposits (general or special, time or demand, provisional or final) at any time held and other indebtedness at any time owing by BTMU, WFB or such Liquidity Bank to or for the credit or the account of the Seller or Lennox against any and all of the obligations of the Seller or Lennox, now or hereafter existing under this Agreement or any other Transaction Document, to any Agent, any Affected Party, any Indemnified Party or any Investor, or their respective successors and assigns. For avoidance of doubt, the right of setoff set forth in this </w:t>
      </w:r>
      <w:r>
        <w:rPr>
          <w:rFonts w:ascii="Arial" w:cs="Arial" w:eastAsia="Arial" w:hAnsi="Arial"/>
          <w:sz w:val="21"/>
          <w:szCs w:val="21"/>
          <w:u w:val="single" w:color="auto"/>
          <w:color w:val="auto"/>
        </w:rPr>
        <w:t>Section 14.3</w:t>
      </w:r>
      <w:r>
        <w:rPr>
          <w:rFonts w:ascii="Arial" w:cs="Arial" w:eastAsia="Arial" w:hAnsi="Arial"/>
          <w:sz w:val="21"/>
          <w:szCs w:val="21"/>
          <w:color w:val="auto"/>
        </w:rPr>
        <w:t xml:space="preserve"> does not permit setoff of deposits and indebtedness held or owing by one Person to or for the account of a second Person against amounts owing by any Person other than such second Person.</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14.4</w:t>
      </w:r>
      <w:r>
        <w:rPr>
          <w:sz w:val="20"/>
          <w:szCs w:val="20"/>
          <w:color w:val="auto"/>
        </w:rPr>
        <w:tab/>
      </w:r>
      <w:r>
        <w:rPr>
          <w:rFonts w:ascii="Arial" w:cs="Arial" w:eastAsia="Arial" w:hAnsi="Arial"/>
          <w:sz w:val="19"/>
          <w:szCs w:val="19"/>
          <w:color w:val="auto"/>
        </w:rPr>
        <w:t>Binding Effect; Survival</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This Agreement shall be binding upon and inure to the benefit of each Seller Party, the Agents, the Investors and their respective successors and assigns, and the provisions of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inure to the benefit of the Affected Parties and the Indemnified Parties, respectively,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nothing in the foregoing shall be deemed to authorize any assignment not permitted by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This Agreement shall create and constitute the continuing obligations of the parties hereto in accordance with its terms, and shall remain in full force and effect until the Final Payout Date. The rights and remedies with respect to any breach of any representation and warranty made by the Seller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the indemnification and payment provisions of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4.2</w:t>
      </w:r>
      <w:r>
        <w:rPr>
          <w:rFonts w:ascii="Arial" w:cs="Arial" w:eastAsia="Arial" w:hAnsi="Arial"/>
          <w:sz w:val="19"/>
          <w:szCs w:val="19"/>
          <w:color w:val="auto"/>
        </w:rPr>
        <w:t xml:space="preserve">, </w:t>
      </w:r>
      <w:r>
        <w:rPr>
          <w:rFonts w:ascii="Arial" w:cs="Arial" w:eastAsia="Arial" w:hAnsi="Arial"/>
          <w:sz w:val="19"/>
          <w:szCs w:val="19"/>
          <w:u w:val="single" w:color="auto"/>
          <w:color w:val="auto"/>
        </w:rPr>
        <w:t>14.5</w:t>
      </w:r>
      <w:r>
        <w:rPr>
          <w:rFonts w:ascii="Arial" w:cs="Arial" w:eastAsia="Arial" w:hAnsi="Arial"/>
          <w:sz w:val="19"/>
          <w:szCs w:val="19"/>
          <w:color w:val="auto"/>
        </w:rPr>
        <w:t xml:space="preserve">, </w:t>
      </w:r>
      <w:r>
        <w:rPr>
          <w:rFonts w:ascii="Arial" w:cs="Arial" w:eastAsia="Arial" w:hAnsi="Arial"/>
          <w:sz w:val="19"/>
          <w:szCs w:val="19"/>
          <w:u w:val="single" w:color="auto"/>
          <w:color w:val="auto"/>
        </w:rPr>
        <w:t>14.6</w:t>
      </w:r>
      <w:r>
        <w:rPr>
          <w:rFonts w:ascii="Arial" w:cs="Arial" w:eastAsia="Arial" w:hAnsi="Arial"/>
          <w:sz w:val="19"/>
          <w:szCs w:val="19"/>
          <w:color w:val="auto"/>
        </w:rPr>
        <w:t xml:space="preserve">, </w:t>
      </w:r>
      <w:r>
        <w:rPr>
          <w:rFonts w:ascii="Arial" w:cs="Arial" w:eastAsia="Arial" w:hAnsi="Arial"/>
          <w:sz w:val="19"/>
          <w:szCs w:val="19"/>
          <w:u w:val="single" w:color="auto"/>
          <w:color w:val="auto"/>
        </w:rPr>
        <w:t>14.7 14.11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14.12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14.14</w:t>
      </w:r>
      <w:r>
        <w:rPr>
          <w:rFonts w:ascii="Arial" w:cs="Arial" w:eastAsia="Arial" w:hAnsi="Arial"/>
          <w:sz w:val="19"/>
          <w:szCs w:val="19"/>
          <w:color w:val="auto"/>
        </w:rPr>
        <w:t xml:space="preserve"> shall be continuing and shall survive any termination of this Agreement.</w:t>
      </w:r>
    </w:p>
    <w:p>
      <w:pPr>
        <w:spacing w:after="0" w:line="15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14.5</w:t>
      </w:r>
      <w:r>
        <w:rPr>
          <w:sz w:val="20"/>
          <w:szCs w:val="20"/>
          <w:color w:val="auto"/>
        </w:rPr>
        <w:tab/>
      </w:r>
      <w:r>
        <w:rPr>
          <w:rFonts w:ascii="Arial" w:cs="Arial" w:eastAsia="Arial" w:hAnsi="Arial"/>
          <w:sz w:val="18"/>
          <w:szCs w:val="18"/>
          <w:color w:val="auto"/>
        </w:rPr>
        <w:t>Costs, Expenses and Taxes</w:t>
      </w:r>
      <w:r>
        <w:rPr>
          <w:rFonts w:ascii="Arial" w:cs="Arial" w:eastAsia="Arial" w:hAnsi="Arial"/>
          <w:sz w:val="18"/>
          <w:szCs w:val="18"/>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 addition to its obligations under </w:t>
      </w:r>
      <w:r>
        <w:rPr>
          <w:rFonts w:ascii="Arial" w:cs="Arial" w:eastAsia="Arial" w:hAnsi="Arial"/>
          <w:sz w:val="22"/>
          <w:szCs w:val="22"/>
          <w:u w:val="single" w:color="auto"/>
          <w:color w:val="auto"/>
        </w:rPr>
        <w:t>Article XIII</w:t>
      </w:r>
      <w:r>
        <w:rPr>
          <w:rFonts w:ascii="Arial" w:cs="Arial" w:eastAsia="Arial" w:hAnsi="Arial"/>
          <w:sz w:val="22"/>
          <w:szCs w:val="22"/>
          <w:color w:val="auto"/>
        </w:rPr>
        <w:t>, the Seller Parties jointly and severally agree to pay on demand:</w:t>
      </w:r>
    </w:p>
    <w:p>
      <w:pPr>
        <w:spacing w:after="0" w:line="220" w:lineRule="exact"/>
        <w:rPr>
          <w:sz w:val="20"/>
          <w:szCs w:val="20"/>
          <w:color w:val="auto"/>
        </w:rPr>
      </w:pPr>
    </w:p>
    <w:p>
      <w:pPr>
        <w:ind w:right="580" w:firstLine="656"/>
        <w:spacing w:after="0" w:line="276" w:lineRule="auto"/>
        <w:tabs>
          <w:tab w:leader="none" w:pos="1068"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costs and expenses incurred by the Agents, any Liquidity Bank, any Investor and their respective Affiliates in connection with:</w:t>
      </w:r>
    </w:p>
    <w:p>
      <w:pPr>
        <w:spacing w:after="0" w:line="160" w:lineRule="exact"/>
        <w:rPr>
          <w:rFonts w:ascii="Arial" w:cs="Arial" w:eastAsia="Arial" w:hAnsi="Arial"/>
          <w:sz w:val="22"/>
          <w:szCs w:val="22"/>
          <w:color w:val="auto"/>
        </w:rPr>
      </w:pPr>
    </w:p>
    <w:p>
      <w:pPr>
        <w:ind w:left="660" w:right="20" w:firstLine="645"/>
        <w:spacing w:after="0" w:line="262" w:lineRule="auto"/>
        <w:tabs>
          <w:tab w:leader="none" w:pos="1692"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negotiation, preparation, execution and delivery of this Agreement, the other Transaction Documents or a Liquidity Agreement, any amendment of or consent or waiver under any of the Transaction Documents which is requested or proposed by any Seller Party (whether or not consummated), or the enforcement by any of the foregoing Persons of, or any actual or claimed breach of, this Agreement or any of the other Transaction Documents, including, without limitation, the reasonable fees and expenses of counsel to any of such Persons incurred in connection with any of the foregoing or in advising such Persons as to their respective rights and remedies under any of the Transaction Documents in connection with any of the foregoing, and</w:t>
      </w:r>
    </w:p>
    <w:p>
      <w:pPr>
        <w:spacing w:after="0" w:line="180" w:lineRule="exact"/>
        <w:rPr>
          <w:rFonts w:ascii="Arial" w:cs="Arial" w:eastAsia="Arial" w:hAnsi="Arial"/>
          <w:sz w:val="21"/>
          <w:szCs w:val="21"/>
          <w:color w:val="auto"/>
        </w:rPr>
      </w:pPr>
    </w:p>
    <w:p>
      <w:pPr>
        <w:ind w:left="660" w:firstLine="645"/>
        <w:spacing w:after="0" w:line="290" w:lineRule="auto"/>
        <w:tabs>
          <w:tab w:leader="none" w:pos="1752"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the administration (including periodic auditing as provided for herein) of this Agreement and the other Transaction Documents, including, without limitation, all reasonable out-of-pocket expenses (including reasonable fees and expenses of independent accountants), incurred in connection with any review of any Seller Party’s books and records either prior to the execution and delivery hereof or pursuant to </w:t>
      </w:r>
      <w:r>
        <w:rPr>
          <w:rFonts w:ascii="Arial" w:cs="Arial" w:eastAsia="Arial" w:hAnsi="Arial"/>
          <w:sz w:val="19"/>
          <w:szCs w:val="19"/>
          <w:u w:val="single" w:color="auto"/>
          <w:color w:val="auto"/>
        </w:rPr>
        <w:t>Section 7.1(c)</w:t>
      </w:r>
      <w:r>
        <w:rPr>
          <w:rFonts w:ascii="Arial" w:cs="Arial" w:eastAsia="Arial" w:hAnsi="Arial"/>
          <w:sz w:val="19"/>
          <w:szCs w:val="19"/>
          <w:color w:val="auto"/>
        </w:rPr>
        <w:t>, subject to the limitations set forth in such</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right="340" w:firstLine="656"/>
        <w:spacing w:after="0" w:line="358" w:lineRule="auto"/>
        <w:tabs>
          <w:tab w:leader="none" w:pos="10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stamp and other taxes and fees payable or determined to be payable in connection with the execution, delivery, filing and recording of this Agreement or the other Transaction Documents (and the Seller Parties, jointly and severally agree to</w:t>
      </w:r>
    </w:p>
    <w:p>
      <w:pPr>
        <w:sectPr>
          <w:pgSz w:w="11900" w:h="17015" w:orient="portrait"/>
          <w:cols w:equalWidth="0" w:num="1">
            <w:col w:w="11400"/>
          </w:cols>
          <w:pgMar w:left="240" w:top="132" w:right="259" w:bottom="0" w:gutter="0" w:footer="0" w:header="0"/>
        </w:sectPr>
      </w:pPr>
    </w:p>
    <w:bookmarkStart w:id="80" w:name="page81"/>
    <w:bookmarkEnd w:id="80"/>
    <w:p>
      <w:pPr>
        <w:spacing w:after="0" w:line="1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indemnify each Indemnified Party against any liabilities with respect to or resulting from any delay in paying or omission to pay such taxes and fees) (“</w:t>
      </w:r>
      <w:r>
        <w:rPr>
          <w:rFonts w:ascii="Arial" w:cs="Arial" w:eastAsia="Arial" w:hAnsi="Arial"/>
          <w:sz w:val="22"/>
          <w:szCs w:val="22"/>
          <w:i w:val="1"/>
          <w:iCs w:val="1"/>
          <w:u w:val="single" w:color="auto"/>
          <w:color w:val="auto"/>
        </w:rPr>
        <w:t>Other Taxes</w:t>
      </w:r>
      <w:r>
        <w:rPr>
          <w:rFonts w:ascii="Arial" w:cs="Arial" w:eastAsia="Arial" w:hAnsi="Arial"/>
          <w:sz w:val="22"/>
          <w:szCs w:val="22"/>
          <w:color w:val="auto"/>
        </w:rPr>
        <w:t>”); and</w:t>
      </w:r>
    </w:p>
    <w:p>
      <w:pPr>
        <w:spacing w:after="0" w:line="175" w:lineRule="exact"/>
        <w:rPr>
          <w:sz w:val="20"/>
          <w:szCs w:val="20"/>
          <w:color w:val="auto"/>
        </w:rPr>
      </w:pPr>
    </w:p>
    <w:p>
      <w:pPr>
        <w:ind w:right="120" w:firstLine="656"/>
        <w:spacing w:after="0" w:line="260" w:lineRule="auto"/>
        <w:tabs>
          <w:tab w:leader="none" w:pos="1068"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losses, costs and expenses incurred by the Investors or the Agents in connection with or as a result of any failure to make a timely payment or deposit, including, without limitation, by reason of any mechanical delay in or malfunction of the Fedwire system or due to an error on the part of the initiating or receiving bank.</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14.6</w:t>
      </w:r>
      <w:r>
        <w:rPr>
          <w:sz w:val="20"/>
          <w:szCs w:val="20"/>
          <w:color w:val="auto"/>
        </w:rPr>
        <w:tab/>
      </w:r>
      <w:r>
        <w:rPr>
          <w:rFonts w:ascii="Arial" w:cs="Arial" w:eastAsia="Arial" w:hAnsi="Arial"/>
          <w:sz w:val="19"/>
          <w:szCs w:val="19"/>
          <w:color w:val="auto"/>
        </w:rPr>
        <w:t>No Proceedings</w:t>
      </w:r>
      <w:r>
        <w:rPr>
          <w:rFonts w:ascii="Arial" w:cs="Arial" w:eastAsia="Arial" w:hAnsi="Arial"/>
          <w:sz w:val="19"/>
          <w:szCs w:val="19"/>
          <w:b w:val="1"/>
          <w:bCs w:val="1"/>
          <w:color w:val="auto"/>
        </w:rPr>
        <w:t>.</w:t>
      </w:r>
    </w:p>
    <w:p>
      <w:pPr>
        <w:spacing w:after="0" w:line="239"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The Master Servicer hereby agrees that it will not institute against the Seller, or join any Person in instituting against the Seller, and each Seller Party, the Master Servicer, BTMU (individually, as Administrative Agent and as BTMU Purchaser Agent), WFB (individually and as WFB Purchaser Agent), each Liquidity Bank and each Purchaser, as to each other Purchaser, hereby agrees that it will not institute against any Purchaser, or join any other Person in instituting against any Purchaser, any insolvency proceeding (namely, any proceeding of the type referred to in the definition of Event of Bankruptcy) so long as any Commercial Paper Notes issued by such Purchaser shall be outstanding or there shall not have elapsed one year plus one day since the last day on which any such Commercial Paper Notes shall have been outstanding.</w:t>
      </w:r>
    </w:p>
    <w:p>
      <w:pPr>
        <w:spacing w:after="0" w:line="14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14.7</w:t>
      </w:r>
      <w:r>
        <w:rPr>
          <w:sz w:val="20"/>
          <w:szCs w:val="20"/>
          <w:color w:val="auto"/>
        </w:rPr>
        <w:tab/>
      </w:r>
      <w:r>
        <w:rPr>
          <w:rFonts w:ascii="Arial" w:cs="Arial" w:eastAsia="Arial" w:hAnsi="Arial"/>
          <w:sz w:val="19"/>
          <w:szCs w:val="19"/>
          <w:color w:val="auto"/>
        </w:rPr>
        <w:t>Confidentiality of Seller Information</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307" w:lineRule="auto"/>
        <w:tabs>
          <w:tab w:leader="none" w:pos="106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Confidential Seller Information</w:t>
      </w:r>
      <w:r>
        <w:rPr>
          <w:rFonts w:ascii="Arial" w:cs="Arial" w:eastAsia="Arial" w:hAnsi="Arial"/>
          <w:sz w:val="19"/>
          <w:szCs w:val="19"/>
          <w:color w:val="auto"/>
        </w:rPr>
        <w:t xml:space="preserve">. Each party hereto (other than Seller Parties) acknowledges that certain of the information provided to such party by or on behalf of the Seller Parties in connection with this Agreement and the transactions contemplated hereby is or may be confidential, and each such party severally agrees that, unless the Master Servicer shall otherwise agree in writing, and except as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such party will not disclose to any other person or entity:</w:t>
      </w:r>
    </w:p>
    <w:p>
      <w:pPr>
        <w:spacing w:after="0" w:line="138" w:lineRule="exact"/>
        <w:rPr>
          <w:rFonts w:ascii="Arial" w:cs="Arial" w:eastAsia="Arial" w:hAnsi="Arial"/>
          <w:sz w:val="19"/>
          <w:szCs w:val="19"/>
          <w:color w:val="auto"/>
        </w:rPr>
      </w:pPr>
    </w:p>
    <w:p>
      <w:pPr>
        <w:ind w:left="660" w:right="120" w:firstLine="645"/>
        <w:spacing w:after="0" w:line="270" w:lineRule="auto"/>
        <w:tabs>
          <w:tab w:leader="none" w:pos="1692"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any information regarding, or copies of, any nonpublic financial statements, reports, schedules and other information furnished by any Seller Party to any Investor or any Agent (A) prior to the date hereof in connection with such party’s due diligence relating to the Seller Parties and the transactions contemplated hereby, or (B) pursuant to this Agreement, including without limitation,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5.1</w:t>
      </w:r>
      <w:r>
        <w:rPr>
          <w:rFonts w:ascii="Arial" w:cs="Arial" w:eastAsia="Arial" w:hAnsi="Arial"/>
          <w:sz w:val="21"/>
          <w:szCs w:val="21"/>
          <w:color w:val="auto"/>
        </w:rPr>
        <w:t xml:space="preserve">, </w:t>
      </w:r>
      <w:r>
        <w:rPr>
          <w:rFonts w:ascii="Arial" w:cs="Arial" w:eastAsia="Arial" w:hAnsi="Arial"/>
          <w:sz w:val="21"/>
          <w:szCs w:val="21"/>
          <w:u w:val="single" w:color="auto"/>
          <w:color w:val="auto"/>
        </w:rPr>
        <w:t>6.1(i)</w:t>
      </w:r>
      <w:r>
        <w:rPr>
          <w:rFonts w:ascii="Arial" w:cs="Arial" w:eastAsia="Arial" w:hAnsi="Arial"/>
          <w:sz w:val="21"/>
          <w:szCs w:val="21"/>
          <w:color w:val="auto"/>
        </w:rPr>
        <w:t xml:space="preserve">, </w:t>
      </w:r>
      <w:r>
        <w:rPr>
          <w:rFonts w:ascii="Arial" w:cs="Arial" w:eastAsia="Arial" w:hAnsi="Arial"/>
          <w:sz w:val="21"/>
          <w:szCs w:val="21"/>
          <w:u w:val="single" w:color="auto"/>
          <w:color w:val="auto"/>
        </w:rPr>
        <w:t>7.1(c)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7.2</w:t>
      </w:r>
      <w:r>
        <w:rPr>
          <w:rFonts w:ascii="Arial" w:cs="Arial" w:eastAsia="Arial" w:hAnsi="Arial"/>
          <w:sz w:val="21"/>
          <w:szCs w:val="21"/>
          <w:color w:val="auto"/>
        </w:rPr>
        <w:t>, or</w:t>
      </w:r>
    </w:p>
    <w:p>
      <w:pPr>
        <w:spacing w:after="0" w:line="169" w:lineRule="exact"/>
        <w:rPr>
          <w:rFonts w:ascii="Arial" w:cs="Arial" w:eastAsia="Arial" w:hAnsi="Arial"/>
          <w:sz w:val="21"/>
          <w:szCs w:val="21"/>
          <w:color w:val="auto"/>
        </w:rPr>
      </w:pPr>
    </w:p>
    <w:p>
      <w:pPr>
        <w:ind w:left="660" w:right="600" w:firstLine="645"/>
        <w:spacing w:after="0" w:line="276" w:lineRule="auto"/>
        <w:tabs>
          <w:tab w:leader="none" w:pos="1752" w:val="left"/>
        </w:tabs>
        <w:numPr>
          <w:ilvl w:val="1"/>
          <w:numId w:val="93"/>
        </w:numPr>
        <w:rPr>
          <w:rFonts w:ascii="Arial" w:cs="Arial" w:eastAsia="Arial" w:hAnsi="Arial"/>
          <w:sz w:val="22"/>
          <w:szCs w:val="22"/>
          <w:color w:val="auto"/>
        </w:rPr>
      </w:pPr>
      <w:r>
        <w:rPr>
          <w:rFonts w:ascii="Arial" w:cs="Arial" w:eastAsia="Arial" w:hAnsi="Arial"/>
          <w:sz w:val="22"/>
          <w:szCs w:val="22"/>
          <w:color w:val="auto"/>
        </w:rPr>
        <w:t>any other information regarding any Seller Party which is designated by any Seller Party to such party in writing as confidential</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color w:val="auto"/>
        </w:rPr>
        <w:t xml:space="preserve">(the information referred to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whether furnished by any Seller Party or any attorney for or other representative thereof (each a “</w:t>
      </w:r>
      <w:r>
        <w:rPr>
          <w:rFonts w:ascii="Arial" w:cs="Arial" w:eastAsia="Arial" w:hAnsi="Arial"/>
          <w:sz w:val="21"/>
          <w:szCs w:val="21"/>
          <w:i w:val="1"/>
          <w:iCs w:val="1"/>
          <w:u w:val="single" w:color="auto"/>
          <w:color w:val="auto"/>
        </w:rPr>
        <w:t>Seller Information Provider</w:t>
      </w:r>
      <w:r>
        <w:rPr>
          <w:rFonts w:ascii="Arial" w:cs="Arial" w:eastAsia="Arial" w:hAnsi="Arial"/>
          <w:sz w:val="21"/>
          <w:szCs w:val="21"/>
          <w:color w:val="auto"/>
        </w:rPr>
        <w:t>”), is collectively referred to as the “</w:t>
      </w:r>
      <w:r>
        <w:rPr>
          <w:rFonts w:ascii="Arial" w:cs="Arial" w:eastAsia="Arial" w:hAnsi="Arial"/>
          <w:sz w:val="21"/>
          <w:szCs w:val="21"/>
          <w:i w:val="1"/>
          <w:iCs w:val="1"/>
          <w:u w:val="single" w:color="auto"/>
          <w:color w:val="auto"/>
        </w:rPr>
        <w:t>Seller Information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Seller Information shall not include any information which is or becomes generally available to the general public or to such party on a nonconfidential basis from a source other than any Seller Information Provider, or which was known to such party on a nonconfidential basis prior to its disclosure by any Seller Information Provider.</w:t>
      </w:r>
    </w:p>
    <w:p>
      <w:pPr>
        <w:spacing w:after="0" w:line="176"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subsection (a)</w:t>
      </w:r>
      <w:r>
        <w:rPr>
          <w:rFonts w:ascii="Arial" w:cs="Arial" w:eastAsia="Arial" w:hAnsi="Arial"/>
          <w:sz w:val="22"/>
          <w:szCs w:val="22"/>
          <w:color w:val="auto"/>
        </w:rPr>
        <w:t>, each party may disclose any Seller Information:</w:t>
      </w:r>
    </w:p>
    <w:p>
      <w:pPr>
        <w:spacing w:after="0" w:line="233" w:lineRule="exact"/>
        <w:rPr>
          <w:rFonts w:ascii="Arial" w:cs="Arial" w:eastAsia="Arial" w:hAnsi="Arial"/>
          <w:sz w:val="22"/>
          <w:szCs w:val="22"/>
          <w:color w:val="auto"/>
        </w:rPr>
      </w:pPr>
    </w:p>
    <w:p>
      <w:pPr>
        <w:jc w:val="both"/>
        <w:ind w:left="660" w:right="100" w:firstLine="645"/>
        <w:spacing w:after="0" w:line="307" w:lineRule="auto"/>
        <w:tabs>
          <w:tab w:leader="none" w:pos="1692"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to any of such party’s independent attorneys, consultants and auditors, and to any dealer or placement agent for such Purchaser’s Commercial Paper Notes, who (A) in the good faith belief of such party, have a need to know such Seller Information, and (B) are informed by such party of the confidential nature of the Seller Information and the terms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and has agreed, verbally or otherwise, to be bound by the provisions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right="60" w:firstLine="645"/>
        <w:spacing w:after="0" w:line="320" w:lineRule="auto"/>
        <w:tabs>
          <w:tab w:leader="none" w:pos="1752"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to any Liquidity Bank, any actual or potential assignees of, or participants in, any rights or obligations of any Purchaser, any Liquidity Bank or the Purchaser Agent of such Purchaser’s or Liquidity Bank’s Purchaser Group under or in connection with this Agreement who has agreed to be bound by the provisions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1800" w:hanging="495"/>
        <w:spacing w:after="0"/>
        <w:tabs>
          <w:tab w:leader="none" w:pos="1800" w:val="left"/>
        </w:tabs>
        <w:numPr>
          <w:ilvl w:val="1"/>
          <w:numId w:val="94"/>
        </w:numPr>
        <w:rPr>
          <w:rFonts w:ascii="Arial" w:cs="Arial" w:eastAsia="Arial" w:hAnsi="Arial"/>
          <w:sz w:val="22"/>
          <w:szCs w:val="22"/>
          <w:color w:val="auto"/>
        </w:rPr>
      </w:pPr>
      <w:r>
        <w:rPr>
          <w:rFonts w:ascii="Arial" w:cs="Arial" w:eastAsia="Arial" w:hAnsi="Arial"/>
          <w:sz w:val="22"/>
          <w:szCs w:val="22"/>
          <w:color w:val="auto"/>
        </w:rPr>
        <w:t>to any rating agency,</w:t>
      </w:r>
    </w:p>
    <w:p>
      <w:pPr>
        <w:spacing w:after="0" w:line="233" w:lineRule="exact"/>
        <w:rPr>
          <w:rFonts w:ascii="Arial" w:cs="Arial" w:eastAsia="Arial" w:hAnsi="Arial"/>
          <w:sz w:val="22"/>
          <w:szCs w:val="22"/>
          <w:color w:val="auto"/>
        </w:rPr>
      </w:pPr>
    </w:p>
    <w:p>
      <w:pPr>
        <w:ind w:left="660" w:right="200" w:firstLine="645"/>
        <w:spacing w:after="0" w:line="276" w:lineRule="auto"/>
        <w:tabs>
          <w:tab w:leader="none" w:pos="1800" w:val="left"/>
        </w:tabs>
        <w:numPr>
          <w:ilvl w:val="1"/>
          <w:numId w:val="94"/>
        </w:numPr>
        <w:rPr>
          <w:rFonts w:ascii="Arial" w:cs="Arial" w:eastAsia="Arial" w:hAnsi="Arial"/>
          <w:sz w:val="22"/>
          <w:szCs w:val="22"/>
          <w:color w:val="auto"/>
        </w:rPr>
      </w:pPr>
      <w:r>
        <w:rPr>
          <w:rFonts w:ascii="Arial" w:cs="Arial" w:eastAsia="Arial" w:hAnsi="Arial"/>
          <w:sz w:val="22"/>
          <w:szCs w:val="22"/>
          <w:color w:val="auto"/>
        </w:rPr>
        <w:t>to any other party to this Agreement (and any independent attorneys, consultants and auditors of such party), for the purposes contemplated hereby,</w:t>
      </w:r>
    </w:p>
    <w:p>
      <w:pPr>
        <w:spacing w:after="0" w:line="160" w:lineRule="exact"/>
        <w:rPr>
          <w:rFonts w:ascii="Arial" w:cs="Arial" w:eastAsia="Arial" w:hAnsi="Arial"/>
          <w:sz w:val="22"/>
          <w:szCs w:val="22"/>
          <w:color w:val="auto"/>
        </w:rPr>
      </w:pPr>
    </w:p>
    <w:p>
      <w:pPr>
        <w:ind w:left="660" w:right="340" w:firstLine="645"/>
        <w:spacing w:after="0" w:line="260" w:lineRule="auto"/>
        <w:tabs>
          <w:tab w:leader="none" w:pos="17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as may be required by any municipal, state, federal or other regulatory body having or claiming to have jurisdiction over such party, in order to comply with any law, order, regulation, regulatory request or ruling applicable to such party,</w:t>
      </w:r>
    </w:p>
    <w:p>
      <w:pPr>
        <w:spacing w:after="0" w:line="177" w:lineRule="exact"/>
        <w:rPr>
          <w:rFonts w:ascii="Arial" w:cs="Arial" w:eastAsia="Arial" w:hAnsi="Arial"/>
          <w:sz w:val="22"/>
          <w:szCs w:val="22"/>
          <w:color w:val="auto"/>
        </w:rPr>
      </w:pPr>
    </w:p>
    <w:p>
      <w:pPr>
        <w:ind w:left="660" w:right="560" w:firstLine="645"/>
        <w:spacing w:after="0" w:line="358" w:lineRule="auto"/>
        <w:tabs>
          <w:tab w:leader="none" w:pos="18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subsection (c)</w:t>
      </w:r>
      <w:r>
        <w:rPr>
          <w:rFonts w:ascii="Arial" w:cs="Arial" w:eastAsia="Arial" w:hAnsi="Arial"/>
          <w:sz w:val="19"/>
          <w:szCs w:val="19"/>
          <w:color w:val="auto"/>
        </w:rPr>
        <w:t>, in the event such party is legally compelled (by interrogatories, requests for information or copies, subpoena, civil investigative demand or similar process) to disclose such Seller Information, or</w:t>
      </w:r>
    </w:p>
    <w:p>
      <w:pPr>
        <w:spacing w:after="0" w:line="90" w:lineRule="exact"/>
        <w:rPr>
          <w:rFonts w:ascii="Arial" w:cs="Arial" w:eastAsia="Arial" w:hAnsi="Arial"/>
          <w:sz w:val="19"/>
          <w:szCs w:val="19"/>
          <w:color w:val="auto"/>
        </w:rPr>
      </w:pPr>
    </w:p>
    <w:p>
      <w:pPr>
        <w:ind w:left="1860" w:hanging="555"/>
        <w:spacing w:after="0"/>
        <w:tabs>
          <w:tab w:leader="none" w:pos="1860"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connection with the enforcement of this Agreement or any other Transaction Document.</w:t>
      </w:r>
    </w:p>
    <w:p>
      <w:pPr>
        <w:spacing w:after="0" w:line="233"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In addition, each Purchaser and each Agent may disclose on a “no name” basis to any actual or potential investor in or credit enhancer for such Purchaser’s Commercial Paper Notes information regarding the nature of this Agreement, the basic terms hereof (including without limitation the amount and nature of such Purchaser’s commitment and Invested Amount with respect to the</w:t>
      </w:r>
    </w:p>
    <w:p>
      <w:pPr>
        <w:sectPr>
          <w:pgSz w:w="11900" w:h="16850" w:orient="portrait"/>
          <w:cols w:equalWidth="0" w:num="1">
            <w:col w:w="11400"/>
          </w:cols>
          <w:pgMar w:left="240" w:top="132" w:right="259" w:bottom="0" w:gutter="0" w:footer="0" w:header="0"/>
        </w:sectPr>
      </w:pPr>
    </w:p>
    <w:bookmarkStart w:id="81" w:name="page82"/>
    <w:bookmarkEnd w:id="81"/>
    <w:p>
      <w:pPr>
        <w:spacing w:after="0" w:line="14" w:lineRule="exact"/>
        <w:rPr>
          <w:sz w:val="20"/>
          <w:szCs w:val="20"/>
          <w:color w:val="auto"/>
        </w:rPr>
      </w:pPr>
    </w:p>
    <w:p>
      <w:pPr>
        <w:ind w:right="460"/>
        <w:spacing w:after="0" w:line="253" w:lineRule="auto"/>
        <w:rPr>
          <w:sz w:val="20"/>
          <w:szCs w:val="20"/>
          <w:color w:val="auto"/>
        </w:rPr>
      </w:pPr>
      <w:r>
        <w:rPr>
          <w:rFonts w:ascii="Arial" w:cs="Arial" w:eastAsia="Arial" w:hAnsi="Arial"/>
          <w:sz w:val="22"/>
          <w:szCs w:val="22"/>
          <w:color w:val="auto"/>
        </w:rPr>
        <w:t>Asset Interest funded by such Purchaser Group and any other credit enhancement provided by any Seller Party hereunder), the nature, amount and status of the Pool Receivables, and the current and/or historical ratios of losses to liquidations and/or outstandings with respect to the Receivables Pool.</w:t>
      </w:r>
    </w:p>
    <w:p>
      <w:pPr>
        <w:spacing w:after="0" w:line="186" w:lineRule="exact"/>
        <w:rPr>
          <w:sz w:val="20"/>
          <w:szCs w:val="20"/>
          <w:color w:val="auto"/>
        </w:rPr>
      </w:pPr>
    </w:p>
    <w:p>
      <w:pPr>
        <w:ind w:right="280" w:firstLine="656"/>
        <w:spacing w:after="0" w:line="320" w:lineRule="auto"/>
        <w:tabs>
          <w:tab w:leader="none" w:pos="106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Legal Compulsion</w:t>
      </w:r>
      <w:r>
        <w:rPr>
          <w:rFonts w:ascii="Arial" w:cs="Arial" w:eastAsia="Arial" w:hAnsi="Arial"/>
          <w:sz w:val="19"/>
          <w:szCs w:val="19"/>
          <w:color w:val="auto"/>
        </w:rPr>
        <w:t>. In the event that any party hereto (other than any Seller Party) or any of its representatives is requested or becomes legally compelled (by interrogatories, requests for information or documents, subpoena, civil investigative demand or similar process) to disclose any of the Seller Information, such party will (or will cause its representative to):</w:t>
      </w:r>
    </w:p>
    <w:p>
      <w:pPr>
        <w:spacing w:after="0" w:line="125" w:lineRule="exact"/>
        <w:rPr>
          <w:rFonts w:ascii="Arial" w:cs="Arial" w:eastAsia="Arial" w:hAnsi="Arial"/>
          <w:sz w:val="19"/>
          <w:szCs w:val="19"/>
          <w:color w:val="auto"/>
        </w:rPr>
      </w:pPr>
    </w:p>
    <w:p>
      <w:pPr>
        <w:ind w:left="660" w:right="280" w:firstLine="645"/>
        <w:spacing w:after="0" w:line="320" w:lineRule="auto"/>
        <w:tabs>
          <w:tab w:leader="none" w:pos="1692" w:val="left"/>
        </w:tabs>
        <w:numPr>
          <w:ilvl w:val="1"/>
          <w:numId w:val="95"/>
        </w:numPr>
        <w:rPr>
          <w:rFonts w:ascii="Arial" w:cs="Arial" w:eastAsia="Arial" w:hAnsi="Arial"/>
          <w:sz w:val="19"/>
          <w:szCs w:val="19"/>
          <w:color w:val="auto"/>
        </w:rPr>
      </w:pPr>
      <w:r>
        <w:rPr>
          <w:rFonts w:ascii="Arial" w:cs="Arial" w:eastAsia="Arial" w:hAnsi="Arial"/>
          <w:sz w:val="19"/>
          <w:szCs w:val="19"/>
          <w:color w:val="auto"/>
        </w:rPr>
        <w:t>provide the Master Servicer with prompt written notice so that (A) the Master Servicer may seek a protective order or other appropriate remedy, or (B) the Master Servicer may, if it so chooses, agree that such party (or its representatives) may disclose such Seller Information pursuant to such request or legal compulsion; and</w:t>
      </w:r>
    </w:p>
    <w:p>
      <w:pPr>
        <w:spacing w:after="0" w:line="125" w:lineRule="exact"/>
        <w:rPr>
          <w:rFonts w:ascii="Arial" w:cs="Arial" w:eastAsia="Arial" w:hAnsi="Arial"/>
          <w:sz w:val="19"/>
          <w:szCs w:val="19"/>
          <w:color w:val="auto"/>
        </w:rPr>
      </w:pPr>
    </w:p>
    <w:p>
      <w:pPr>
        <w:ind w:left="660" w:right="20" w:firstLine="645"/>
        <w:spacing w:after="0" w:line="260" w:lineRule="auto"/>
        <w:tabs>
          <w:tab w:leader="none" w:pos="1752" w:val="left"/>
        </w:tabs>
        <w:numPr>
          <w:ilvl w:val="1"/>
          <w:numId w:val="95"/>
        </w:numPr>
        <w:rPr>
          <w:rFonts w:ascii="Arial" w:cs="Arial" w:eastAsia="Arial" w:hAnsi="Arial"/>
          <w:sz w:val="22"/>
          <w:szCs w:val="22"/>
          <w:color w:val="auto"/>
        </w:rPr>
      </w:pPr>
      <w:r>
        <w:rPr>
          <w:rFonts w:ascii="Arial" w:cs="Arial" w:eastAsia="Arial" w:hAnsi="Arial"/>
          <w:sz w:val="22"/>
          <w:szCs w:val="22"/>
          <w:color w:val="auto"/>
        </w:rPr>
        <w:t xml:space="preserve">unless the Master Servicer agrees that such Seller Information may be disclosed, make a timely objection to the request or compulsion to provide such Seller Information on the basis that such Seller Information is confidential and subject to the agreements contained in this </w:t>
      </w:r>
      <w:r>
        <w:rPr>
          <w:rFonts w:ascii="Arial" w:cs="Arial" w:eastAsia="Arial" w:hAnsi="Arial"/>
          <w:sz w:val="22"/>
          <w:szCs w:val="22"/>
          <w:u w:val="single" w:color="auto"/>
          <w:color w:val="auto"/>
        </w:rPr>
        <w:t>Section 14.7</w:t>
      </w:r>
      <w:r>
        <w:rPr>
          <w:rFonts w:ascii="Arial" w:cs="Arial" w:eastAsia="Arial" w:hAnsi="Arial"/>
          <w:sz w:val="22"/>
          <w:szCs w:val="22"/>
          <w:color w:val="auto"/>
        </w:rPr>
        <w:t>.</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In the event such protective order or remedy is not obtained, or the Master Servicer agrees that such Seller Information may be disclosed, such party will furnish only that portion of the Seller Information which (in such party’s good faith judgment) is legally required to be furnished and will exercise reasonable efforts to obtain reliable assurance that confidential treatment will be afforded the Seller Information.</w:t>
      </w:r>
    </w:p>
    <w:p>
      <w:pPr>
        <w:spacing w:after="0" w:line="188" w:lineRule="exact"/>
        <w:rPr>
          <w:sz w:val="20"/>
          <w:szCs w:val="20"/>
          <w:color w:val="auto"/>
        </w:rPr>
      </w:pPr>
    </w:p>
    <w:p>
      <w:pPr>
        <w:ind w:firstLine="656"/>
        <w:spacing w:after="0" w:line="250"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and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14.7</w:t>
      </w:r>
      <w:r>
        <w:rPr>
          <w:rFonts w:ascii="Arial" w:cs="Arial" w:eastAsia="Arial" w:hAnsi="Arial"/>
          <w:sz w:val="22"/>
          <w:szCs w:val="22"/>
          <w:color w:val="auto"/>
        </w:rPr>
        <w:t xml:space="preserve"> shall survive termination of this Agreement.</w:t>
      </w:r>
    </w:p>
    <w:p>
      <w:pPr>
        <w:spacing w:after="0" w:line="2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14.8</w:t>
      </w:r>
      <w:r>
        <w:rPr>
          <w:sz w:val="20"/>
          <w:szCs w:val="20"/>
          <w:color w:val="auto"/>
        </w:rPr>
        <w:tab/>
      </w:r>
      <w:r>
        <w:rPr>
          <w:rFonts w:ascii="Arial" w:cs="Arial" w:eastAsia="Arial" w:hAnsi="Arial"/>
          <w:sz w:val="18"/>
          <w:szCs w:val="18"/>
          <w:color w:val="auto"/>
        </w:rPr>
        <w:t>Captions and Cross References</w:t>
      </w:r>
      <w:r>
        <w:rPr>
          <w:rFonts w:ascii="Arial" w:cs="Arial" w:eastAsia="Arial" w:hAnsi="Arial"/>
          <w:sz w:val="18"/>
          <w:szCs w:val="18"/>
          <w:b w:val="1"/>
          <w:bCs w:val="1"/>
          <w:color w:val="auto"/>
        </w:rPr>
        <w:t>.</w:t>
      </w:r>
    </w:p>
    <w:p>
      <w:pPr>
        <w:spacing w:after="0" w:line="23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The various captions (including, without limitation, the table of contents) in this Agreement are provided solely for convenience of reference and shall not affect the meaning or interpretation of any provision of this Agreement. Unless otherwise indicated, references in this Agreement to any Section, Appendix, Schedule or Exhibit are to such Section of or Appendix, Schedule or Exhibit to this Agreement, as the case may be, and references in any Section, subsection, or clause to any subsection, clause or subclause are to such subsection, clause or subclause of such Section, subsection or clause.</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14.9</w:t>
      </w:r>
      <w:r>
        <w:rPr>
          <w:sz w:val="20"/>
          <w:szCs w:val="20"/>
          <w:color w:val="auto"/>
        </w:rPr>
        <w:tab/>
      </w:r>
      <w:r>
        <w:rPr>
          <w:rFonts w:ascii="Arial" w:cs="Arial" w:eastAsia="Arial" w:hAnsi="Arial"/>
          <w:sz w:val="19"/>
          <w:szCs w:val="19"/>
          <w:color w:val="auto"/>
        </w:rPr>
        <w:t>Integration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60" w:firstLine="648"/>
        <w:spacing w:after="0" w:line="271" w:lineRule="auto"/>
        <w:rPr>
          <w:sz w:val="20"/>
          <w:szCs w:val="20"/>
          <w:color w:val="auto"/>
        </w:rPr>
      </w:pPr>
      <w:r>
        <w:rPr>
          <w:rFonts w:ascii="Arial" w:cs="Arial" w:eastAsia="Arial" w:hAnsi="Arial"/>
          <w:sz w:val="21"/>
          <w:szCs w:val="21"/>
          <w:color w:val="auto"/>
        </w:rPr>
        <w:t>This Agreement and the other Transaction Documents contain a final and complete integration of all prior expressions by the parties hereto with respect to the subject matter hereof and shall constitute the entire understanding among the parties hereto with respect to the subject matter hereof, superseding all prior oral or written understandings.</w:t>
      </w:r>
    </w:p>
    <w:p>
      <w:pPr>
        <w:spacing w:after="0" w:line="16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14.10</w:t>
      </w:r>
      <w:r>
        <w:rPr>
          <w:sz w:val="20"/>
          <w:szCs w:val="20"/>
          <w:color w:val="auto"/>
        </w:rPr>
        <w:tab/>
      </w:r>
      <w:r>
        <w:rPr>
          <w:rFonts w:ascii="Arial" w:cs="Arial" w:eastAsia="Arial" w:hAnsi="Arial"/>
          <w:sz w:val="19"/>
          <w:szCs w:val="19"/>
          <w:color w:val="auto"/>
        </w:rPr>
        <w:t>Governing Law</w:t>
      </w:r>
      <w:r>
        <w:rPr>
          <w:rFonts w:ascii="Arial" w:cs="Arial" w:eastAsia="Arial" w:hAnsi="Arial"/>
          <w:sz w:val="19"/>
          <w:szCs w:val="19"/>
          <w:b w:val="1"/>
          <w:bCs w:val="1"/>
          <w:color w:val="auto"/>
        </w:rPr>
        <w:t>.</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THIS AGREEMENT, INCLUDING THE RIGHTS AND DUTIES OF THE PARTIES HERETO, SHALL BE GOVERNED BY, AND CONSTRUED IN ACCORDANCE WITH, THE INTERNAL LAWS OF THE STATE OF NEW YORK WITHOUT REFERENCE TO PRINCIPLES OF CONFLICTS OF LAW (OTHER THAN SECTION 5-1401 OF THE NEW YORK GENERAL OBLIGATIONS LAW).</w:t>
      </w:r>
    </w:p>
    <w:p>
      <w:pPr>
        <w:spacing w:after="0" w:line="18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14.11</w:t>
      </w:r>
      <w:r>
        <w:rPr>
          <w:sz w:val="20"/>
          <w:szCs w:val="20"/>
          <w:color w:val="auto"/>
        </w:rPr>
        <w:tab/>
      </w:r>
      <w:r>
        <w:rPr>
          <w:rFonts w:ascii="Arial" w:cs="Arial" w:eastAsia="Arial" w:hAnsi="Arial"/>
          <w:sz w:val="19"/>
          <w:szCs w:val="19"/>
          <w:color w:val="auto"/>
        </w:rPr>
        <w:t>Waiver Of Jury Trial</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EACH PARTY HERETO HEREBY EXPRESSLY WAIVES ANY RIGHT TO A TRIAL BY JURY IN ANY ACTION OR PROCEEDING TO ENFORCE OR DEFEND ANY RIGHTS UNDER THIS AGREEMENT, ANY OTHER TRANSACTION DOCUMENT OR UNDER ANY AMENDMENT, INSTRUMENT OR DOCUMENT DELIVERED OR WHICH MAY IN THE FUTURE BE DELIVERED IN CONNECTION HEREWITH OR ARISING FROM ANY BANKING OR OTHER RELATIONSHIP EXISTING IN CONNECTION WITH THIS AGREEMENT OR ANY OTHER TRANSACTION DOCUMENT AND AGREES THAT ANY SUCH ACTION OR PROCEEDING SHALL NOT BE TRIED BEFORE A JURY.</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14.12</w:t>
      </w:r>
      <w:r>
        <w:rPr>
          <w:sz w:val="20"/>
          <w:szCs w:val="20"/>
          <w:color w:val="auto"/>
        </w:rPr>
        <w:tab/>
      </w:r>
      <w:r>
        <w:rPr>
          <w:rFonts w:ascii="Arial" w:cs="Arial" w:eastAsia="Arial" w:hAnsi="Arial"/>
          <w:sz w:val="19"/>
          <w:szCs w:val="19"/>
          <w:color w:val="auto"/>
        </w:rPr>
        <w:t>Consent To Jurisdiction; Waiver Of Immunities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PARTY HERETO HEREBY ACKNOWLEDGES AND AGREES THAT:</w:t>
      </w:r>
    </w:p>
    <w:p>
      <w:pPr>
        <w:spacing w:after="0" w:line="220" w:lineRule="exact"/>
        <w:rPr>
          <w:sz w:val="20"/>
          <w:szCs w:val="20"/>
          <w:color w:val="auto"/>
        </w:rPr>
      </w:pPr>
    </w:p>
    <w:p>
      <w:pPr>
        <w:ind w:right="420" w:firstLine="656"/>
        <w:spacing w:after="0" w:line="358" w:lineRule="auto"/>
        <w:tabs>
          <w:tab w:leader="none" w:pos="1068" w:val="left"/>
        </w:tabs>
        <w:numPr>
          <w:ilvl w:val="0"/>
          <w:numId w:val="97"/>
        </w:numPr>
        <w:rPr>
          <w:rFonts w:ascii="Arial" w:cs="Arial" w:eastAsia="Arial" w:hAnsi="Arial"/>
          <w:sz w:val="19"/>
          <w:szCs w:val="19"/>
          <w:color w:val="auto"/>
        </w:rPr>
      </w:pPr>
      <w:r>
        <w:rPr>
          <w:rFonts w:ascii="Arial" w:cs="Arial" w:eastAsia="Arial" w:hAnsi="Arial"/>
          <w:sz w:val="19"/>
          <w:szCs w:val="19"/>
          <w:color w:val="auto"/>
        </w:rPr>
        <w:t>IT IRREVOCABLY (i) SUBMITS TO THE JURISDICTION, FIRST, OF ANY UNITED STATES FEDERAL COURT, AND SECOND, IF FEDERAL JURISDICTION IS NOT AVAILABLE, OF ANY NEW YORK STATE COURT, AS</w:t>
      </w:r>
    </w:p>
    <w:p>
      <w:pPr>
        <w:sectPr>
          <w:pgSz w:w="11900" w:h="16852" w:orient="portrait"/>
          <w:cols w:equalWidth="0" w:num="1">
            <w:col w:w="11400"/>
          </w:cols>
          <w:pgMar w:left="240" w:top="132" w:right="259" w:bottom="0" w:gutter="0" w:footer="0" w:header="0"/>
        </w:sectPr>
      </w:pPr>
    </w:p>
    <w:bookmarkStart w:id="82" w:name="page83"/>
    <w:bookmarkEnd w:id="82"/>
    <w:p>
      <w:pPr>
        <w:ind w:right="140"/>
        <w:spacing w:after="0" w:line="297" w:lineRule="auto"/>
        <w:rPr>
          <w:sz w:val="20"/>
          <w:szCs w:val="20"/>
          <w:color w:val="auto"/>
        </w:rPr>
      </w:pPr>
      <w:r>
        <w:rPr>
          <w:rFonts w:ascii="Arial" w:cs="Arial" w:eastAsia="Arial" w:hAnsi="Arial"/>
          <w:sz w:val="19"/>
          <w:szCs w:val="19"/>
          <w:color w:val="auto"/>
        </w:rPr>
        <w:t>APPROPRIATE, IN EITHER CASE SITTING IN NEW YORK COUNTY, NEW YORK, IN ANY ACTION OR PROCEEDING ARISING OUT OF OR RELATING TO THIS AGREEMENT, (ii) AGREES THAT ALL CLAIMS IN RESPECT OF SUCH ACTION OR PROCEEDING MAY BE HEARD AND DETERMINED ONLY IN SUCH NEW YORK STATE OR FEDERAL COURT AND NOT IN ANY OTHER COURT, AND (iii) WAIVES, TO THE FULLEST EXTENT IT MAY EFFECTIVELY DO SO, THE DEFENSE OF AN INCONVENIENT FORUM TO THE MAINTENANCE OF SUCH ACTION OR PROCEEDING.</w:t>
      </w:r>
    </w:p>
    <w:p>
      <w:pPr>
        <w:spacing w:after="0" w:line="147" w:lineRule="exact"/>
        <w:rPr>
          <w:sz w:val="20"/>
          <w:szCs w:val="20"/>
          <w:color w:val="auto"/>
        </w:rPr>
      </w:pPr>
    </w:p>
    <w:p>
      <w:pPr>
        <w:ind w:right="80" w:firstLine="656"/>
        <w:spacing w:after="0" w:line="251" w:lineRule="auto"/>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18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14.13</w:t>
      </w:r>
      <w:r>
        <w:rPr>
          <w:sz w:val="20"/>
          <w:szCs w:val="20"/>
          <w:color w:val="auto"/>
        </w:rPr>
        <w:tab/>
      </w:r>
      <w:r>
        <w:rPr>
          <w:rFonts w:ascii="Arial" w:cs="Arial" w:eastAsia="Arial" w:hAnsi="Arial"/>
          <w:sz w:val="19"/>
          <w:szCs w:val="19"/>
          <w:color w:val="auto"/>
        </w:rPr>
        <w:t>Execution in Counterparts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This Agreement may be executed in any number of counterparts and by the different parties hereto in separate counterparts, each of which when so executed shall be deemed to be an original and all of which when taken together shall constitute one and the same Agreement. Delivery of an executed counterpart of a signature page to this Agreement by facsimile or by electronic mail in portable document format (.pdf) shall be as effective as delivery of a manually executed counterpart of a signature page of this Agreement.</w:t>
      </w:r>
    </w:p>
    <w:p>
      <w:pPr>
        <w:spacing w:after="0" w:line="18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14.14</w:t>
      </w:r>
      <w:r>
        <w:rPr>
          <w:sz w:val="20"/>
          <w:szCs w:val="20"/>
          <w:color w:val="auto"/>
        </w:rPr>
        <w:tab/>
      </w:r>
      <w:r>
        <w:rPr>
          <w:rFonts w:ascii="Arial" w:cs="Arial" w:eastAsia="Arial" w:hAnsi="Arial"/>
          <w:sz w:val="19"/>
          <w:szCs w:val="19"/>
          <w:color w:val="auto"/>
        </w:rPr>
        <w:t>No Recourse Against Other Parties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58" w:lineRule="exact"/>
        <w:rPr>
          <w:sz w:val="20"/>
          <w:szCs w:val="20"/>
          <w:color w:val="auto"/>
        </w:rPr>
      </w:pPr>
      <w:r>
        <w:rPr>
          <w:rFonts w:ascii="Arial" w:cs="Arial" w:eastAsia="Arial" w:hAnsi="Arial"/>
          <w:sz w:val="19"/>
          <w:szCs w:val="19"/>
          <w:color w:val="auto"/>
        </w:rPr>
        <w:t xml:space="preserve">The obligations of each Purchaser under this Agreement are solely the corporate obligations of such Purchaser. No recourse shall be had for the payment of any amount owing by any Purchaser under this Agreement or for the payment by such Purchaser of any fee in respect hereof or any other obligation or claim of or against such Purchaser arising out of or based upon this Agreement, against BTMU or against any employee, officer, director, incorporator or stockholder of such Purchaser. For purposes of this </w:t>
      </w:r>
      <w:r>
        <w:rPr>
          <w:rFonts w:ascii="Arial" w:cs="Arial" w:eastAsia="Arial" w:hAnsi="Arial"/>
          <w:sz w:val="19"/>
          <w:szCs w:val="19"/>
          <w:u w:val="single" w:color="auto"/>
          <w:color w:val="auto"/>
        </w:rPr>
        <w:t>Section 14.14</w:t>
      </w:r>
      <w:r>
        <w:rPr>
          <w:rFonts w:ascii="Arial" w:cs="Arial" w:eastAsia="Arial" w:hAnsi="Arial"/>
          <w:sz w:val="19"/>
          <w:szCs w:val="19"/>
          <w:color w:val="auto"/>
        </w:rPr>
        <w:t>, the term “BTMU” shall mean and include The Bank of Tokyo</w:t>
      </w:r>
      <w:r>
        <w:rPr>
          <w:rFonts w:ascii="MS PGothic" w:cs="MS PGothic" w:eastAsia="MS PGothic" w:hAnsi="MS PGothic"/>
          <w:sz w:val="19"/>
          <w:szCs w:val="19"/>
          <w:color w:val="auto"/>
        </w:rPr>
        <w:t>‑</w:t>
      </w:r>
      <w:r>
        <w:rPr>
          <w:rFonts w:ascii="Arial" w:cs="Arial" w:eastAsia="Arial" w:hAnsi="Arial"/>
          <w:sz w:val="19"/>
          <w:szCs w:val="19"/>
          <w:color w:val="auto"/>
        </w:rPr>
        <w:t xml:space="preserve">Mitsubishi UFJ, Ltd., and all affiliates thereof and any employee, officer, director, incorporator, stockholder or beneficial owner of any of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the purposes of this paragraph, no Purchaser shall be considered to be an affiliate of its respective Purchaser Agent. Each of the Seller, the Master Servicer and the Agents agree that each Purchaser shall be liable for any claims that such party may have against such Purchaser only to the extent such Purchaser has excess funds and to the extent such assets are insufficient to satisfy the obligations of such Purchaser hereunder, such Purchaser shall have no liability with respect to any amount of such obligations remaining unpaid and such unpaid amount shall not constitute a claim against such Purchaser. Any and all claims against any Purchaser or any Purchaser Agent shall be subordinate to the claims of the holders of Commercial Paper Notes and the related Liquidity Banks.</w:t>
      </w:r>
    </w:p>
    <w:p>
      <w:pPr>
        <w:spacing w:after="0" w:line="19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14.15</w:t>
      </w:r>
      <w:r>
        <w:rPr>
          <w:sz w:val="20"/>
          <w:szCs w:val="20"/>
          <w:color w:val="auto"/>
        </w:rPr>
        <w:tab/>
      </w:r>
      <w:r>
        <w:rPr>
          <w:rFonts w:ascii="Arial" w:cs="Arial" w:eastAsia="Arial" w:hAnsi="Arial"/>
          <w:sz w:val="19"/>
          <w:szCs w:val="19"/>
          <w:color w:val="auto"/>
        </w:rPr>
        <w:t>Severability of Provisions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color w:val="auto"/>
        </w:rPr>
        <w:t>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provisions in any other jurisdiction.</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14.16</w:t>
      </w:r>
      <w:r>
        <w:rPr>
          <w:sz w:val="20"/>
          <w:szCs w:val="20"/>
          <w:color w:val="auto"/>
        </w:rPr>
        <w:tab/>
      </w:r>
      <w:r>
        <w:rPr>
          <w:rFonts w:ascii="Arial" w:cs="Arial" w:eastAsia="Arial" w:hAnsi="Arial"/>
          <w:sz w:val="19"/>
          <w:szCs w:val="19"/>
          <w:color w:val="auto"/>
        </w:rPr>
        <w:t>Amendment and Restatement</w:t>
      </w:r>
      <w:r>
        <w:rPr>
          <w:rFonts w:ascii="Arial" w:cs="Arial" w:eastAsia="Arial" w:hAnsi="Arial"/>
          <w:sz w:val="19"/>
          <w:szCs w:val="19"/>
          <w:b w:val="1"/>
          <w:bCs w:val="1"/>
          <w:color w:val="auto"/>
        </w:rPr>
        <w:t>.</w:t>
      </w:r>
    </w:p>
    <w:p>
      <w:pPr>
        <w:spacing w:after="0" w:line="239"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This Agreement constitutes an amendment and restatement in its entirety of the Prior RPA. Each party hereto acknowledges that the amendment and restatement of the Prior RPA on the terms and conditions set forth herein shall not in any way affect any sales, transfers, assignments or security interest grants effected pursuant to the Prior RPA or any representations, warranties or covenants made by any Seller Party with respect to such sales, transfers, assignments or security interest grants, any indemnities made by any Seller Party, or any rights or remedies of the Administrative Agent or the Investors with respect thereto. Each Seller Party hereby confirms all sales, transfers, assignments and security interests effected pursuant to the Prior RPA.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officers thereunto duly authorized, as of the date first above written.</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LPAC CORP.,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Seller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Rick Pelini</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President and Treasurer</w:t>
      </w:r>
    </w:p>
    <w:p>
      <w:pPr>
        <w:sectPr>
          <w:pgSz w:w="11900" w:h="16838" w:orient="portrait"/>
          <w:cols w:equalWidth="0" w:num="1">
            <w:col w:w="11420"/>
          </w:cols>
          <w:pgMar w:left="240" w:top="131" w:right="239" w:bottom="0" w:gutter="0" w:footer="0" w:header="0"/>
        </w:sectPr>
      </w:pPr>
    </w:p>
    <w:bookmarkStart w:id="83" w:name="page84"/>
    <w:bookmarkEnd w:id="83"/>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LENNOX INDUSTRIES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Master Servicer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Rick Pelini</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Vice President and Treasurer</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[additional signatures to follow]</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VICTORY RECEIVABLES CORPORATION,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a Purchaser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-29210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-20320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Administrative Agent and BTMU Purchaser Agent</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-29210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-20320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a Liquidity Bank</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-29210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-20320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440"/>
        <w:spacing w:after="0"/>
        <w:rPr>
          <w:sz w:val="20"/>
          <w:szCs w:val="20"/>
          <w:color w:val="auto"/>
        </w:rPr>
      </w:pPr>
      <w:r>
        <w:rPr>
          <w:rFonts w:ascii="Arial" w:cs="Arial" w:eastAsia="Arial" w:hAnsi="Arial"/>
          <w:sz w:val="21"/>
          <w:szCs w:val="21"/>
          <w:u w:val="single" w:color="auto"/>
          <w:color w:val="auto"/>
        </w:rPr>
        <w:t>Percentage</w:t>
      </w:r>
      <w:r>
        <w:rPr>
          <w:rFonts w:ascii="Arial" w:cs="Arial" w:eastAsia="Arial" w:hAnsi="Arial"/>
          <w:sz w:val="21"/>
          <w:szCs w:val="21"/>
          <w:color w:val="auto"/>
        </w:rPr>
        <w:t>: The fraction equal to 270/380 (expressed as a percentage)</w:t>
      </w:r>
    </w:p>
    <w:p>
      <w:pPr>
        <w:spacing w:after="0" w:line="200" w:lineRule="exact"/>
        <w:rPr>
          <w:sz w:val="20"/>
          <w:szCs w:val="20"/>
          <w:color w:val="auto"/>
        </w:rPr>
      </w:pPr>
    </w:p>
    <w:p>
      <w:pPr>
        <w:spacing w:after="0" w:line="247" w:lineRule="exact"/>
        <w:rPr>
          <w:sz w:val="20"/>
          <w:szCs w:val="20"/>
          <w:color w:val="auto"/>
        </w:rPr>
      </w:pPr>
    </w:p>
    <w:p>
      <w:pPr>
        <w:jc w:val="right"/>
        <w:ind w:right="258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jc w:val="right"/>
        <w:ind w:right="2620"/>
        <w:spacing w:after="0"/>
        <w:rPr>
          <w:sz w:val="20"/>
          <w:szCs w:val="20"/>
          <w:color w:val="auto"/>
        </w:rPr>
      </w:pPr>
      <w:r>
        <w:rPr>
          <w:rFonts w:ascii="Arial" w:cs="Arial" w:eastAsia="Arial" w:hAnsi="Arial"/>
          <w:sz w:val="22"/>
          <w:szCs w:val="22"/>
          <w:color w:val="auto"/>
        </w:rPr>
        <w:t>as WFB Purchaser Agent and as a Liquidity Bank</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Percentage</w:t>
      </w:r>
      <w:r>
        <w:rPr>
          <w:rFonts w:ascii="Arial" w:cs="Arial" w:eastAsia="Arial" w:hAnsi="Arial"/>
          <w:sz w:val="22"/>
          <w:szCs w:val="22"/>
          <w:color w:val="auto"/>
        </w:rPr>
        <w:t>: The fraction equal to 110/380 (expressed as a percentage)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APPENDIX A</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This 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the Amended and Restated Receivables Purchase Agreement dated as of November 18, 2011, among LPAC Corp., as the Seller, Lennox Industries, Inc., as the Master Servicer, Victory Receivables Corporation, as a Purchaser,</w:t>
      </w:r>
    </w:p>
    <w:p>
      <w:pPr>
        <w:sectPr>
          <w:pgSz w:w="11900" w:h="16866" w:orient="portrait"/>
          <w:cols w:equalWidth="0" w:num="1">
            <w:col w:w="11360"/>
          </w:cols>
          <w:pgMar w:left="240" w:top="361" w:right="299" w:bottom="0" w:gutter="0" w:footer="0" w:header="0"/>
        </w:sectPr>
      </w:pPr>
    </w:p>
    <w:bookmarkStart w:id="84" w:name="page85"/>
    <w:bookmarkEnd w:id="84"/>
    <w:p>
      <w:pPr>
        <w:spacing w:after="0" w:line="30" w:lineRule="exact"/>
        <w:rPr>
          <w:sz w:val="20"/>
          <w:szCs w:val="20"/>
          <w:color w:val="auto"/>
        </w:rPr>
      </w:pPr>
    </w:p>
    <w:p>
      <w:pPr>
        <w:jc w:val="both"/>
        <w:ind w:right="280"/>
        <w:spacing w:after="0" w:line="312" w:lineRule="auto"/>
        <w:rPr>
          <w:sz w:val="20"/>
          <w:szCs w:val="20"/>
          <w:color w:val="auto"/>
        </w:rPr>
      </w:pPr>
      <w:r>
        <w:rPr>
          <w:rFonts w:ascii="Arial" w:cs="Arial" w:eastAsia="Arial" w:hAnsi="Arial"/>
          <w:sz w:val="19"/>
          <w:szCs w:val="19"/>
          <w:color w:val="auto"/>
        </w:rPr>
        <w:t>BTMU, as the Administrative Agent, the BTMU Purchaser Agent and a Liquidity Bank and WFB, as the WFB Purchaser Agent and a Liquidity Bank (as amended, supplemented or otherwise modified from time to time, this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xml:space="preserve">”). Each reference in this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any Section, Appendix or Exhibit refers to such Section of or Appendix or Exhibit to this Agreement.</w:t>
      </w:r>
    </w:p>
    <w:p>
      <w:pPr>
        <w:spacing w:after="0" w:line="134" w:lineRule="exact"/>
        <w:rPr>
          <w:sz w:val="20"/>
          <w:szCs w:val="20"/>
          <w:color w:val="auto"/>
        </w:rPr>
      </w:pPr>
    </w:p>
    <w:p>
      <w:pPr>
        <w:ind w:right="100" w:firstLine="656"/>
        <w:spacing w:after="0" w:line="263" w:lineRule="auto"/>
        <w:tabs>
          <w:tab w:leader="none" w:pos="116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unless the context requires a different meaning, the following terms have the meanings indicated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A&amp;R Sale Agreement</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Adjusted Dilution Ratio</w:t>
      </w:r>
      <w:r>
        <w:rPr>
          <w:rFonts w:ascii="Arial" w:cs="Arial" w:eastAsia="Arial" w:hAnsi="Arial"/>
          <w:sz w:val="22"/>
          <w:szCs w:val="22"/>
          <w:color w:val="auto"/>
        </w:rPr>
        <w:t>: The 12-month rolling average of the Dilution Ratio.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u w:val="single" w:color="auto"/>
          <w:color w:val="auto"/>
        </w:rPr>
        <w:t>Affected Party</w:t>
      </w:r>
      <w:r>
        <w:rPr>
          <w:rFonts w:ascii="Arial" w:cs="Arial" w:eastAsia="Arial" w:hAnsi="Arial"/>
          <w:sz w:val="22"/>
          <w:szCs w:val="22"/>
          <w:color w:val="auto"/>
        </w:rPr>
        <w:t>: Each Purchaser, each Liquidity Bank, any assignee or participant of any Purchaser or any Liquidity Bank, BTMU, any successor to BTMU, as Administrative Agent or BTMU Purchaser Agent, WFB, any successor to WFB, as WFB Purchaser Agent, or any sub-agent of any Agent.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Affiliate</w:t>
      </w:r>
      <w:r>
        <w:rPr>
          <w:rFonts w:ascii="Arial" w:cs="Arial" w:eastAsia="Arial" w:hAnsi="Arial"/>
          <w:sz w:val="19"/>
          <w:szCs w:val="19"/>
          <w:color w:val="auto"/>
        </w:rPr>
        <w:t>: With respect to any Person, any other Person controlling, controlled by, or under common control with, such Person.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Affiliated Obligor</w:t>
      </w:r>
      <w:r>
        <w:rPr>
          <w:rFonts w:ascii="Arial" w:cs="Arial" w:eastAsia="Arial" w:hAnsi="Arial"/>
          <w:sz w:val="22"/>
          <w:szCs w:val="22"/>
          <w:color w:val="auto"/>
        </w:rPr>
        <w:t>: In relation to any Obligor, an Obligor that is an Affiliate of such Obligor.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Agent</w:t>
      </w:r>
      <w:r>
        <w:rPr>
          <w:rFonts w:ascii="Arial" w:cs="Arial" w:eastAsia="Arial" w:hAnsi="Arial"/>
          <w:sz w:val="22"/>
          <w:szCs w:val="22"/>
          <w:color w:val="auto"/>
        </w:rPr>
        <w:t>: Any Purchaser Agent or the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Allied</w:t>
      </w:r>
      <w:r>
        <w:rPr>
          <w:rFonts w:ascii="Arial" w:cs="Arial" w:eastAsia="Arial" w:hAnsi="Arial"/>
          <w:sz w:val="22"/>
          <w:szCs w:val="22"/>
          <w:color w:val="auto"/>
        </w:rPr>
        <w:t>: Allied Air Enterprises LLC (f/k/a Allied Air Enterprises Inc.),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Allocation Limit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u w:val="single" w:color="auto"/>
          <w:color w:val="auto"/>
        </w:rPr>
        <w:t>Anti-Corruption Laws</w:t>
      </w:r>
      <w:r>
        <w:rPr>
          <w:rFonts w:ascii="Arial" w:cs="Arial" w:eastAsia="Arial" w:hAnsi="Arial"/>
          <w:sz w:val="21"/>
          <w:szCs w:val="21"/>
          <w:color w:val="auto"/>
        </w:rPr>
        <w:t>: All laws, rules, and regulations of any jurisdiction applicable to the Seller Parties, the Originators or their respective Subsidiaries from time to time concerning or relating to bribery or corruption, including, without limitation, the Foreign Corrupt Practices Act of 1977, as amended, and any applicable law or regulation implementing the OECD Convention on Combating Bribery of Foreign Public Officials in International Business Transactions.</w:t>
      </w:r>
    </w:p>
    <w:p>
      <w:pPr>
        <w:spacing w:after="0" w:line="17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u w:val="single" w:color="auto"/>
          <w:color w:val="auto"/>
        </w:rPr>
        <w:t>Asset Interest</w:t>
      </w:r>
      <w:r>
        <w:rPr>
          <w:rFonts w:ascii="Arial" w:cs="Arial" w:eastAsia="Arial" w:hAnsi="Arial"/>
          <w:sz w:val="22"/>
          <w:szCs w:val="22"/>
          <w:color w:val="auto"/>
        </w:rPr>
        <w:t xml:space="preserve">: An undivided percentage ownership interest, determined from time to time as provided in </w:t>
      </w:r>
      <w:r>
        <w:rPr>
          <w:rFonts w:ascii="Arial" w:cs="Arial" w:eastAsia="Arial" w:hAnsi="Arial"/>
          <w:sz w:val="22"/>
          <w:szCs w:val="22"/>
          <w:u w:val="single" w:color="auto"/>
          <w:color w:val="auto"/>
        </w:rPr>
        <w:t>Section 1.4(b)</w:t>
      </w:r>
      <w:r>
        <w:rPr>
          <w:rFonts w:ascii="Arial" w:cs="Arial" w:eastAsia="Arial" w:hAnsi="Arial"/>
          <w:sz w:val="22"/>
          <w:szCs w:val="22"/>
          <w:color w:val="auto"/>
        </w:rPr>
        <w:t>, in (i) all then outstanding Pool Receivables and (ii) all Related Assets.</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u w:val="single" w:color="auto"/>
          <w:color w:val="auto"/>
        </w:rPr>
        <w:t>Asset Tranche</w:t>
      </w:r>
      <w:r>
        <w:rPr>
          <w:rFonts w:ascii="Arial" w:cs="Arial" w:eastAsia="Arial" w:hAnsi="Arial"/>
          <w:sz w:val="22"/>
          <w:szCs w:val="22"/>
          <w:color w:val="auto"/>
        </w:rPr>
        <w:t xml:space="preserve">: At any time, a portion of the Asset Interest funded by any Purchaser Group selected by such Purchaser Group’s Purchaser Agent pursuant to and subject to the terms of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21"/>
          <w:szCs w:val="21"/>
          <w:u w:val="single" w:color="auto"/>
          <w:color w:val="auto"/>
        </w:rPr>
        <w:t>Assignment and Acceptance</w:t>
      </w:r>
      <w:r>
        <w:rPr>
          <w:rFonts w:ascii="Arial" w:cs="Arial" w:eastAsia="Arial" w:hAnsi="Arial"/>
          <w:sz w:val="21"/>
          <w:szCs w:val="21"/>
          <w:color w:val="auto"/>
        </w:rPr>
        <w:t xml:space="preserve">: An assignment and acceptance agreement entered into by a Liquidity Bank, an Eligible Assignee, the Purchaser Agent of such Liquidity Bank’s Purchaser Group, and the Administrative Agent, pursuant to which such Eligible Assignee may become a party to this Agreement,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Assurance Agreement</w:t>
      </w:r>
      <w:r>
        <w:rPr>
          <w:rFonts w:ascii="Arial" w:cs="Arial" w:eastAsia="Arial" w:hAnsi="Arial"/>
          <w:sz w:val="22"/>
          <w:szCs w:val="22"/>
          <w:color w:val="auto"/>
        </w:rPr>
        <w:t>: The Assurance Agreement dated as of November 25, 2009 made by Lennox International, as the same may be amended, restated, supplemented or modified from time to time in accordance with its terms.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9"/>
          <w:szCs w:val="19"/>
          <w:u w:val="single" w:color="auto"/>
          <w:color w:val="auto"/>
        </w:rPr>
        <w:t>Bank Rate</w:t>
      </w:r>
      <w:r>
        <w:rPr>
          <w:rFonts w:ascii="Arial" w:cs="Arial" w:eastAsia="Arial" w:hAnsi="Arial"/>
          <w:sz w:val="19"/>
          <w:szCs w:val="19"/>
          <w:color w:val="auto"/>
        </w:rPr>
        <w:t xml:space="preserve">: For any day falling in a particular Yield Period with respect to any Asset Tranche means an interest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sum of the BTMU LIBO Rate (Reserved) or the WFB LIBO Rate (Reserved), as applicable, for such day or such Yield Period (as applicable) plus the Bank Rate Spread;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any Yield Period with respect to which any Purchaser or any Liquidity Bank shall have notified the Purchaser Agent of such Person’s Purchaser Group that (i) the introduction of or any change in or in the interpretation of any law or regulation makes it unlawful, or any central bank or other Governmental Authority asserts that it is unlawful, for such Person to fund such Asset Tranche at the rate described above, or (ii) due to market conditions affecting the interbank eurodollar market, funds are not reasonably available to such Person in such market in order to enable it to fund such Asset Tranche at the rate described above (and in the case of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such Person shall not have subsequently notified such Purchaser Agent that such circumstances no longer exist), or (B) other than with respect to a Yield Period for the WFB Purchaser Group, any Yield Period as to which any Purchaser Agent does not receive notice or determine, by no later than 12:00 noon (New York, New York time) on the third Business Day preceding the first day of such Yield Period, that the related Asset Tranche will be funded by Liquidity Fundings, and not by the issuance of Commercial Paper Notes, in either case, the “Bank Rate” shall mean an interest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Base Rate in effect from time to time during such Yield Period; it being understood that, in the case of paragraph (A) above, such rate shall only apply to the Persons affected by the circumstances described in such paragraph (A).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Bank Rate Spread</w:t>
      </w:r>
      <w:r>
        <w:rPr>
          <w:rFonts w:ascii="Arial" w:cs="Arial" w:eastAsia="Arial" w:hAnsi="Arial"/>
          <w:sz w:val="22"/>
          <w:szCs w:val="22"/>
          <w:color w:val="auto"/>
        </w:rPr>
        <w:t>: As defined in the Fee Letter.</w:t>
      </w: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For any day, the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sum of the Bank Rate Spread plus the higher as of such day of (i) the Prime Rate, or (ii) the Federal Funds Rate most recently determined by Administrative Agent, plus 1.00%; provided that for purposes of calculating the Yield Reserve in accordance with the defined term thereof “Base Rate” shall be calculated without including the Bank Rate Spread in such calculation. For purposes of determining the Base Rate for any day, changes in the Prime Rate or the</w:t>
      </w:r>
    </w:p>
    <w:p>
      <w:pPr>
        <w:sectPr>
          <w:pgSz w:w="11900" w:h="16868" w:orient="portrait"/>
          <w:cols w:equalWidth="0" w:num="1">
            <w:col w:w="11380"/>
          </w:cols>
          <w:pgMar w:left="240" w:top="132" w:right="279" w:bottom="0" w:gutter="0" w:footer="0" w:header="0"/>
        </w:sectPr>
      </w:pPr>
    </w:p>
    <w:bookmarkStart w:id="85" w:name="page86"/>
    <w:bookmarkEnd w:id="85"/>
    <w:p>
      <w:pPr>
        <w:spacing w:after="0" w:line="62"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Federal Funds Rate shall be effective on the date of each such change. The Base Rate is not necessarily intended to be the lowest rate of interest determined by BTMU in connection with extensions of credit.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Broken Funding Costs</w:t>
      </w:r>
      <w:r>
        <w:rPr>
          <w:rFonts w:ascii="Arial" w:cs="Arial" w:eastAsia="Arial" w:hAnsi="Arial"/>
          <w:sz w:val="22"/>
          <w:szCs w:val="22"/>
          <w:color w:val="auto"/>
        </w:rPr>
        <w:t xml:space="preserve">: Any loss or expense of the type described in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incurred by any Purchaser.</w:t>
      </w:r>
    </w:p>
    <w:p>
      <w:pPr>
        <w:spacing w:after="0" w:line="220"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u w:val="single" w:color="auto"/>
          <w:color w:val="auto"/>
        </w:rPr>
        <w:t>BTMU CP Costs</w:t>
      </w:r>
      <w:r>
        <w:rPr>
          <w:rFonts w:ascii="Arial" w:cs="Arial" w:eastAsia="Arial" w:hAnsi="Arial"/>
          <w:sz w:val="19"/>
          <w:szCs w:val="19"/>
          <w:color w:val="auto"/>
        </w:rPr>
        <w:t xml:space="preserve">: For each day in any Yield Period with respect to any Asset Tranche funded by Commercial Paper Notes, the sum of (a) discount or yield accrued (including, without limitation, any associated with financing the discount or interest component on the rollover of any Pooled Commercial Paper) on the BTMU Purchaser’s Pooled Commercial Paper on such day issued to fund or maintain such Asset Tranche, as determined by the BTMU Purchaser Agent, plus (b) any and all accrued commissions in respect of the BTMU Purchaser’s placement agents and commercial paper dealers, and issuing and paying agent fees incurred, in respect of such Pooled Commercial Paper for such day, plus (c) other costs (including without limitation those associated with funding small or odd-lot amounts) with respect to all receivable purchase, credit and other investment facilities which are funded by the applicable Pooled Commercial Paper for such day plus (d) on any day when any Liquidation Event or Unmatured Liquidation Event shall have occurred and be continuing, 2%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(it being understood that the amounts described herein shall be determined by the BTMU Purchaser Agent, whose determination shall be conclusive).</w:t>
      </w:r>
    </w:p>
    <w:p>
      <w:pPr>
        <w:spacing w:after="0" w:line="160"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u w:val="single" w:color="auto"/>
          <w:color w:val="auto"/>
        </w:rPr>
        <w:t>BTMU LIBO Rate</w:t>
      </w:r>
      <w:r>
        <w:rPr>
          <w:rFonts w:ascii="Arial" w:cs="Arial" w:eastAsia="Arial" w:hAnsi="Arial"/>
          <w:sz w:val="22"/>
          <w:szCs w:val="22"/>
          <w:color w:val="auto"/>
        </w:rPr>
        <w:t xml:space="preserve">: For any Yield Period the greater of (i) 0% and (ii) the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at which deposits in Dollars are offered by the principal office of The Bank of Tokyo Mitsubishi UFJ, Ltd. in London, England to prime banks in the London interbank market at 11:00 a.m. London time two (2) Business Days before the commencement of such Yield Period or, if no such rate is available, The Bank of Tokyo Mitsubishi UFJ, Ltd. shall determine such rate based on the rates it is offered on deposits of such duration in the London interbank market.</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9"/>
          <w:szCs w:val="19"/>
          <w:u w:val="single" w:color="auto"/>
          <w:color w:val="auto"/>
        </w:rPr>
        <w:t>BTMU LIBO Rate Reserve Percentage</w:t>
      </w:r>
      <w:r>
        <w:rPr>
          <w:rFonts w:ascii="Arial" w:cs="Arial" w:eastAsia="Arial" w:hAnsi="Arial"/>
          <w:sz w:val="19"/>
          <w:szCs w:val="19"/>
          <w:color w:val="auto"/>
        </w:rPr>
        <w:t>: With respect to any Investor for any Yield Period in respect of which Earned Discount is computed by reference to the BTMU LIBO Rate, the reserve percentage applicable two Business Days before the first day of such Yield Period under regulations issued from time to time by the Federal Reserve Board (or if more than one such percentage shall be applicable, the daily average of such percentages for those days in such Yield Period during which any such percentage shall be so applicable) for determining the maximum reserve requirement (including, without limitation, any emergency, supplemental or other marginal reserve requirement) for such Investor with respect to liabilities or assets consisting of or including Eurocurrency Liabilities (as such term is defined in Regulation D) (or with respect to any other category of Liabilities that includes deposits by reference to which the interest rate on Eurocurrency Liabilities is determined) having a term equal to such Yield Period.</w:t>
      </w:r>
    </w:p>
    <w:p>
      <w:pPr>
        <w:spacing w:after="0" w:line="157"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u w:val="single" w:color="auto"/>
          <w:color w:val="auto"/>
        </w:rPr>
        <w:t>BTMU LIBO Rate (Reserved)</w:t>
      </w:r>
      <w:r>
        <w:rPr>
          <w:rFonts w:ascii="Arial" w:cs="Arial" w:eastAsia="Arial" w:hAnsi="Arial"/>
          <w:sz w:val="21"/>
          <w:szCs w:val="21"/>
          <w:color w:val="auto"/>
        </w:rPr>
        <w:t xml:space="preserve">: With respect to any Yield Period means a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equal to the quotient obtained (rounded upwards, if necessary, to the next higher 1/100th of 1%) by dividing (i) the applicable BTMU LIBO Rate for such Yield Period by (ii) a percentage equal to 100% minus the BTMU LIBO Rate Reserve Percentage.</w:t>
      </w:r>
    </w:p>
    <w:p>
      <w:pPr>
        <w:spacing w:after="0" w:line="168"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u w:val="single" w:color="auto"/>
          <w:color w:val="auto"/>
        </w:rPr>
        <w:t>BTMU Liquidity Agreement</w:t>
      </w:r>
      <w:r>
        <w:rPr>
          <w:rFonts w:ascii="Arial" w:cs="Arial" w:eastAsia="Arial" w:hAnsi="Arial"/>
          <w:sz w:val="19"/>
          <w:szCs w:val="19"/>
          <w:color w:val="auto"/>
        </w:rPr>
        <w:t>: The liquidity asset purchase agreement or other liquidity agreement entered into by any BTMU Liquidity Bank for the benefit of the BTMU Purchaser, to the extent relating to the sale or transfer of interests in the Asset Interest.</w:t>
      </w:r>
    </w:p>
    <w:p>
      <w:pPr>
        <w:spacing w:after="0" w:line="105"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u w:val="single" w:color="auto"/>
          <w:color w:val="auto"/>
        </w:rPr>
        <w:t>BTMU Liquidity Bank</w:t>
      </w:r>
      <w:r>
        <w:rPr>
          <w:rFonts w:ascii="Arial" w:cs="Arial" w:eastAsia="Arial" w:hAnsi="Arial"/>
          <w:sz w:val="22"/>
          <w:szCs w:val="22"/>
          <w:color w:val="auto"/>
        </w:rPr>
        <w:t>: BTMU or any other Person providing liquidity or credit support to BTMU Purchaser under a BTMU Liquidity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 Purchaser</w:t>
      </w:r>
      <w:r>
        <w:rPr>
          <w:rFonts w:ascii="Arial" w:cs="Arial" w:eastAsia="Arial" w:hAnsi="Arial"/>
          <w:sz w:val="22"/>
          <w:szCs w:val="22"/>
          <w:color w:val="auto"/>
        </w:rPr>
        <w:t>: As defined in the preamble.</w:t>
      </w:r>
    </w:p>
    <w:p>
      <w:pPr>
        <w:spacing w:after="0" w:line="220"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u w:val="single" w:color="auto"/>
          <w:color w:val="auto"/>
        </w:rPr>
        <w:t>BTMU Purchaser Account</w:t>
      </w:r>
      <w:r>
        <w:rPr>
          <w:rFonts w:ascii="Arial" w:cs="Arial" w:eastAsia="Arial" w:hAnsi="Arial"/>
          <w:sz w:val="22"/>
          <w:szCs w:val="22"/>
          <w:color w:val="auto"/>
        </w:rPr>
        <w:t>: Such account set forth in a separate letter by the BTMU Purchaser Agent to the Seller and Master Servicer, or such other account as may be specified in writing from time to time by the BTMU Purchaser Agent to the Seller and Master Servicer.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 Purchaser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u w:val="single" w:color="auto"/>
          <w:color w:val="auto"/>
        </w:rPr>
        <w:t>BTMU Purchaser Group</w:t>
      </w:r>
      <w:r>
        <w:rPr>
          <w:rFonts w:ascii="Arial" w:cs="Arial" w:eastAsia="Arial" w:hAnsi="Arial"/>
          <w:sz w:val="22"/>
          <w:szCs w:val="22"/>
          <w:color w:val="auto"/>
        </w:rPr>
        <w:t>: The BTMU Purchaser, the BTMU Liquidity Banks and the BTMU Purchaser Agent, together with their respective successors, assigns and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 Purchaser Group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w w:val="97"/>
              </w:rPr>
              <w:t>BTMU Purchaser Group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880" w:type="dxa"/>
            <w:vAlign w:val="bottom"/>
            <w:tcBorders>
              <w:top w:val="single" w:sz="8" w:color="auto"/>
              <w:bottom w:val="single" w:sz="8" w:color="00000A"/>
            </w:tcBorders>
          </w:tcPr>
          <w:p>
            <w:pPr>
              <w:spacing w:after="0"/>
              <w:rPr>
                <w:sz w:val="4"/>
                <w:szCs w:val="4"/>
                <w:color w:val="auto"/>
              </w:rPr>
            </w:pPr>
          </w:p>
        </w:tc>
        <w:tc>
          <w:tcPr>
            <w:tcW w:w="16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290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$159,868,421.05</w:t>
            </w:r>
          </w:p>
        </w:tc>
        <w:tc>
          <w:tcPr>
            <w:tcW w:w="1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29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$159,868,421.05</w:t>
            </w: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29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$206,052,631.58</w:t>
            </w: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29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$206,052,631.58</w:t>
            </w: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29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$206,052,631.58</w:t>
            </w: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29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$270,000,000</w:t>
            </w: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29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$270,000,000</w:t>
            </w:r>
          </w:p>
        </w:tc>
        <w:tc>
          <w:tcPr>
            <w:tcW w:w="1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111"/>
        </w:trPr>
        <w:tc>
          <w:tcPr>
            <w:tcW w:w="60" w:type="dxa"/>
            <w:vAlign w:val="bottom"/>
            <w:tcBorders>
              <w:left w:val="single" w:sz="8" w:color="00000A"/>
            </w:tcBorders>
          </w:tcPr>
          <w:p>
            <w:pPr>
              <w:spacing w:after="0"/>
              <w:rPr>
                <w:sz w:val="9"/>
                <w:szCs w:val="9"/>
                <w:color w:val="auto"/>
              </w:rPr>
            </w:pPr>
          </w:p>
        </w:tc>
        <w:tc>
          <w:tcPr>
            <w:tcW w:w="600" w:type="dxa"/>
            <w:vAlign w:val="bottom"/>
          </w:tcPr>
          <w:p>
            <w:pPr>
              <w:spacing w:after="0"/>
              <w:rPr>
                <w:sz w:val="9"/>
                <w:szCs w:val="9"/>
                <w:color w:val="auto"/>
              </w:rPr>
            </w:pPr>
          </w:p>
        </w:tc>
        <w:tc>
          <w:tcPr>
            <w:tcW w:w="6220" w:type="dxa"/>
            <w:vAlign w:val="bottom"/>
            <w:tcBorders>
              <w:right w:val="single" w:sz="8" w:color="00000A"/>
            </w:tcBorders>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60" w:type="dxa"/>
            <w:vAlign w:val="bottom"/>
            <w:tcBorders>
              <w:right w:val="single" w:sz="8" w:color="00000A"/>
            </w:tcBorders>
          </w:tcPr>
          <w:p>
            <w:pPr>
              <w:spacing w:after="0"/>
              <w:rPr>
                <w:sz w:val="9"/>
                <w:szCs w:val="9"/>
                <w:color w:val="auto"/>
              </w:rPr>
            </w:pPr>
          </w:p>
        </w:tc>
      </w:tr>
    </w:tbl>
    <w:p>
      <w:pPr>
        <w:sectPr>
          <w:pgSz w:w="11900" w:h="16900" w:orient="portrait"/>
          <w:cols w:equalWidth="0" w:num="1">
            <w:col w:w="11400"/>
          </w:cols>
          <w:pgMar w:left="240" w:top="132" w:right="259" w:bottom="0" w:gutter="0" w:footer="0" w:header="0"/>
        </w:sectPr>
      </w:pPr>
    </w:p>
    <w:bookmarkStart w:id="86" w:name="page87"/>
    <w:bookmarkEnd w:id="86"/>
    <w:p>
      <w:pPr>
        <w:spacing w:after="0" w:line="62" w:lineRule="exact"/>
        <w:rPr>
          <w:sz w:val="20"/>
          <w:szCs w:val="20"/>
          <w:color w:val="auto"/>
        </w:rPr>
      </w:pPr>
    </w:p>
    <w:tbl>
      <w:tblPr>
        <w:tblLayout w:type="fixed"/>
        <w:tblInd w:w="670" w:type="dxa"/>
        <w:tblCellMar>
          <w:top w:w="0" w:type="dxa"/>
          <w:left w:w="0" w:type="dxa"/>
          <w:bottom w:w="0" w:type="dxa"/>
          <w:right w:w="0" w:type="dxa"/>
        </w:tblCellMar>
      </w:tblPr>
      <w:tr>
        <w:trPr>
          <w:trHeight w:val="253"/>
        </w:trPr>
        <w:tc>
          <w:tcPr>
            <w:tcW w:w="68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30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$270,000,000</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October</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30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$206,052,631.58</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November</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30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$206,052,631.58</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December</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30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$206,052,631.58</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January</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30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$159,868,421.05</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February</w:t>
            </w:r>
          </w:p>
        </w:tc>
        <w:tc>
          <w:tcPr>
            <w:tcW w:w="30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right="40" w:hanging="4"/>
        <w:spacing w:after="0" w:line="263" w:lineRule="auto"/>
        <w:tabs>
          <w:tab w:leader="none" w:pos="77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w:t>
      </w:r>
      <w:r>
        <w:rPr>
          <w:rFonts w:ascii="Arial" w:cs="Arial" w:eastAsia="Arial" w:hAnsi="Arial"/>
          <w:sz w:val="22"/>
          <w:szCs w:val="22"/>
          <w:color w:val="auto"/>
        </w:rPr>
        <w:t>: As defined in the preamble.</w:t>
      </w:r>
    </w:p>
    <w:p>
      <w:pPr>
        <w:spacing w:after="0" w:line="220"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A day on which commercial banks in Atlanta, Chicago or New York City are not authorized or required to be closed for business; </w:t>
      </w:r>
      <w:r>
        <w:rPr>
          <w:rFonts w:ascii="Arial" w:cs="Arial" w:eastAsia="Arial" w:hAnsi="Arial"/>
          <w:sz w:val="21"/>
          <w:szCs w:val="21"/>
          <w:u w:val="single" w:color="auto"/>
          <w:color w:val="auto"/>
        </w:rPr>
        <w:t>provided</w:t>
      </w:r>
      <w:r>
        <w:rPr>
          <w:rFonts w:ascii="Arial" w:cs="Arial" w:eastAsia="Arial" w:hAnsi="Arial"/>
          <w:sz w:val="21"/>
          <w:szCs w:val="21"/>
          <w:color w:val="auto"/>
        </w:rPr>
        <w:t>, that, when used with respect to the Earned Discount Rate or associated Asset Tranche based on BTMU LIBO Rate or WFB LIBO Rate, “Business Day” means any Business Day on which banks are open for domestic and international business (including dealings in Dollar deposits) in London, England.</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Capital Lease</w:t>
      </w:r>
      <w:r>
        <w:rPr>
          <w:rFonts w:ascii="Arial" w:cs="Arial" w:eastAsia="Arial" w:hAnsi="Arial"/>
          <w:sz w:val="22"/>
          <w:szCs w:val="22"/>
          <w:color w:val="auto"/>
        </w:rPr>
        <w:t>: At any time, a lease with respect to which the lessee is required concurrently to recognize the acquisition of an asset and the incurrence of a liability in accordance with GAAP.</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20" w:lineRule="exact"/>
        <w:rPr>
          <w:sz w:val="20"/>
          <w:szCs w:val="20"/>
          <w:color w:val="auto"/>
        </w:rPr>
      </w:pPr>
    </w:p>
    <w:p>
      <w:pPr>
        <w:ind w:left="660" w:right="80" w:firstLine="645"/>
        <w:spacing w:after="0" w:line="292" w:lineRule="auto"/>
        <w:tabs>
          <w:tab w:leader="none" w:pos="172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relation to Lennox International, the acquisition after the date hereof by any person or group of persons (within the meaning of Section 13 or 14 of the Exchange Act), of beneficial ownership (within the meaning of Rule 13d-3 promulgated by the Securities and Exchange Commission under the Exchange Act) of issued and outstanding shares of the capital stock of such Person entitled (without regard to the occurrence of any contingency) to vote for the election of members of the board of directors of such Person and having a then present right to exercise 50% or more of the voting power for the election of members of the board of directors of such Person attached to all such outstanding shares of capital stock of such Person, unless otherwise agreed in writing by the Agents; and</w:t>
      </w:r>
    </w:p>
    <w:p>
      <w:pPr>
        <w:spacing w:after="0" w:line="151" w:lineRule="exact"/>
        <w:rPr>
          <w:rFonts w:ascii="Arial" w:cs="Arial" w:eastAsia="Arial" w:hAnsi="Arial"/>
          <w:sz w:val="19"/>
          <w:szCs w:val="19"/>
          <w:color w:val="auto"/>
        </w:rPr>
      </w:pPr>
    </w:p>
    <w:p>
      <w:pPr>
        <w:ind w:left="660" w:right="200" w:firstLine="645"/>
        <w:spacing w:after="0" w:line="302" w:lineRule="auto"/>
        <w:tabs>
          <w:tab w:leader="none" w:pos="178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relation to the Master Servicer, the Seller or any Originator, the failure of Lennox International to own (directly or through wholly-owned Subsidiaries of Lennox International) 100% of the issued and outstanding shares of the capital stock (including all warrants, options, conversion rights, and other rights to purchase or convert into such stock) of the Master Servicer, the Seller or such Originator, as applicable, on a fully diluted basis.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the same may be amended from time to time.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right="560"/>
        <w:spacing w:after="0" w:line="263" w:lineRule="auto"/>
        <w:rPr>
          <w:sz w:val="20"/>
          <w:szCs w:val="20"/>
          <w:color w:val="auto"/>
        </w:rPr>
      </w:pPr>
      <w:r>
        <w:rPr>
          <w:rFonts w:ascii="Arial" w:cs="Arial" w:eastAsia="Arial" w:hAnsi="Arial"/>
          <w:sz w:val="22"/>
          <w:szCs w:val="22"/>
          <w:u w:val="single" w:color="auto"/>
          <w:color w:val="auto"/>
        </w:rPr>
        <w:t>Collection Account</w:t>
      </w:r>
      <w:r>
        <w:rPr>
          <w:rFonts w:ascii="Arial" w:cs="Arial" w:eastAsia="Arial" w:hAnsi="Arial"/>
          <w:sz w:val="22"/>
          <w:szCs w:val="22"/>
          <w:color w:val="auto"/>
        </w:rPr>
        <w:t>: The segregated account that may be established and maintained in the name of the Seller with JPMorgan Chase Bank, N.A., or another commercial bank reasonably approved by the Agents.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Collection Period</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the period from the date of the initial Purchase to the last day of the calendar month in which such date occurs;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660" w:right="500" w:firstLine="645"/>
        <w:spacing w:after="0" w:line="263" w:lineRule="auto"/>
        <w:tabs>
          <w:tab w:leader="none" w:pos="178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thereafter, each period from the last day of the next preceding Collection Period to the last day of the next following calendar month;</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during any period during which Weekly Reports are required to be delivered, the Collection Period related to each related Settlement Date shall be the related Weekly Reporting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last Collection Period shall end on the Final Payout Date.</w:t>
      </w:r>
    </w:p>
    <w:p>
      <w:pPr>
        <w:spacing w:after="0" w:line="186" w:lineRule="exact"/>
        <w:rPr>
          <w:sz w:val="20"/>
          <w:szCs w:val="20"/>
          <w:color w:val="auto"/>
        </w:rPr>
      </w:pPr>
    </w:p>
    <w:p>
      <w:pPr>
        <w:spacing w:after="0" w:line="292" w:lineRule="auto"/>
        <w:rPr>
          <w:sz w:val="20"/>
          <w:szCs w:val="20"/>
          <w:color w:val="auto"/>
        </w:rPr>
      </w:pPr>
      <w:r>
        <w:rPr>
          <w:rFonts w:ascii="Arial" w:cs="Arial" w:eastAsia="Arial" w:hAnsi="Arial"/>
          <w:sz w:val="19"/>
          <w:szCs w:val="19"/>
          <w:u w:val="single" w:color="auto"/>
          <w:color w:val="auto"/>
        </w:rPr>
        <w:t>Collections</w:t>
      </w:r>
      <w:r>
        <w:rPr>
          <w:rFonts w:ascii="Arial" w:cs="Arial" w:eastAsia="Arial" w:hAnsi="Arial"/>
          <w:sz w:val="19"/>
          <w:szCs w:val="19"/>
          <w:color w:val="auto"/>
        </w:rPr>
        <w:t>: With respect to any Receivable, (i) all funds which either are received by the Seller, the Originators or the Master Servicer from or on behalf of the related Obligor in payment of any amounts owed (including, without limitation, purchase prices, finance charges, interest and all other charges) in respect of such Receivable, or applied to such amounts owed by such Obligor (including, without limitation, cash proceeds of Related Security with respect to such Receivable, including, without limitation, insurance payments that the Seller, the Originator or the Master Servicer applies in the ordinary course of its business to amounts owed in respect of such Receivable and net proceeds of sale or other disposition of repossessed goods or other collateral or property of the Obligor or any other party directly or indirectly liable for payment of such Receivable and available to be applied thereon),</w:t>
      </w:r>
    </w:p>
    <w:p>
      <w:pPr>
        <w:sectPr>
          <w:pgSz w:w="11900" w:h="16900" w:orient="portrait"/>
          <w:cols w:equalWidth="0" w:num="1">
            <w:col w:w="11420"/>
          </w:cols>
          <w:pgMar w:left="240" w:top="108" w:right="239" w:bottom="0" w:gutter="0" w:footer="0" w:header="0"/>
        </w:sectPr>
      </w:pPr>
    </w:p>
    <w:bookmarkStart w:id="87" w:name="page88"/>
    <w:bookmarkEnd w:id="87"/>
    <w:p>
      <w:pPr>
        <w:ind w:right="120"/>
        <w:spacing w:after="0" w:line="312" w:lineRule="auto"/>
        <w:rPr>
          <w:sz w:val="20"/>
          <w:szCs w:val="20"/>
          <w:color w:val="auto"/>
        </w:rPr>
      </w:pPr>
      <w:r>
        <w:rPr>
          <w:rFonts w:ascii="Arial" w:cs="Arial" w:eastAsia="Arial" w:hAnsi="Arial"/>
          <w:sz w:val="19"/>
          <w:szCs w:val="19"/>
          <w:color w:val="auto"/>
        </w:rPr>
        <w:t xml:space="preserve">and (ii) all Deemed Collections;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such time as Lennox shall cease to be the Master Servicer, late payment charges, collection fees, extension fees and any other similar fees or expenses billed to and collected from an Obligor shall be paid to the Master Servicer as additional compensation for the performance of its duties as Master Servicer hereunder.</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Commercial Paper Notes</w:t>
      </w:r>
      <w:r>
        <w:rPr>
          <w:rFonts w:ascii="Arial" w:cs="Arial" w:eastAsia="Arial" w:hAnsi="Arial"/>
          <w:sz w:val="19"/>
          <w:szCs w:val="19"/>
          <w:color w:val="auto"/>
        </w:rPr>
        <w:t>: The commercial paper promissory notes issued by any Purchaser in the commercial paper market.</w:t>
      </w:r>
    </w:p>
    <w:p>
      <w:pPr>
        <w:spacing w:after="0" w:line="254"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u w:val="single" w:color="auto"/>
          <w:color w:val="auto"/>
        </w:rPr>
        <w:t>Contract</w:t>
      </w:r>
      <w:r>
        <w:rPr>
          <w:rFonts w:ascii="Arial" w:cs="Arial" w:eastAsia="Arial" w:hAnsi="Arial"/>
          <w:sz w:val="19"/>
          <w:szCs w:val="19"/>
          <w:color w:val="auto"/>
        </w:rPr>
        <w:t>: A contract between the Seller or the Originator and any Person, or an invoice sent or to be sent by the Seller or the Originator, pursuant to or under which a Receivable shall arise or be created, or which evidences a Receivable. A ‘related Contract’ or similar reference means rights to payment, collection and enforcement, and other rights under a Contract to the extent directly related to a Receivable in the Receivables Pool, but not any other rights under such Contract.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CP Accrual Period</w:t>
      </w:r>
      <w:r>
        <w:rPr>
          <w:rFonts w:ascii="Arial" w:cs="Arial" w:eastAsia="Arial" w:hAnsi="Arial"/>
          <w:sz w:val="22"/>
          <w:szCs w:val="22"/>
          <w:color w:val="auto"/>
        </w:rPr>
        <w:t>: Each Collection Period during which any Asset Tranche is funded with Commercial Paper Notes.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CP Costs</w:t>
      </w:r>
      <w:r>
        <w:rPr>
          <w:rFonts w:ascii="Arial" w:cs="Arial" w:eastAsia="Arial" w:hAnsi="Arial"/>
          <w:sz w:val="22"/>
          <w:szCs w:val="22"/>
          <w:color w:val="auto"/>
        </w:rPr>
        <w:t>: The BTMU CP Costs.</w:t>
      </w:r>
    </w:p>
    <w:p>
      <w:pPr>
        <w:spacing w:after="0" w:line="220" w:lineRule="exact"/>
        <w:rPr>
          <w:sz w:val="20"/>
          <w:szCs w:val="20"/>
          <w:color w:val="auto"/>
        </w:rPr>
      </w:pPr>
    </w:p>
    <w:p>
      <w:pPr>
        <w:jc w:val="both"/>
        <w:ind w:right="200"/>
        <w:spacing w:after="0" w:line="250" w:lineRule="auto"/>
        <w:rPr>
          <w:sz w:val="20"/>
          <w:szCs w:val="20"/>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That certain Fourth Amended and Restated Revolving Credit Facility Agreement dated as of October 21, 2011 by and among Lennox International Inc. as the borrower, certain financial institutions, as the lenders, and JPMorgan Chase Bank, National Association, as administrative agent for the lenders, as such agreement may be further amended, restated, substituted or replaced from time to time.</w:t>
      </w:r>
    </w:p>
    <w:p>
      <w:pPr>
        <w:spacing w:after="0" w:line="188"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u w:val="single" w:color="auto"/>
          <w:color w:val="auto"/>
        </w:rPr>
        <w:t>Credit and Collection Policy</w:t>
      </w:r>
      <w:r>
        <w:rPr>
          <w:rFonts w:ascii="Arial" w:cs="Arial" w:eastAsia="Arial" w:hAnsi="Arial"/>
          <w:sz w:val="22"/>
          <w:szCs w:val="22"/>
          <w:color w:val="auto"/>
        </w:rPr>
        <w:t xml:space="preserve">: Collectively, those credit and collection policies and practices of the Originators and the Master Servicer relating to Contracts and Receivables as in effect on the date of this Agreement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as may hereafter be modified without violating </w:t>
      </w:r>
      <w:r>
        <w:rPr>
          <w:rFonts w:ascii="Arial" w:cs="Arial" w:eastAsia="Arial" w:hAnsi="Arial"/>
          <w:sz w:val="22"/>
          <w:szCs w:val="22"/>
          <w:u w:val="single" w:color="auto"/>
          <w:color w:val="auto"/>
        </w:rPr>
        <w:t>Section 7.3(c)</w:t>
      </w:r>
      <w:r>
        <w:rPr>
          <w:rFonts w:ascii="Arial" w:cs="Arial" w:eastAsia="Arial" w:hAnsi="Arial"/>
          <w:sz w:val="22"/>
          <w:szCs w:val="22"/>
          <w:color w:val="auto"/>
        </w:rPr>
        <w:t>, but subject to compliance with applicable state regulations in effect from time to time.</w:t>
      </w:r>
    </w:p>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u w:val="single" w:color="auto"/>
          <w:color w:val="auto"/>
        </w:rPr>
        <w:t>Credit Event</w:t>
      </w:r>
      <w:r>
        <w:rPr>
          <w:rFonts w:ascii="Arial" w:cs="Arial" w:eastAsia="Arial" w:hAnsi="Arial"/>
          <w:sz w:val="22"/>
          <w:szCs w:val="22"/>
          <w:color w:val="auto"/>
        </w:rPr>
        <w:t xml:space="preserve">: The earliest of (i) an Event of Bankruptcy with respect to Lennox International, (ii) an Event of Bankruptcy with respect to Lennox or (iii) any event described in </w:t>
      </w:r>
      <w:r>
        <w:rPr>
          <w:rFonts w:ascii="Arial" w:cs="Arial" w:eastAsia="Arial" w:hAnsi="Arial"/>
          <w:sz w:val="22"/>
          <w:szCs w:val="22"/>
          <w:u w:val="single" w:color="auto"/>
          <w:color w:val="auto"/>
        </w:rPr>
        <w:t>subsection (d)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Cut-Off Date</w:t>
      </w:r>
      <w:r>
        <w:rPr>
          <w:rFonts w:ascii="Arial" w:cs="Arial" w:eastAsia="Arial" w:hAnsi="Arial"/>
          <w:sz w:val="22"/>
          <w:szCs w:val="22"/>
          <w:color w:val="auto"/>
        </w:rPr>
        <w:t>: The last day of each fiscal month of the Master Servicer.</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Days Sales Outstanding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DSO</w:t>
      </w:r>
      <w:r>
        <w:rPr>
          <w:rFonts w:ascii="Arial" w:cs="Arial" w:eastAsia="Arial" w:hAnsi="Arial"/>
          <w:sz w:val="22"/>
          <w:szCs w:val="22"/>
          <w:color w:val="auto"/>
        </w:rPr>
        <w:t>: As of any day, an amount equal to the product of (i) 91 and (ii) a fraction the numerator of which is the aggregate Unpaid Balance of Pool Receivables as of the most recent Cut-Off Date and the denominator of which is the aggregate dollar amount of Receivables generated by the Originators during the three Collection Periods including and immediately preceding such Cut-Off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Deemed Collections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9"/>
          <w:szCs w:val="19"/>
          <w:u w:val="single" w:color="auto"/>
          <w:color w:val="auto"/>
        </w:rPr>
        <w:t>Default Horizon Ratio</w:t>
      </w:r>
      <w:r>
        <w:rPr>
          <w:rFonts w:ascii="Arial" w:cs="Arial" w:eastAsia="Arial" w:hAnsi="Arial"/>
          <w:sz w:val="19"/>
          <w:szCs w:val="19"/>
          <w:color w:val="auto"/>
        </w:rPr>
        <w:t>: As of any Cut-Off Date, the ratio (expressed as a percentage) of (i) (A) if the Weighted Average Term is less than or equal to 60 days, the sum of (a) the aggregate sales of the Originators during the immediately preceding four (4) calendar months ending on such Cut-Off Date and (b) 50% of the aggregate sales of the Originators during the fifth (5</w:t>
      </w:r>
      <w:r>
        <w:rPr>
          <w:rFonts w:ascii="Arial" w:cs="Arial" w:eastAsia="Arial" w:hAnsi="Arial"/>
          <w:sz w:val="25"/>
          <w:szCs w:val="25"/>
          <w:color w:val="auto"/>
          <w:vertAlign w:val="superscript"/>
        </w:rPr>
        <w:t>th</w:t>
      </w:r>
      <w:r>
        <w:rPr>
          <w:rFonts w:ascii="Arial" w:cs="Arial" w:eastAsia="Arial" w:hAnsi="Arial"/>
          <w:sz w:val="19"/>
          <w:szCs w:val="19"/>
          <w:color w:val="auto"/>
        </w:rPr>
        <w:t>) calendar month preceding such Cut-Off Date, (B) if the Weighted Average Term is greater than 60 days and less than or equal to 75 days, the aggregate sales of the Originators during the immediately preceding five (5) calendar months ending on such Cut-Off Date, and (C) if the Weighted Average Term is greater than 75 days, the sum of (a) the aggregate sales of the Originators during the immediately preceding five (5) calendar months ending on such Cut-Off Date and (b) 50% of the aggregate sales of the Originators during the sixth (6</w:t>
      </w:r>
      <w:r>
        <w:rPr>
          <w:rFonts w:ascii="Arial" w:cs="Arial" w:eastAsia="Arial" w:hAnsi="Arial"/>
          <w:sz w:val="25"/>
          <w:szCs w:val="25"/>
          <w:color w:val="auto"/>
          <w:vertAlign w:val="superscript"/>
        </w:rPr>
        <w:t>th</w:t>
      </w:r>
      <w:r>
        <w:rPr>
          <w:rFonts w:ascii="Arial" w:cs="Arial" w:eastAsia="Arial" w:hAnsi="Arial"/>
          <w:sz w:val="19"/>
          <w:szCs w:val="19"/>
          <w:color w:val="auto"/>
        </w:rPr>
        <w:t>) calendar month preceding such Cut-Off Date, divided by (ii) the Net Pool Balance on such Cut-Off Date.</w:t>
      </w:r>
    </w:p>
    <w:p>
      <w:pPr>
        <w:spacing w:after="0" w:line="61"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u w:val="single" w:color="auto"/>
          <w:color w:val="auto"/>
        </w:rPr>
        <w:t>Default Ratio</w:t>
      </w:r>
      <w:r>
        <w:rPr>
          <w:rFonts w:ascii="Arial" w:cs="Arial" w:eastAsia="Arial" w:hAnsi="Arial"/>
          <w:sz w:val="19"/>
          <w:szCs w:val="19"/>
          <w:color w:val="auto"/>
        </w:rPr>
        <w:t>: At any time, an amount (expressed as a percentage) equal to a fraction (i) the numerator of which is equal to the sum of the Unpaid Balances of Receivables, during the immediately preceding Collection Period, as to which, without duplication, (A) any payment, or part thereof, remains unpaid for more than 150 days, but less than 181 days, from the original due date for such payment or (B) any portion of the Unpaid Balance (including amounts related to an Event of Bankruptcy) or other payment due in respect thereof was (or should have been) written off and (ii) the denominator of which is the amount of sales generated during the Collection Period six months prior to the immediately preceding Collection Period.</w:t>
      </w:r>
    </w:p>
    <w:p>
      <w:pPr>
        <w:spacing w:after="0" w:line="150"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u w:val="single" w:color="auto"/>
          <w:color w:val="auto"/>
        </w:rPr>
        <w:t>Defaulted Receivable</w:t>
      </w:r>
      <w:r>
        <w:rPr>
          <w:rFonts w:ascii="Arial" w:cs="Arial" w:eastAsia="Arial" w:hAnsi="Arial"/>
          <w:sz w:val="22"/>
          <w:szCs w:val="22"/>
          <w:color w:val="auto"/>
        </w:rPr>
        <w:t>: A Receivable as to which, without duplication, (i) any payment, or part thereof, remains unpaid for more than 120 days from the original due date for such payment, (ii) any portion of the Unpaid Balance or other payment due in respect thereof was (or should have been) written off prior to the 120th day following the original due date for such payment, or (iii) an Event of Bankruptcy shall have occurred with respect to the Obligor thereof or any other Person obligated thereon or owning any Related Security in respect thereof.</w:t>
      </w:r>
    </w:p>
    <w:p>
      <w:pPr>
        <w:spacing w:after="0" w:line="192"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u w:val="single" w:color="auto"/>
          <w:color w:val="auto"/>
        </w:rPr>
        <w:t>Delinquency Ratio</w:t>
      </w:r>
      <w:r>
        <w:rPr>
          <w:rFonts w:ascii="Arial" w:cs="Arial" w:eastAsia="Arial" w:hAnsi="Arial"/>
          <w:sz w:val="19"/>
          <w:szCs w:val="19"/>
          <w:color w:val="auto"/>
        </w:rPr>
        <w:t>: At any time, the ratio (expressed as a percentage) computed as of the Cut-Off Date for the most recently preceding Collection Period by dividing (i) the aggregate Unpaid Balance of all Pool Receivables that are Delinquent Receivables on such Cut-Off Date by (ii) the aggregate Unpaid Balance of Pool Receivables on such Cut-Off Date.</w:t>
      </w:r>
    </w:p>
    <w:p>
      <w:pPr>
        <w:spacing w:after="0" w:line="134"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u w:val="single" w:color="auto"/>
          <w:color w:val="auto"/>
        </w:rPr>
        <w:t>Delinquent Receivable</w:t>
      </w:r>
      <w:r>
        <w:rPr>
          <w:rFonts w:ascii="Arial" w:cs="Arial" w:eastAsia="Arial" w:hAnsi="Arial"/>
          <w:sz w:val="22"/>
          <w:szCs w:val="22"/>
          <w:color w:val="auto"/>
        </w:rPr>
        <w:t>: A Pool Receivable (i) that is not a Defaulted Receivable and (ii) as to which any payment, or part thereof, remains unpaid for 61 days or more from the original due date for such payment.</w:t>
      </w:r>
    </w:p>
    <w:p>
      <w:pPr>
        <w:sectPr>
          <w:pgSz w:w="11900" w:h="16838" w:orient="portrait"/>
          <w:cols w:equalWidth="0" w:num="1">
            <w:col w:w="11420"/>
          </w:cols>
          <w:pgMar w:left="240" w:top="132" w:right="239" w:bottom="29" w:gutter="0" w:footer="0" w:header="0"/>
        </w:sectPr>
      </w:pPr>
    </w:p>
    <w:bookmarkStart w:id="88" w:name="page89"/>
    <w:bookmarkEnd w:id="88"/>
    <w:p>
      <w:pPr>
        <w:ind w:right="240"/>
        <w:spacing w:after="0" w:line="343" w:lineRule="auto"/>
        <w:rPr>
          <w:sz w:val="20"/>
          <w:szCs w:val="20"/>
          <w:color w:val="auto"/>
        </w:rPr>
      </w:pPr>
      <w:r>
        <w:rPr>
          <w:rFonts w:ascii="Arial" w:cs="Arial" w:eastAsia="Arial" w:hAnsi="Arial"/>
          <w:sz w:val="19"/>
          <w:szCs w:val="19"/>
          <w:u w:val="single" w:color="auto"/>
          <w:color w:val="auto"/>
        </w:rPr>
        <w:t>Dilution</w:t>
      </w:r>
      <w:r>
        <w:rPr>
          <w:rFonts w:ascii="Arial" w:cs="Arial" w:eastAsia="Arial" w:hAnsi="Arial"/>
          <w:sz w:val="19"/>
          <w:szCs w:val="19"/>
          <w:color w:val="auto"/>
        </w:rPr>
        <w:t xml:space="preserve">: The amount of any reduction or cancellation of the Unpaid Balance of a Pool Receivable as described in </w:t>
      </w:r>
      <w:r>
        <w:rPr>
          <w:rFonts w:ascii="Arial" w:cs="Arial" w:eastAsia="Arial" w:hAnsi="Arial"/>
          <w:sz w:val="19"/>
          <w:szCs w:val="19"/>
          <w:u w:val="single" w:color="auto"/>
          <w:color w:val="auto"/>
        </w:rPr>
        <w:t>Section 3.2(a)</w:t>
      </w:r>
      <w:r>
        <w:rPr>
          <w:rFonts w:ascii="Arial" w:cs="Arial" w:eastAsia="Arial" w:hAnsi="Arial"/>
          <w:sz w:val="19"/>
          <w:szCs w:val="19"/>
          <w:color w:val="auto"/>
        </w:rPr>
        <w:t>, but excluding any Specified Annual Rebate processed during the applicable Collection Period, if applicable.</w:t>
      </w:r>
    </w:p>
    <w:p>
      <w:pPr>
        <w:spacing w:after="0" w:line="105"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u w:val="single" w:color="auto"/>
          <w:color w:val="auto"/>
        </w:rPr>
        <w:t>Dilution Horizon</w:t>
      </w:r>
      <w:r>
        <w:rPr>
          <w:rFonts w:ascii="Arial" w:cs="Arial" w:eastAsia="Arial" w:hAnsi="Arial"/>
          <w:sz w:val="22"/>
          <w:szCs w:val="22"/>
          <w:color w:val="auto"/>
        </w:rPr>
        <w:t xml:space="preserve">: For any day, the weighted average credit memo lag, in days, set forth in the most recent review conducted pursuant to the provisions of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u w:val="single" w:color="auto"/>
          <w:color w:val="auto"/>
        </w:rPr>
        <w:t>Dilution Horizon Ratio</w:t>
      </w:r>
      <w:r>
        <w:rPr>
          <w:rFonts w:ascii="Arial" w:cs="Arial" w:eastAsia="Arial" w:hAnsi="Arial"/>
          <w:sz w:val="19"/>
          <w:szCs w:val="19"/>
          <w:color w:val="auto"/>
        </w:rPr>
        <w:t>: As of any date, the product (calculated as of the most recent Reporting Date) of (a) the decimal equivalent of a fraction, the numerator of which is the aggregate dollar amount of all Receivables generated by the Originators during the most recent Collection Period and the denominator of which is the Net Pool Balance as of the most recent Cut-Off Date and (b) the decimal equivalent of a fraction the numerator of which is the then current Dilution Horizon and the denominator of which is 31.</w:t>
      </w:r>
    </w:p>
    <w:p>
      <w:pPr>
        <w:spacing w:after="0" w:line="143"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u w:val="single" w:color="auto"/>
          <w:color w:val="auto"/>
        </w:rPr>
        <w:t>Dilution Ratio</w:t>
      </w:r>
      <w:r>
        <w:rPr>
          <w:rFonts w:ascii="Arial" w:cs="Arial" w:eastAsia="Arial" w:hAnsi="Arial"/>
          <w:sz w:val="21"/>
          <w:szCs w:val="21"/>
          <w:color w:val="auto"/>
        </w:rPr>
        <w:t>: As of any Cut-Off Date, the percentage equivalent of a fraction, the numerator of which is the aggregate dollar amount of Dilutions that occurred during the Collection Period ending on such date and the denominator of which is the aggregate dollar amount of all Receivables originated by the Originators during such Collection Period.</w:t>
      </w:r>
    </w:p>
    <w:p>
      <w:pPr>
        <w:spacing w:after="0" w:line="168"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u w:val="single" w:color="auto"/>
          <w:color w:val="auto"/>
        </w:rPr>
        <w:t>Dilution Reserve</w:t>
      </w:r>
      <w:r>
        <w:rPr>
          <w:rFonts w:ascii="Arial" w:cs="Arial" w:eastAsia="Arial" w:hAnsi="Arial"/>
          <w:sz w:val="22"/>
          <w:szCs w:val="22"/>
          <w:color w:val="auto"/>
        </w:rPr>
        <w:t>: The product of (i) the sum of (A) the product of (x) 2 and (y) the Adjusted Dilution Ratio plus (B) the Dilution Volatility Component and (ii) the Dilution Horizon Ratio.</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u w:val="single" w:color="auto"/>
          <w:color w:val="auto"/>
        </w:rPr>
        <w:t>Dilution Volatility Component</w:t>
      </w:r>
      <w:r>
        <w:rPr>
          <w:rFonts w:ascii="Arial" w:cs="Arial" w:eastAsia="Arial" w:hAnsi="Arial"/>
          <w:sz w:val="22"/>
          <w:szCs w:val="22"/>
          <w:color w:val="auto"/>
        </w:rPr>
        <w:t>: The product of (i) the positive excess, if any, of (A) the highest three month rolling average Dilution Ratio over the past 12 months over (B) the Adjusted Dilution Ratio and (ii) a fraction, the numerator of which is the highest three month rolling average Dilution Ratio over the past 12 months and the denominator of which is the Adjusted Dilution Ratio.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Dollars</w:t>
      </w:r>
      <w:r>
        <w:rPr>
          <w:rFonts w:ascii="Arial" w:cs="Arial" w:eastAsia="Arial" w:hAnsi="Arial"/>
          <w:sz w:val="22"/>
          <w:szCs w:val="22"/>
          <w:color w:val="auto"/>
        </w:rPr>
        <w:t>: Means dollars in lawful money of the United States of America.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Downgraded Liquidity Bank</w:t>
      </w:r>
      <w:r>
        <w:rPr>
          <w:rFonts w:ascii="Arial" w:cs="Arial" w:eastAsia="Arial" w:hAnsi="Arial"/>
          <w:sz w:val="22"/>
          <w:szCs w:val="22"/>
          <w:color w:val="auto"/>
        </w:rPr>
        <w:t>: A Liquidity Bank with respect to which a Downgrading Event shall have occurred.</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u w:val="single" w:color="auto"/>
          <w:color w:val="auto"/>
        </w:rPr>
        <w:t>Downgrading Event</w:t>
      </w:r>
      <w:r>
        <w:rPr>
          <w:rFonts w:ascii="Arial" w:cs="Arial" w:eastAsia="Arial" w:hAnsi="Arial"/>
          <w:sz w:val="22"/>
          <w:szCs w:val="22"/>
          <w:color w:val="auto"/>
        </w:rPr>
        <w:t>: With respect to any Person means the lowering of the rating with regard to the short-term securities of such Person to below (i) A-1 by Standard &amp; Poor’s Ratings Group, or (ii) P-1 by Moody’s.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u w:val="single" w:color="auto"/>
          <w:color w:val="auto"/>
        </w:rPr>
        <w:t>Earned Discount</w:t>
      </w:r>
      <w:r>
        <w:rPr>
          <w:rFonts w:ascii="Arial" w:cs="Arial" w:eastAsia="Arial" w:hAnsi="Arial"/>
          <w:sz w:val="22"/>
          <w:szCs w:val="22"/>
          <w:color w:val="auto"/>
        </w:rPr>
        <w:t>: For each day during any Yield Period for any Asset Tranche funded with a Liquidity Funding by any Purchaser Group: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520" w:type="dxa"/>
            <w:vAlign w:val="bottom"/>
            <w:gridSpan w:val="2"/>
          </w:tcPr>
          <w:p>
            <w:pPr>
              <w:jc w:val="center"/>
              <w:ind w:right="4960"/>
              <w:spacing w:after="0"/>
              <w:rPr>
                <w:sz w:val="20"/>
                <w:szCs w:val="20"/>
                <w:color w:val="auto"/>
              </w:rPr>
            </w:pPr>
            <w:r>
              <w:rPr>
                <w:rFonts w:ascii="Arial" w:cs="Arial" w:eastAsia="Arial" w:hAnsi="Arial"/>
                <w:sz w:val="22"/>
                <w:szCs w:val="22"/>
                <w:color w:val="auto"/>
                <w:w w:val="95"/>
              </w:rPr>
              <w:t xml:space="preserve">IA x ER x ED </w:t>
            </w:r>
            <w:r>
              <w:rPr>
                <w:rFonts w:ascii="Arial" w:cs="Arial" w:eastAsia="Arial" w:hAnsi="Arial"/>
                <w:sz w:val="14"/>
                <w:szCs w:val="14"/>
                <w:color w:val="auto"/>
                <w:w w:val="95"/>
              </w:rPr>
              <w:t>+ LF</w:t>
            </w:r>
          </w:p>
        </w:tc>
      </w:tr>
      <w:tr>
        <w:trPr>
          <w:trHeight w:val="287"/>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22"/>
                <w:szCs w:val="22"/>
                <w:color w:val="auto"/>
              </w:rPr>
              <w:t>360</w:t>
            </w:r>
          </w:p>
        </w:tc>
        <w:tc>
          <w:tcPr>
            <w:tcW w:w="5300" w:type="dxa"/>
            <w:vAlign w:val="bottom"/>
          </w:tcPr>
          <w:p>
            <w:pPr>
              <w:spacing w:after="0"/>
              <w:rPr>
                <w:sz w:val="24"/>
                <w:szCs w:val="24"/>
                <w:color w:val="auto"/>
              </w:rPr>
            </w:pPr>
          </w:p>
        </w:tc>
      </w:tr>
      <w:tr>
        <w:trPr>
          <w:trHeight w:val="473"/>
        </w:trPr>
        <w:tc>
          <w:tcPr>
            <w:tcW w:w="1720" w:type="dxa"/>
            <w:vAlign w:val="bottom"/>
          </w:tcPr>
          <w:p>
            <w:pPr>
              <w:spacing w:after="0"/>
              <w:rPr>
                <w:sz w:val="20"/>
                <w:szCs w:val="20"/>
                <w:color w:val="auto"/>
              </w:rPr>
            </w:pPr>
            <w:r>
              <w:rPr>
                <w:rFonts w:ascii="Arial" w:cs="Arial" w:eastAsia="Arial" w:hAnsi="Arial"/>
                <w:sz w:val="22"/>
                <w:szCs w:val="22"/>
                <w:color w:val="auto"/>
              </w:rPr>
              <w:t>where:</w:t>
            </w:r>
          </w:p>
        </w:tc>
        <w:tc>
          <w:tcPr>
            <w:tcW w:w="3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55"/>
        </w:trPr>
        <w:tc>
          <w:tcPr>
            <w:tcW w:w="1720" w:type="dxa"/>
            <w:vAlign w:val="bottom"/>
          </w:tcPr>
          <w:p>
            <w:pPr>
              <w:ind w:left="1300"/>
              <w:spacing w:after="0"/>
              <w:rPr>
                <w:sz w:val="20"/>
                <w:szCs w:val="20"/>
                <w:color w:val="auto"/>
              </w:rPr>
            </w:pPr>
            <w:r>
              <w:rPr>
                <w:rFonts w:ascii="Arial" w:cs="Arial" w:eastAsia="Arial" w:hAnsi="Arial"/>
                <w:sz w:val="22"/>
                <w:szCs w:val="22"/>
                <w:color w:val="auto"/>
              </w:rPr>
              <w:t>IA</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w w:val="88"/>
              </w:rPr>
              <w:t>=  such Purchaser Group’s Purchaser Group Invested Amount in such Asset Tranche on such day during such</w:t>
            </w:r>
          </w:p>
        </w:tc>
      </w:tr>
      <w:tr>
        <w:trPr>
          <w:trHeight w:val="275"/>
        </w:trPr>
        <w:tc>
          <w:tcPr>
            <w:tcW w:w="1720" w:type="dxa"/>
            <w:vAlign w:val="bottom"/>
          </w:tcPr>
          <w:p>
            <w:pPr>
              <w:spacing w:after="0"/>
              <w:rPr>
                <w:sz w:val="23"/>
                <w:szCs w:val="23"/>
                <w:color w:val="auto"/>
              </w:rPr>
            </w:pPr>
          </w:p>
        </w:tc>
        <w:tc>
          <w:tcPr>
            <w:tcW w:w="9700" w:type="dxa"/>
            <w:vAlign w:val="bottom"/>
            <w:gridSpan w:val="3"/>
          </w:tcPr>
          <w:p>
            <w:pPr>
              <w:ind w:left="560"/>
              <w:spacing w:after="0"/>
              <w:rPr>
                <w:sz w:val="20"/>
                <w:szCs w:val="20"/>
                <w:color w:val="auto"/>
              </w:rPr>
            </w:pPr>
            <w:r>
              <w:rPr>
                <w:rFonts w:ascii="Arial" w:cs="Arial" w:eastAsia="Arial" w:hAnsi="Arial"/>
                <w:sz w:val="22"/>
                <w:szCs w:val="22"/>
                <w:color w:val="auto"/>
              </w:rPr>
              <w:t>Yield Period,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ER</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applicable Earned Discount Rate for such Yield Period,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ED</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actual number of days elapsed during such Yield Period, and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LF</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Liquidation Fee, if any, during such Yield Period.</w:t>
            </w:r>
          </w:p>
        </w:tc>
      </w:tr>
    </w:tbl>
    <w:p>
      <w:pPr>
        <w:spacing w:after="0" w:line="198"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u w:val="single" w:color="auto"/>
          <w:color w:val="auto"/>
        </w:rPr>
        <w:t>Earned Discount Rate</w:t>
      </w:r>
      <w:r>
        <w:rPr>
          <w:rFonts w:ascii="Arial" w:cs="Arial" w:eastAsia="Arial" w:hAnsi="Arial"/>
          <w:sz w:val="22"/>
          <w:szCs w:val="22"/>
          <w:color w:val="auto"/>
        </w:rPr>
        <w:t>: For any Yield Period for any Asset Tranche funded by a Liquidity Funding, the Bank Rate for such Asset Tranche and such Yield Period;</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on any day when any Liquidation Event or an Unmatured Liquidation Event shall have occurred and be continuing, the Earned Discount Rate for each Asset Tranche shall mean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Base Rate plus 2% </w:t>
      </w:r>
      <w:r>
        <w:rPr>
          <w:rFonts w:ascii="Arial" w:cs="Arial" w:eastAsia="Arial" w:hAnsi="Arial"/>
          <w:sz w:val="22"/>
          <w:szCs w:val="22"/>
          <w:u w:val="single" w:color="auto"/>
          <w:color w:val="auto"/>
        </w:rPr>
        <w:t>per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annum</w:t>
      </w:r>
      <w:r>
        <w:rPr>
          <w:rFonts w:ascii="Arial" w:cs="Arial" w:eastAsia="Arial" w:hAnsi="Arial"/>
          <w:sz w:val="22"/>
          <w:szCs w:val="22"/>
          <w:color w:val="auto"/>
        </w:rPr>
        <w:t>.</w:t>
      </w:r>
    </w:p>
    <w:p>
      <w:pPr>
        <w:spacing w:after="0" w:line="186"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u w:val="single" w:color="auto"/>
          <w:color w:val="auto"/>
        </w:rPr>
        <w:t>Eligible Assignee</w:t>
      </w:r>
      <w:r>
        <w:rPr>
          <w:rFonts w:ascii="Arial" w:cs="Arial" w:eastAsia="Arial" w:hAnsi="Arial"/>
          <w:sz w:val="22"/>
          <w:szCs w:val="22"/>
          <w:color w:val="auto"/>
        </w:rPr>
        <w:t>: (i) BTMU or any of its Affiliates, (ii) any Person managed by BTMU or any of its Affiliates, (iii) WFB or any of its Affiliates, (iv) any Person managed by WFB or any of its Affiliates, or (v) any financial or other institution acceptable to the Administrative Agent, and approved by the Seller (which approval by the Seller shall not be unreasonably withheld, delayed or conditioned and shall not be required if a Liquidation Event, Unmatured Liquidation Event or Credit Event has occurred and is continuing).</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Eligible Receivable</w:t>
      </w:r>
      <w:r>
        <w:rPr>
          <w:rFonts w:ascii="Arial" w:cs="Arial" w:eastAsia="Arial" w:hAnsi="Arial"/>
          <w:sz w:val="22"/>
          <w:szCs w:val="22"/>
          <w:color w:val="auto"/>
        </w:rPr>
        <w:t>: At any time, a Receivable:</w:t>
      </w:r>
    </w:p>
    <w:p>
      <w:pPr>
        <w:spacing w:after="0" w:line="220" w:lineRule="exact"/>
        <w:rPr>
          <w:sz w:val="20"/>
          <w:szCs w:val="20"/>
          <w:color w:val="auto"/>
        </w:rPr>
      </w:pPr>
    </w:p>
    <w:p>
      <w:pPr>
        <w:ind w:left="660" w:right="20" w:firstLine="645"/>
        <w:spacing w:after="0" w:line="287" w:lineRule="auto"/>
        <w:tabs>
          <w:tab w:leader="none" w:pos="172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which is a Pool Receivable arising out of the sale by an Originator in the ordinary course of its business that has been sold or contributed to the Seller pursuant to the Sale Agreement in a “true sale” transaction;</w:t>
      </w:r>
    </w:p>
    <w:p>
      <w:pPr>
        <w:spacing w:after="0" w:line="151" w:lineRule="exact"/>
        <w:rPr>
          <w:rFonts w:ascii="Arial" w:cs="Arial" w:eastAsia="Arial" w:hAnsi="Arial"/>
          <w:sz w:val="21"/>
          <w:szCs w:val="21"/>
          <w:color w:val="auto"/>
        </w:rPr>
      </w:pPr>
    </w:p>
    <w:p>
      <w:pPr>
        <w:ind w:left="660" w:right="80" w:firstLine="645"/>
        <w:spacing w:after="0" w:line="343" w:lineRule="auto"/>
        <w:tabs>
          <w:tab w:leader="none" w:pos="178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as to which the perfection of the Investors’ undivided percentage ownership interest therein is governed by the laws of a jurisdiction where the UCC is in force, and which constitutes an “account” as defined in the UCC as in effect in</w:t>
      </w:r>
    </w:p>
    <w:p>
      <w:pPr>
        <w:sectPr>
          <w:pgSz w:w="11900" w:h="16838" w:orient="portrait"/>
          <w:cols w:equalWidth="0" w:num="1">
            <w:col w:w="11420"/>
          </w:cols>
          <w:pgMar w:left="240" w:top="131" w:right="239" w:bottom="0" w:gutter="0" w:footer="0" w:header="0"/>
        </w:sectPr>
      </w:pPr>
    </w:p>
    <w:bookmarkStart w:id="89" w:name="page90"/>
    <w:bookmarkEnd w:id="89"/>
    <w:p>
      <w:pPr>
        <w:ind w:left="4"/>
        <w:spacing w:after="0"/>
        <w:rPr>
          <w:sz w:val="20"/>
          <w:szCs w:val="20"/>
          <w:color w:val="auto"/>
        </w:rPr>
      </w:pPr>
      <w:r>
        <w:rPr>
          <w:rFonts w:ascii="Arial" w:cs="Arial" w:eastAsia="Arial" w:hAnsi="Arial"/>
          <w:sz w:val="22"/>
          <w:szCs w:val="22"/>
          <w:color w:val="auto"/>
        </w:rPr>
        <w:t>such jurisdiction;</w:t>
      </w:r>
    </w:p>
    <w:p>
      <w:pPr>
        <w:spacing w:after="0" w:line="220" w:lineRule="exact"/>
        <w:rPr>
          <w:sz w:val="20"/>
          <w:szCs w:val="20"/>
          <w:color w:val="auto"/>
        </w:rPr>
      </w:pPr>
    </w:p>
    <w:p>
      <w:pPr>
        <w:ind w:left="4" w:right="60" w:firstLine="645"/>
        <w:spacing w:after="0" w:line="285" w:lineRule="auto"/>
        <w:tabs>
          <w:tab w:leader="none" w:pos="119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the Obligor of which is (A) a resident of the United States, or any of its possessions or territories;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Receivable that is otherwise an “Eligible Receivable” but for this </w:t>
      </w:r>
      <w:r>
        <w:rPr>
          <w:rFonts w:ascii="Arial" w:cs="Arial" w:eastAsia="Arial" w:hAnsi="Arial"/>
          <w:sz w:val="19"/>
          <w:szCs w:val="19"/>
          <w:u w:val="single" w:color="auto"/>
          <w:color w:val="auto"/>
        </w:rPr>
        <w:t>clause (iii)(A)</w:t>
      </w:r>
      <w:r>
        <w:rPr>
          <w:rFonts w:ascii="Arial" w:cs="Arial" w:eastAsia="Arial" w:hAnsi="Arial"/>
          <w:sz w:val="19"/>
          <w:szCs w:val="19"/>
          <w:color w:val="auto"/>
        </w:rPr>
        <w:t xml:space="preserve"> shall be an Eligible Receivable if (a) the Obligor of such Receivable is domiciled in Canada, or any of its provinces or territories, and the Unpaid Balance of such Receivable, when added to the Unpaid Balance of all other Receivables as to which the Obligors are residents of Canada, or any of its provinces or territories, classified at such time as Eligible Receivables pursuant to this clause (a), would not exceed 5% of the aggregate Unpaid Balance of all Eligible Receivables at such time; and (b) the Unpaid Balance of such Receivable, when added to the Unpaid Balance of all other Receivables as to which the Obligors are not residents of the United States or Canada, or any of its possessions, provinces or territories, classified at such time as Eligible Receivables pursuant to this clause (b), would not exceed 6% of the aggregate Unpaid Balance of all Eligible Receivables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at no time shall (x) a Receivable as to which the Obligor is domiciled in a non-OECD member country, and that is otherwise classified at such time as an “Eligible Receivable”, be an Eligible Receivable if the Unpaid Balance of such Receivable, when added to the Unpaid Balance of all other Receivables as to which the Obligors are domiciled in non-OECD member countries, and that are otherwise classified at such time as Eligible Receivables, would exceed 3% of the aggregate Unpaid Balance of all Eligible Receivables at such time, and (y) any Receivable the Obligor of which is domiciled in Venezuela be classified as an Eligible Receivable, (B) not an Affiliate or employee of any Seller Party, and (C) not a Sanctioned Person nor organized or resident in a Sanctioned Country;</w:t>
      </w:r>
    </w:p>
    <w:p>
      <w:pPr>
        <w:spacing w:after="0" w:line="170" w:lineRule="exact"/>
        <w:rPr>
          <w:rFonts w:ascii="Arial" w:cs="Arial" w:eastAsia="Arial" w:hAnsi="Arial"/>
          <w:sz w:val="19"/>
          <w:szCs w:val="19"/>
          <w:color w:val="auto"/>
        </w:rPr>
      </w:pPr>
    </w:p>
    <w:p>
      <w:pPr>
        <w:ind w:left="1184" w:hanging="535"/>
        <w:spacing w:after="0"/>
        <w:tabs>
          <w:tab w:leader="none" w:pos="118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which is neither a Defaulted Receivable nor a Delinquent Receivable;</w:t>
      </w:r>
    </w:p>
    <w:p>
      <w:pPr>
        <w:spacing w:after="0" w:line="219" w:lineRule="exact"/>
        <w:rPr>
          <w:rFonts w:ascii="Arial" w:cs="Arial" w:eastAsia="Arial" w:hAnsi="Arial"/>
          <w:sz w:val="22"/>
          <w:szCs w:val="22"/>
          <w:color w:val="auto"/>
        </w:rPr>
      </w:pPr>
    </w:p>
    <w:p>
      <w:pPr>
        <w:ind w:left="1124" w:hanging="475"/>
        <w:spacing w:after="0"/>
        <w:tabs>
          <w:tab w:leader="none" w:pos="112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with regard to which the representations and warranties of the Seller set forth in </w:t>
      </w:r>
      <w:r>
        <w:rPr>
          <w:rFonts w:ascii="Arial" w:cs="Arial" w:eastAsia="Arial" w:hAnsi="Arial"/>
          <w:sz w:val="19"/>
          <w:szCs w:val="19"/>
          <w:u w:val="single" w:color="auto"/>
          <w:color w:val="auto"/>
        </w:rPr>
        <w:t>Section 6.1(l)</w:t>
      </w:r>
      <w:r>
        <w:rPr>
          <w:rFonts w:ascii="Arial" w:cs="Arial" w:eastAsia="Arial" w:hAnsi="Arial"/>
          <w:sz w:val="19"/>
          <w:szCs w:val="19"/>
          <w:color w:val="auto"/>
        </w:rPr>
        <w:t xml:space="preserve"> are true and</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correct;</w:t>
      </w:r>
    </w:p>
    <w:p>
      <w:pPr>
        <w:spacing w:after="0" w:line="201" w:lineRule="exact"/>
        <w:rPr>
          <w:rFonts w:ascii="Arial" w:cs="Arial" w:eastAsia="Arial" w:hAnsi="Arial"/>
          <w:sz w:val="19"/>
          <w:szCs w:val="19"/>
          <w:color w:val="auto"/>
        </w:rPr>
      </w:pPr>
    </w:p>
    <w:p>
      <w:pPr>
        <w:ind w:left="1184" w:hanging="535"/>
        <w:spacing w:after="0"/>
        <w:tabs>
          <w:tab w:leader="none" w:pos="118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sale of an undivided interest in which does not contravene or conflict with any law;</w:t>
      </w:r>
    </w:p>
    <w:p>
      <w:pPr>
        <w:spacing w:after="0" w:line="219" w:lineRule="exact"/>
        <w:rPr>
          <w:rFonts w:ascii="Arial" w:cs="Arial" w:eastAsia="Arial" w:hAnsi="Arial"/>
          <w:sz w:val="22"/>
          <w:szCs w:val="22"/>
          <w:color w:val="auto"/>
        </w:rPr>
      </w:pPr>
    </w:p>
    <w:p>
      <w:pPr>
        <w:ind w:left="1244" w:hanging="595"/>
        <w:spacing w:after="0"/>
        <w:tabs>
          <w:tab w:leader="none" w:pos="124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which is denominated and payable only in Dollars in the United States;</w:t>
      </w:r>
    </w:p>
    <w:p>
      <w:pPr>
        <w:spacing w:after="0" w:line="219" w:lineRule="exact"/>
        <w:rPr>
          <w:rFonts w:ascii="Arial" w:cs="Arial" w:eastAsia="Arial" w:hAnsi="Arial"/>
          <w:sz w:val="22"/>
          <w:szCs w:val="22"/>
          <w:color w:val="auto"/>
        </w:rPr>
      </w:pPr>
    </w:p>
    <w:p>
      <w:pPr>
        <w:ind w:left="4" w:right="20" w:firstLine="645"/>
        <w:spacing w:after="0" w:line="261" w:lineRule="auto"/>
        <w:tabs>
          <w:tab w:leader="none" w:pos="13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 xml:space="preserve">which arises under a Contract that has been duly authorized and that, together with such Receivable, is in full force and effect and constitutes the legal, valid and binding obligation of the Obligor of such Receivable enforceable against such Obligor in accordance with its terms and is not subject to any dispute, offset, counterclaim or defense whatsoever,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dispute, offset, counterclaim or defense affects only a portion of the Unpaid Balance of such Receivable then such Receivable may be deemed an Eligible Receivable to the extent of the portion of such Unpaid Balance which is not so affected;</w:t>
      </w:r>
    </w:p>
    <w:p>
      <w:pPr>
        <w:spacing w:after="0" w:line="180" w:lineRule="exact"/>
        <w:rPr>
          <w:rFonts w:ascii="Arial" w:cs="Arial" w:eastAsia="Arial" w:hAnsi="Arial"/>
          <w:sz w:val="21"/>
          <w:szCs w:val="21"/>
          <w:color w:val="auto"/>
        </w:rPr>
      </w:pPr>
    </w:p>
    <w:p>
      <w:pPr>
        <w:ind w:left="4" w:firstLine="645"/>
        <w:spacing w:after="0" w:line="263" w:lineRule="auto"/>
        <w:tabs>
          <w:tab w:leader="none" w:pos="118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which, together with the Contract related thereto, does not contravene in any material respect any laws, rules or regulations applicable thereto (including, without limitation, laws, rules and regulations relating to usury, truth in lending, fair credit billing, fair credit reporting, equal credit opportunity, fair debt collection practices and privacy) and with respect to which no party to the Contract related thereto is in violation of any such law, rule or regulation in any material respect if such violation would impair the collectibility of such Receivable;</w:t>
      </w:r>
    </w:p>
    <w:p>
      <w:pPr>
        <w:spacing w:after="0" w:line="175" w:lineRule="exact"/>
        <w:rPr>
          <w:rFonts w:ascii="Arial" w:cs="Arial" w:eastAsia="Arial" w:hAnsi="Arial"/>
          <w:sz w:val="21"/>
          <w:szCs w:val="21"/>
          <w:color w:val="auto"/>
        </w:rPr>
      </w:pPr>
    </w:p>
    <w:p>
      <w:pPr>
        <w:ind w:left="4" w:right="420" w:firstLine="645"/>
        <w:spacing w:after="0" w:line="263" w:lineRule="auto"/>
        <w:tabs>
          <w:tab w:leader="none" w:pos="112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which satisfies in all material respects all applicable requirements of the applicable Originator’s Credit and Collection Policy;</w:t>
      </w:r>
    </w:p>
    <w:p>
      <w:pPr>
        <w:spacing w:after="0" w:line="174" w:lineRule="exact"/>
        <w:rPr>
          <w:rFonts w:ascii="Arial" w:cs="Arial" w:eastAsia="Arial" w:hAnsi="Arial"/>
          <w:sz w:val="22"/>
          <w:szCs w:val="22"/>
          <w:color w:val="auto"/>
        </w:rPr>
      </w:pPr>
    </w:p>
    <w:p>
      <w:pPr>
        <w:ind w:left="4" w:right="40" w:firstLine="645"/>
        <w:spacing w:after="0" w:line="292" w:lineRule="auto"/>
        <w:tabs>
          <w:tab w:leader="none" w:pos="118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which, according to the Contract related thereto, is due and payable within 120 days from the invoice date of such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 any day when the Weighted Average Term shall exceed 60 days, such Receivable, pursuant to the Contract related thereto, shall be due and payable within 90 days from the invoice date of such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Receivable that is otherwise an “Eligible Receivable” and is due and payable within 91-120 days from its invoice date shall not be an Eligible Receivable, if the Unpaid Balance of such Receivable when added to the Unpaid Balance of all other Receivables that are due and payable within 91-120 days from their respective invoice dates, would exceed 5% of the aggregate Unpaid Balance of all Receivables;</w:t>
      </w:r>
    </w:p>
    <w:p>
      <w:pPr>
        <w:spacing w:after="0" w:line="151" w:lineRule="exact"/>
        <w:rPr>
          <w:rFonts w:ascii="Arial" w:cs="Arial" w:eastAsia="Arial" w:hAnsi="Arial"/>
          <w:sz w:val="19"/>
          <w:szCs w:val="19"/>
          <w:color w:val="auto"/>
        </w:rPr>
      </w:pPr>
    </w:p>
    <w:p>
      <w:pPr>
        <w:ind w:left="4" w:right="40" w:firstLine="645"/>
        <w:spacing w:after="0" w:line="263" w:lineRule="auto"/>
        <w:tabs>
          <w:tab w:leader="none" w:pos="12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Obligor of which is not the Obligor of any Defaulted Receivable which in the aggregate constitute 35% or more of the aggregate Unpaid Balance of all Receivables of such Obligor;</w:t>
      </w:r>
    </w:p>
    <w:p>
      <w:pPr>
        <w:spacing w:after="0" w:line="174" w:lineRule="exact"/>
        <w:rPr>
          <w:rFonts w:ascii="Arial" w:cs="Arial" w:eastAsia="Arial" w:hAnsi="Arial"/>
          <w:sz w:val="22"/>
          <w:szCs w:val="22"/>
          <w:color w:val="auto"/>
        </w:rPr>
      </w:pPr>
    </w:p>
    <w:p>
      <w:pPr>
        <w:ind w:left="4" w:right="400" w:firstLine="645"/>
        <w:spacing w:after="0" w:line="263" w:lineRule="auto"/>
        <w:tabs>
          <w:tab w:leader="none" w:pos="130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original term of which has not been extended and the Unpaid Balance of which has not been adjusted more than one time;</w:t>
      </w:r>
    </w:p>
    <w:p>
      <w:pPr>
        <w:spacing w:after="0" w:line="174" w:lineRule="exact"/>
        <w:rPr>
          <w:rFonts w:ascii="Arial" w:cs="Arial" w:eastAsia="Arial" w:hAnsi="Arial"/>
          <w:sz w:val="22"/>
          <w:szCs w:val="22"/>
          <w:color w:val="auto"/>
        </w:rPr>
      </w:pPr>
    </w:p>
    <w:p>
      <w:pPr>
        <w:ind w:left="4" w:right="80" w:firstLine="645"/>
        <w:spacing w:after="0" w:line="288" w:lineRule="auto"/>
        <w:tabs>
          <w:tab w:leader="none" w:pos="1288"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the Obligor of which is not a Governmental Authority as to which the assignment of receivables owing therefrom requires compliance with the Federal Assignment of Claims Act or other similar legislation (unless the Seller has complied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Receivable that is otherwise an “Eligible Receivable” but for this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4" w:right="120" w:hanging="4"/>
        <w:spacing w:after="0" w:line="244" w:lineRule="auto"/>
        <w:tabs>
          <w:tab w:leader="none" w:pos="478" w:val="left"/>
        </w:tabs>
        <w:numPr>
          <w:ilvl w:val="0"/>
          <w:numId w:val="105"/>
        </w:numPr>
        <w:rPr>
          <w:rFonts w:ascii="Arial" w:cs="Arial" w:eastAsia="Arial" w:hAnsi="Arial"/>
          <w:sz w:val="22"/>
          <w:szCs w:val="22"/>
          <w:u w:val="single" w:color="auto"/>
          <w:color w:val="auto"/>
        </w:rPr>
      </w:pPr>
      <w:r>
        <w:rPr>
          <w:rFonts w:ascii="Arial" w:cs="Arial" w:eastAsia="Arial" w:hAnsi="Arial"/>
          <w:sz w:val="22"/>
          <w:szCs w:val="22"/>
          <w:color w:val="auto"/>
        </w:rPr>
        <w:t>shall be an Eligible Receivable if the Unpaid Balance of such Receivable, when added to the Unpaid Balance of all other Receivables as to which the Obligors of which are Government Authorities as to which the assignment of receivables owing therefrom requires compliance with the Federal Assignment of Claims Act or other similar legislation, classified at such time as Eligible Receivables pursuant to this proviso, would not exceed 5% of the aggregate Unpaid Balance of all Eligible Receivables at such time;</w:t>
      </w:r>
    </w:p>
    <w:p>
      <w:pPr>
        <w:sectPr>
          <w:pgSz w:w="11900" w:h="16838" w:orient="portrait"/>
          <w:cols w:equalWidth="0" w:num="1">
            <w:col w:w="10764"/>
          </w:cols>
          <w:pgMar w:left="896" w:top="131" w:right="239" w:bottom="0" w:gutter="0" w:footer="0" w:header="0"/>
        </w:sectPr>
      </w:pPr>
    </w:p>
    <w:bookmarkStart w:id="90" w:name="page91"/>
    <w:bookmarkEnd w:id="90"/>
    <w:p>
      <w:pPr>
        <w:ind w:left="660" w:right="100" w:firstLine="645"/>
        <w:spacing w:after="0" w:line="291" w:lineRule="auto"/>
        <w:tabs>
          <w:tab w:leader="none" w:pos="188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which is not classified by the “Terms Description” of the related Originator’s Credit and Collection Policy or any other internal classification procedures utilized by such Originator as (A) “Authorizer,” (B) “Cash Application,”</w:t>
      </w:r>
    </w:p>
    <w:p>
      <w:pPr>
        <w:spacing w:after="0" w:line="1" w:lineRule="exact"/>
        <w:rPr>
          <w:rFonts w:ascii="Arial" w:cs="Arial" w:eastAsia="Arial" w:hAnsi="Arial"/>
          <w:sz w:val="19"/>
          <w:szCs w:val="19"/>
          <w:color w:val="auto"/>
        </w:rPr>
      </w:pPr>
    </w:p>
    <w:p>
      <w:pPr>
        <w:ind w:left="1000" w:hanging="344"/>
        <w:spacing w:after="0"/>
        <w:tabs>
          <w:tab w:leader="none" w:pos="100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“Check in Progress,” (D) “COD-Certified Check,” (E) “COD-Company Check,” (F) “Consignment Shipment,”</w:t>
      </w:r>
    </w:p>
    <w:p>
      <w:pPr>
        <w:spacing w:after="0" w:line="15" w:lineRule="exact"/>
        <w:rPr>
          <w:sz w:val="20"/>
          <w:szCs w:val="20"/>
          <w:color w:val="auto"/>
        </w:rPr>
      </w:pPr>
    </w:p>
    <w:p>
      <w:pPr>
        <w:jc w:val="both"/>
        <w:ind w:left="660" w:right="60" w:hanging="4"/>
        <w:spacing w:after="0" w:line="245" w:lineRule="auto"/>
        <w:tabs>
          <w:tab w:leader="none" w:pos="101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“Direct Pay,” (H) “Due Immediately,” (I) “Gratis,” (J) “Invoice to be Considered,” (K) “Paid in Advance,” (L) “Payroll Deduction,” (M) “Warrant Gratis,” (N) “Warranty Parts,” or (O) any other classification now existing or hereinafter created that has the same or any similar definition as any of the foregoing;</w:t>
      </w:r>
    </w:p>
    <w:p>
      <w:pPr>
        <w:spacing w:after="0" w:line="193" w:lineRule="exact"/>
        <w:rPr>
          <w:rFonts w:ascii="Arial" w:cs="Arial" w:eastAsia="Arial" w:hAnsi="Arial"/>
          <w:sz w:val="22"/>
          <w:szCs w:val="22"/>
          <w:color w:val="auto"/>
        </w:rPr>
      </w:pPr>
    </w:p>
    <w:p>
      <w:pPr>
        <w:ind w:left="660" w:right="60" w:firstLine="645"/>
        <w:spacing w:after="0" w:line="253" w:lineRule="auto"/>
        <w:tabs>
          <w:tab w:leader="none" w:pos="194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as to which the applicable Originator has satisfied and fully performed all obligations on its part with respect to such Receivable required to be fulfilled by it, and no further action is required to be performed by any Person with respect thereto other than payment thereon by the applicable Obligor; and</w:t>
      </w:r>
    </w:p>
    <w:p>
      <w:pPr>
        <w:spacing w:after="0" w:line="185" w:lineRule="exact"/>
        <w:rPr>
          <w:rFonts w:ascii="Arial" w:cs="Arial" w:eastAsia="Arial" w:hAnsi="Arial"/>
          <w:sz w:val="22"/>
          <w:szCs w:val="22"/>
          <w:color w:val="auto"/>
        </w:rPr>
      </w:pPr>
    </w:p>
    <w:p>
      <w:pPr>
        <w:ind w:left="660" w:right="100" w:firstLine="645"/>
        <w:spacing w:after="0" w:line="271" w:lineRule="auto"/>
        <w:tabs>
          <w:tab w:leader="none" w:pos="2005" w:val="left"/>
        </w:tabs>
        <w:numPr>
          <w:ilvl w:val="1"/>
          <w:numId w:val="108"/>
        </w:numPr>
        <w:rPr>
          <w:rFonts w:ascii="Arial" w:cs="Arial" w:eastAsia="Arial" w:hAnsi="Arial"/>
          <w:sz w:val="21"/>
          <w:szCs w:val="21"/>
          <w:color w:val="auto"/>
        </w:rPr>
      </w:pPr>
      <w:r>
        <w:rPr>
          <w:rFonts w:ascii="Arial" w:cs="Arial" w:eastAsia="Arial" w:hAnsi="Arial"/>
          <w:sz w:val="21"/>
          <w:szCs w:val="21"/>
          <w:color w:val="auto"/>
        </w:rPr>
        <w:t>as to which any Purchaser Agent has not notified Seller that such Purchaser Agent has determined that such Receivable or class of Receivables is not acceptable as an Eligible Receivable, including, without limitation, because such Receivable arises under a Contract that is not acceptable to such Purchaser Agent.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U.S. Employee Retirement Income Security Act of 1974, as amended from time to time.</w:t>
      </w:r>
    </w:p>
    <w:p>
      <w:pPr>
        <w:spacing w:after="0" w:line="220" w:lineRule="exact"/>
        <w:rPr>
          <w:sz w:val="20"/>
          <w:szCs w:val="20"/>
          <w:color w:val="auto"/>
        </w:rPr>
      </w:pPr>
    </w:p>
    <w:p>
      <w:pPr>
        <w:ind w:right="160"/>
        <w:spacing w:after="0" w:line="287" w:lineRule="auto"/>
        <w:rPr>
          <w:sz w:val="20"/>
          <w:szCs w:val="20"/>
          <w:color w:val="auto"/>
        </w:rPr>
      </w:pPr>
      <w:r>
        <w:rPr>
          <w:rFonts w:ascii="Arial" w:cs="Arial" w:eastAsia="Arial" w:hAnsi="Arial"/>
          <w:sz w:val="21"/>
          <w:szCs w:val="21"/>
          <w:u w:val="single" w:color="auto"/>
          <w:color w:val="auto"/>
        </w:rPr>
        <w:t>ERISA Affiliate</w:t>
      </w:r>
      <w:r>
        <w:rPr>
          <w:rFonts w:ascii="Arial" w:cs="Arial" w:eastAsia="Arial" w:hAnsi="Arial"/>
          <w:sz w:val="21"/>
          <w:szCs w:val="21"/>
          <w:color w:val="auto"/>
        </w:rPr>
        <w:t>: Any trade or business (whether or not incorporated) that is a member of a group of which the Master Servicer or Lennox International is a member and which is treated as a single employer under Section 414 of the Code.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Event of Bankruptcy</w:t>
      </w:r>
      <w:r>
        <w:rPr>
          <w:rFonts w:ascii="Arial" w:cs="Arial" w:eastAsia="Arial" w:hAnsi="Arial"/>
          <w:sz w:val="22"/>
          <w:szCs w:val="22"/>
          <w:color w:val="auto"/>
        </w:rPr>
        <w:t>: With respect to a Person if either:</w:t>
      </w:r>
    </w:p>
    <w:p>
      <w:pPr>
        <w:spacing w:after="0" w:line="220" w:lineRule="exact"/>
        <w:rPr>
          <w:sz w:val="20"/>
          <w:szCs w:val="20"/>
          <w:color w:val="auto"/>
        </w:rPr>
      </w:pPr>
    </w:p>
    <w:p>
      <w:pPr>
        <w:ind w:left="660" w:right="20" w:firstLine="645"/>
        <w:spacing w:after="0" w:line="259" w:lineRule="auto"/>
        <w:tabs>
          <w:tab w:leader="none" w:pos="172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 in effect; or</w:t>
      </w:r>
    </w:p>
    <w:p>
      <w:pPr>
        <w:spacing w:after="0" w:line="184" w:lineRule="exact"/>
        <w:rPr>
          <w:rFonts w:ascii="Arial" w:cs="Arial" w:eastAsia="Arial" w:hAnsi="Arial"/>
          <w:sz w:val="21"/>
          <w:szCs w:val="21"/>
          <w:color w:val="auto"/>
        </w:rPr>
      </w:pPr>
    </w:p>
    <w:p>
      <w:pPr>
        <w:ind w:left="660" w:right="120" w:firstLine="645"/>
        <w:spacing w:after="0" w:line="294" w:lineRule="auto"/>
        <w:tabs>
          <w:tab w:leader="none" w:pos="178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shall be adjudicated insolvent, or admit in writing its inability to, pay its debts generally as they become due, or, if a corporation or similar entity, its board of directors shall vote to implement any of the foregoing.</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u w:val="single" w:color="auto"/>
          <w:color w:val="auto"/>
        </w:rPr>
        <w:t>Excess Concentration Amount</w:t>
      </w:r>
      <w:r>
        <w:rPr>
          <w:rFonts w:ascii="Arial" w:cs="Arial" w:eastAsia="Arial" w:hAnsi="Arial"/>
          <w:sz w:val="22"/>
          <w:szCs w:val="22"/>
          <w:color w:val="auto"/>
        </w:rPr>
        <w:t>: As of any date, the sum of the amounts by which the aggregate Unpaid Balance of Receivables of each Obligor exceeds the Obligor Concentration Limit for such Obligor.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1"/>
          <w:szCs w:val="21"/>
          <w:u w:val="single" w:color="auto"/>
          <w:color w:val="auto"/>
        </w:rPr>
        <w:t>Federal Funds Rate</w:t>
      </w:r>
      <w:r>
        <w:rPr>
          <w:rFonts w:ascii="Arial" w:cs="Arial" w:eastAsia="Arial" w:hAnsi="Arial"/>
          <w:sz w:val="21"/>
          <w:szCs w:val="21"/>
          <w:color w:val="auto"/>
        </w:rPr>
        <w:t xml:space="preserve">: For any day, the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(b) if such rate is not so published for any day which is a Business Day, the average of the quotations for such day on such transactions received by BTMU from three federal funds brokers of recognized standing selected by it.</w:t>
      </w:r>
    </w:p>
    <w:p>
      <w:pPr>
        <w:spacing w:after="0" w:line="176"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u w:val="single" w:color="auto"/>
          <w:color w:val="auto"/>
        </w:rPr>
        <w:t>Federal Reserve Board</w:t>
      </w:r>
      <w:r>
        <w:rPr>
          <w:rFonts w:ascii="Arial" w:cs="Arial" w:eastAsia="Arial" w:hAnsi="Arial"/>
          <w:sz w:val="22"/>
          <w:szCs w:val="22"/>
          <w:color w:val="auto"/>
        </w:rPr>
        <w:t>: The Board of Governors of the Federal Reserve System, or any successor thereto or to the functions thereof.</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The fee letter (including all amendments, modifications, restatements, replacements and addendums thereto) entered into from time to time by the Seller and the members of each Purchaser Group.</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u w:val="single" w:color="auto"/>
          <w:color w:val="auto"/>
        </w:rPr>
        <w:t>Final Payout Date</w:t>
      </w:r>
      <w:r>
        <w:rPr>
          <w:rFonts w:ascii="Arial" w:cs="Arial" w:eastAsia="Arial" w:hAnsi="Arial"/>
          <w:sz w:val="22"/>
          <w:szCs w:val="22"/>
          <w:color w:val="auto"/>
        </w:rPr>
        <w:t>: The date following the Termination Date on which the Invested Amount shall have been reduced to zero and all other amounts payable by the Seller under the Transaction Documents shall have been paid in full.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Funding Termination Date</w:t>
      </w:r>
      <w:r>
        <w:rPr>
          <w:rFonts w:ascii="Arial" w:cs="Arial" w:eastAsia="Arial" w:hAnsi="Arial"/>
          <w:sz w:val="22"/>
          <w:szCs w:val="22"/>
          <w:color w:val="auto"/>
        </w:rPr>
        <w:t>: The earliest of the following:</w:t>
      </w:r>
    </w:p>
    <w:p>
      <w:pPr>
        <w:spacing w:after="0" w:line="220" w:lineRule="exact"/>
        <w:rPr>
          <w:sz w:val="20"/>
          <w:szCs w:val="20"/>
          <w:color w:val="auto"/>
        </w:rPr>
      </w:pPr>
    </w:p>
    <w:p>
      <w:pPr>
        <w:ind w:left="1720" w:hanging="415"/>
        <w:spacing w:after="0"/>
        <w:tabs>
          <w:tab w:leader="none" w:pos="172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November 13, 2019, or such later date as may, from time to time, be agreed to in writing by the Agents;</w:t>
      </w:r>
    </w:p>
    <w:p>
      <w:pPr>
        <w:spacing w:after="0" w:line="231" w:lineRule="exact"/>
        <w:rPr>
          <w:rFonts w:ascii="Arial" w:cs="Arial" w:eastAsia="Arial" w:hAnsi="Arial"/>
          <w:sz w:val="21"/>
          <w:szCs w:val="21"/>
          <w:color w:val="auto"/>
        </w:rPr>
      </w:pPr>
    </w:p>
    <w:p>
      <w:pPr>
        <w:ind w:left="660" w:right="200" w:firstLine="645"/>
        <w:spacing w:after="0" w:line="263" w:lineRule="auto"/>
        <w:tabs>
          <w:tab w:leader="none" w:pos="178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date on which the Agents declare a Funding Termination Date in a notice to the Seller in accordance with </w:t>
      </w:r>
      <w:r>
        <w:rPr>
          <w:rFonts w:ascii="Arial" w:cs="Arial" w:eastAsia="Arial" w:hAnsi="Arial"/>
          <w:sz w:val="22"/>
          <w:szCs w:val="22"/>
          <w:u w:val="single" w:color="auto"/>
          <w:color w:val="auto"/>
        </w:rPr>
        <w:t>Section 10.2(a)</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840" w:hanging="535"/>
        <w:spacing w:after="0"/>
        <w:tabs>
          <w:tab w:leader="none" w:pos="18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10.2(b)</w:t>
      </w:r>
      <w:r>
        <w:rPr>
          <w:rFonts w:ascii="Arial" w:cs="Arial" w:eastAsia="Arial" w:hAnsi="Arial"/>
          <w:sz w:val="22"/>
          <w:szCs w:val="22"/>
          <w:color w:val="auto"/>
        </w:rPr>
        <w:t>, the Funding Termination Date occurs automatically.</w:t>
      </w:r>
    </w:p>
    <w:p>
      <w:pPr>
        <w:sectPr>
          <w:pgSz w:w="11900" w:h="16838" w:orient="portrait"/>
          <w:cols w:equalWidth="0" w:num="1">
            <w:col w:w="11400"/>
          </w:cols>
          <w:pgMar w:left="240" w:top="226" w:right="259" w:bottom="0" w:gutter="0" w:footer="0" w:header="0"/>
        </w:sectPr>
      </w:pPr>
    </w:p>
    <w:bookmarkStart w:id="91" w:name="page92"/>
    <w:bookmarkEnd w:id="91"/>
    <w:p>
      <w:pPr>
        <w:spacing w:after="0" w:line="250" w:lineRule="auto"/>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accounting profession, which are applicable to the circumstances as of the date of determination.</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u w:val="single" w:color="auto"/>
          <w:color w:val="auto"/>
        </w:rPr>
        <w:t>Governmental Authority</w:t>
      </w:r>
      <w:r>
        <w:rPr>
          <w:rFonts w:ascii="Arial" w:cs="Arial" w:eastAsia="Arial" w:hAnsi="Arial"/>
          <w:sz w:val="22"/>
          <w:szCs w:val="22"/>
          <w:color w:val="auto"/>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any court or arbitrator and any accounting board or authority (whether or not a part of government) which is responsible for the establishment or interpretation of national or international accounting principles, in each case whether foreign or domestic.</w:t>
      </w:r>
    </w:p>
    <w:p>
      <w:pPr>
        <w:spacing w:after="0" w:line="192" w:lineRule="exact"/>
        <w:rPr>
          <w:sz w:val="20"/>
          <w:szCs w:val="20"/>
          <w:color w:val="auto"/>
        </w:rPr>
      </w:pPr>
    </w:p>
    <w:p>
      <w:pPr>
        <w:jc w:val="both"/>
        <w:ind w:right="380"/>
        <w:spacing w:after="0" w:line="250" w:lineRule="auto"/>
        <w:rPr>
          <w:sz w:val="20"/>
          <w:szCs w:val="20"/>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88" w:lineRule="exact"/>
        <w:rPr>
          <w:sz w:val="20"/>
          <w:szCs w:val="20"/>
          <w:color w:val="auto"/>
        </w:rPr>
      </w:pPr>
    </w:p>
    <w:p>
      <w:pPr>
        <w:ind w:left="1720" w:hanging="415"/>
        <w:spacing w:after="0"/>
        <w:tabs>
          <w:tab w:leader="none" w:pos="17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to purchase such Indebtedness or obligation or any property constituting security therefor;</w:t>
      </w:r>
    </w:p>
    <w:p>
      <w:pPr>
        <w:spacing w:after="0" w:line="219" w:lineRule="exact"/>
        <w:rPr>
          <w:rFonts w:ascii="Arial" w:cs="Arial" w:eastAsia="Arial" w:hAnsi="Arial"/>
          <w:sz w:val="22"/>
          <w:szCs w:val="22"/>
          <w:color w:val="auto"/>
        </w:rPr>
      </w:pPr>
    </w:p>
    <w:p>
      <w:pPr>
        <w:ind w:left="660" w:right="380" w:firstLine="645"/>
        <w:spacing w:after="0" w:line="312" w:lineRule="auto"/>
        <w:tabs>
          <w:tab w:leader="none" w:pos="178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advance or supply funds (A) for the purchase or payment of such Indebtedness or obligation, or (B) to maintain any working capital or other balance sheet condition or any income statement condition of any other Person or otherwise to advance or make available funds for the purchase of payment of such Indebtedness or obligation;</w:t>
      </w:r>
    </w:p>
    <w:p>
      <w:pPr>
        <w:spacing w:after="0" w:line="133" w:lineRule="exact"/>
        <w:rPr>
          <w:rFonts w:ascii="Arial" w:cs="Arial" w:eastAsia="Arial" w:hAnsi="Arial"/>
          <w:sz w:val="19"/>
          <w:szCs w:val="19"/>
          <w:color w:val="auto"/>
        </w:rPr>
      </w:pPr>
    </w:p>
    <w:p>
      <w:pPr>
        <w:jc w:val="both"/>
        <w:ind w:left="660" w:right="360" w:firstLine="645"/>
        <w:spacing w:after="0" w:line="343" w:lineRule="auto"/>
        <w:tabs>
          <w:tab w:leader="none" w:pos="184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04" w:lineRule="exact"/>
        <w:rPr>
          <w:rFonts w:ascii="Arial" w:cs="Arial" w:eastAsia="Arial" w:hAnsi="Arial"/>
          <w:sz w:val="19"/>
          <w:szCs w:val="19"/>
          <w:color w:val="auto"/>
        </w:rPr>
      </w:pPr>
    </w:p>
    <w:p>
      <w:pPr>
        <w:ind w:left="660" w:right="60" w:firstLine="645"/>
        <w:spacing w:after="0" w:line="271" w:lineRule="auto"/>
        <w:tabs>
          <w:tab w:leader="none" w:pos="183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otherwise to assure the owner of such Indebtedness or obligation against loss in respect of thereof. In any computation of the Indebtedness or other liabilities of the obligor under any Guaranty, the Indebtedness or other obligations that are the subject of such Guaranty shall be assumed to be direct obligations of such obligor.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Heatcraft</w:t>
      </w:r>
      <w:r>
        <w:rPr>
          <w:rFonts w:ascii="Arial" w:cs="Arial" w:eastAsia="Arial" w:hAnsi="Arial"/>
          <w:sz w:val="22"/>
          <w:szCs w:val="22"/>
          <w:color w:val="auto"/>
        </w:rPr>
        <w:t>: Heatcraft Technologies Inc.,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Heatcraft Refrigeration</w:t>
      </w:r>
      <w:r>
        <w:rPr>
          <w:rFonts w:ascii="Arial" w:cs="Arial" w:eastAsia="Arial" w:hAnsi="Arial"/>
          <w:sz w:val="22"/>
          <w:szCs w:val="22"/>
          <w:color w:val="auto"/>
        </w:rPr>
        <w:t>: Heatcraft Refrigeration Products LLC,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With respect to any Person shall mean, at any time, without duplication:</w:t>
      </w:r>
    </w:p>
    <w:p>
      <w:pPr>
        <w:spacing w:after="0" w:line="220" w:lineRule="exact"/>
        <w:rPr>
          <w:sz w:val="20"/>
          <w:szCs w:val="20"/>
          <w:color w:val="auto"/>
        </w:rPr>
      </w:pPr>
    </w:p>
    <w:p>
      <w:pPr>
        <w:ind w:left="660" w:right="840" w:firstLine="645"/>
        <w:spacing w:after="0" w:line="263" w:lineRule="auto"/>
        <w:tabs>
          <w:tab w:leader="none" w:pos="172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its liabilities for borrowed money and its redemption obligations in respect of mandatorily redeemable Preferred Stock;</w:t>
      </w:r>
    </w:p>
    <w:p>
      <w:pPr>
        <w:spacing w:after="0" w:line="174" w:lineRule="exact"/>
        <w:rPr>
          <w:rFonts w:ascii="Arial" w:cs="Arial" w:eastAsia="Arial" w:hAnsi="Arial"/>
          <w:sz w:val="22"/>
          <w:szCs w:val="22"/>
          <w:color w:val="auto"/>
        </w:rPr>
      </w:pPr>
    </w:p>
    <w:p>
      <w:pPr>
        <w:ind w:left="660" w:right="160" w:firstLine="645"/>
        <w:spacing w:after="0" w:line="253" w:lineRule="auto"/>
        <w:tabs>
          <w:tab w:leader="none" w:pos="178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all liabilities appearing on its balance sheet in accordance with GAAP in respect of Capital Leases;</w:t>
      </w:r>
    </w:p>
    <w:p>
      <w:pPr>
        <w:spacing w:after="0" w:line="231" w:lineRule="exact"/>
        <w:rPr>
          <w:rFonts w:ascii="Arial" w:cs="Arial" w:eastAsia="Arial" w:hAnsi="Arial"/>
          <w:sz w:val="21"/>
          <w:szCs w:val="21"/>
          <w:color w:val="auto"/>
        </w:rPr>
      </w:pPr>
    </w:p>
    <w:p>
      <w:pPr>
        <w:ind w:left="660" w:right="400" w:firstLine="645"/>
        <w:spacing w:after="0" w:line="263" w:lineRule="auto"/>
        <w:tabs>
          <w:tab w:leader="none" w:pos="18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174" w:lineRule="exact"/>
        <w:rPr>
          <w:rFonts w:ascii="Arial" w:cs="Arial" w:eastAsia="Arial" w:hAnsi="Arial"/>
          <w:sz w:val="22"/>
          <w:szCs w:val="22"/>
          <w:color w:val="auto"/>
        </w:rPr>
      </w:pPr>
    </w:p>
    <w:p>
      <w:pPr>
        <w:ind w:left="660" w:right="40" w:firstLine="645"/>
        <w:spacing w:after="0" w:line="297" w:lineRule="auto"/>
        <w:tabs>
          <w:tab w:leader="none" w:pos="177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(A) trade or commercial letters of credit issued for the account of such Person in the ordinary course of its business and (B) stand-by letters of credit issued to support obligations of such Person that are not of a type described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this definition;</w:t>
      </w:r>
    </w:p>
    <w:p>
      <w:pPr>
        <w:spacing w:after="0" w:line="147" w:lineRule="exact"/>
        <w:rPr>
          <w:rFonts w:ascii="Arial" w:cs="Arial" w:eastAsia="Arial" w:hAnsi="Arial"/>
          <w:sz w:val="19"/>
          <w:szCs w:val="19"/>
          <w:color w:val="auto"/>
        </w:rPr>
      </w:pPr>
    </w:p>
    <w:p>
      <w:pPr>
        <w:ind w:left="1840" w:hanging="535"/>
        <w:spacing w:after="0"/>
        <w:tabs>
          <w:tab w:leader="none" w:pos="18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19" w:lineRule="exact"/>
        <w:rPr>
          <w:rFonts w:ascii="Arial" w:cs="Arial" w:eastAsia="Arial" w:hAnsi="Arial"/>
          <w:sz w:val="22"/>
          <w:szCs w:val="22"/>
          <w:color w:val="auto"/>
        </w:rPr>
      </w:pPr>
    </w:p>
    <w:p>
      <w:pPr>
        <w:ind w:left="1900" w:hanging="595"/>
        <w:spacing w:after="0"/>
        <w:tabs>
          <w:tab w:leader="none" w:pos="19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any Guaranty of such Person with respect to liabilities of a type described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 xml:space="preserve">Indebtedness of any Person shall include all obligations of such Person of the character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above to the extent such Person remains legally liable in respect hereof notwithstanding that any such obligation is deemed to be extinguished under GAAP.</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Indemnified Amounts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ectPr>
          <w:pgSz w:w="11900" w:h="16838" w:orient="portrait"/>
          <w:cols w:equalWidth="0" w:num="1">
            <w:col w:w="11400"/>
          </w:cols>
          <w:pgMar w:left="240" w:top="132" w:right="259" w:bottom="236" w:gutter="0" w:footer="0" w:header="0"/>
        </w:sectPr>
      </w:pPr>
    </w:p>
    <w:bookmarkStart w:id="92" w:name="page93"/>
    <w:bookmarkEnd w:id="92"/>
    <w:p>
      <w:pPr>
        <w:spacing w:after="0" w:line="287" w:lineRule="auto"/>
        <w:rPr>
          <w:sz w:val="20"/>
          <w:szCs w:val="20"/>
          <w:color w:val="auto"/>
        </w:rPr>
      </w:pP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A Person who is a director of the Seller and who is not at such time, and has not been at any time during the preceding five (5) years: (i) a creditor, supplier, director, officer, employee, family member, manager, member, limited partner, partner or contractor of Lennox International, the Master Servicer, any Originator or any of their respective Subsidiaries or Affiliates (other than in such Person’s role as a director of Seller), (ii) a direct or indirect or beneficial owner, excluding </w:t>
      </w:r>
      <w:r>
        <w:rPr>
          <w:rFonts w:ascii="Arial" w:cs="Arial" w:eastAsia="Arial" w:hAnsi="Arial"/>
          <w:sz w:val="19"/>
          <w:szCs w:val="19"/>
          <w:i w:val="1"/>
          <w:iCs w:val="1"/>
          <w:color w:val="auto"/>
        </w:rPr>
        <w:t>de minimus</w:t>
      </w:r>
      <w:r>
        <w:rPr>
          <w:rFonts w:ascii="Arial" w:cs="Arial" w:eastAsia="Arial" w:hAnsi="Arial"/>
          <w:sz w:val="19"/>
          <w:szCs w:val="19"/>
          <w:color w:val="auto"/>
        </w:rPr>
        <w:t xml:space="preserve"> ownership interests, (at the time of such individual’s appointment as an Independent Director or at any time thereafter while serving as an Independent Director) of any of the outstanding common shares of the Seller, Lennox International, the Master Servicer, any Originator, or any of their respective Subsidiaries or Affiliates, having general voting rights, or (iii) a person who controls (whether directly, indirectly or otherwise) Lennox International, the Master Servicer, any Originator or any of their respective Subsidiaries or Affiliates (other than in such Person’s role as a director of Seller) or any creditor, supplier, employee, officer, director, manager, member, limited partner, partner or contractor of Lennox International, the Master Servicer, any Originator or any of their respective Subsidiaries or Affiliates (other than in such Person’s role as a director of Seller). Such Person shall be employed by a nationally recognized provider of corporate or structured finance services.</w:t>
      </w:r>
    </w:p>
    <w:p>
      <w:pPr>
        <w:spacing w:after="0" w:line="160"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u w:val="single" w:color="auto"/>
          <w:color w:val="auto"/>
        </w:rPr>
        <w:t>Information Package</w:t>
      </w:r>
      <w:r>
        <w:rPr>
          <w:rFonts w:ascii="Arial" w:cs="Arial" w:eastAsia="Arial" w:hAnsi="Arial"/>
          <w:sz w:val="19"/>
          <w:szCs w:val="19"/>
          <w:color w:val="auto"/>
        </w:rPr>
        <w:t xml:space="preserve">: A report in the form of </w:t>
      </w:r>
      <w:r>
        <w:rPr>
          <w:rFonts w:ascii="Arial" w:cs="Arial" w:eastAsia="Arial" w:hAnsi="Arial"/>
          <w:sz w:val="19"/>
          <w:szCs w:val="19"/>
          <w:u w:val="single" w:color="auto"/>
          <w:color w:val="auto"/>
        </w:rPr>
        <w:t>Exhibit 3.1(a)</w:t>
      </w:r>
      <w:r>
        <w:rPr>
          <w:rFonts w:ascii="Arial" w:cs="Arial" w:eastAsia="Arial" w:hAnsi="Arial"/>
          <w:sz w:val="19"/>
          <w:szCs w:val="19"/>
          <w:color w:val="auto"/>
        </w:rPr>
        <w:t xml:space="preserve"> and, during any period during which a Weekly Report is required to be delivered, each such Weekly Report,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Liquidation Event has occurred and is continuing, such Information Package shall be accompanied by an electronic file in a form satisfactory to each Purchaser Agent.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Sale Agreement</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Seller Note</w:t>
      </w:r>
      <w:r>
        <w:rPr>
          <w:rFonts w:ascii="Arial" w:cs="Arial" w:eastAsia="Arial" w:hAnsi="Arial"/>
          <w:sz w:val="22"/>
          <w:szCs w:val="22"/>
          <w:color w:val="auto"/>
        </w:rPr>
        <w:t>: As defined in the Sale Agreement.</w:t>
      </w:r>
    </w:p>
    <w:p>
      <w:pPr>
        <w:spacing w:after="0" w:line="220"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u w:val="single" w:color="auto"/>
          <w:color w:val="auto"/>
        </w:rPr>
        <w:t>Interim Cut-Off Date</w:t>
      </w:r>
      <w:r>
        <w:rPr>
          <w:rFonts w:ascii="Arial" w:cs="Arial" w:eastAsia="Arial" w:hAnsi="Arial"/>
          <w:sz w:val="22"/>
          <w:szCs w:val="22"/>
          <w:color w:val="auto"/>
        </w:rPr>
        <w:t xml:space="preserve">: Such date as may be specified by any Agent in any request to provide an Interim Information Package pursuant to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Information Package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Reporting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u w:val="single" w:color="auto"/>
          <w:color w:val="auto"/>
        </w:rPr>
        <w:t>Interim Reporting Period</w:t>
      </w:r>
      <w:r>
        <w:rPr>
          <w:rFonts w:ascii="Arial" w:cs="Arial" w:eastAsia="Arial" w:hAnsi="Arial"/>
          <w:sz w:val="22"/>
          <w:szCs w:val="22"/>
          <w:color w:val="auto"/>
        </w:rPr>
        <w:t xml:space="preserve">: Such period as may be specified by any Agent in any request to provide an Interim Information Package pursuant to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Settlement Date</w:t>
      </w:r>
      <w:r>
        <w:rPr>
          <w:rFonts w:ascii="Arial" w:cs="Arial" w:eastAsia="Arial" w:hAnsi="Arial"/>
          <w:sz w:val="22"/>
          <w:szCs w:val="22"/>
          <w:color w:val="auto"/>
        </w:rPr>
        <w:t>: One Business Day following each Interim Reporting Date.</w:t>
      </w:r>
    </w:p>
    <w:p>
      <w:pPr>
        <w:spacing w:after="0" w:line="220"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u w:val="single" w:color="auto"/>
          <w:color w:val="auto"/>
        </w:rPr>
        <w:t>Invested Amount</w:t>
      </w:r>
      <w:r>
        <w:rPr>
          <w:rFonts w:ascii="Arial" w:cs="Arial" w:eastAsia="Arial" w:hAnsi="Arial"/>
          <w:sz w:val="21"/>
          <w:szCs w:val="21"/>
          <w:color w:val="auto"/>
        </w:rPr>
        <w:t xml:space="preserve">: At any time with respect to the Asset Interest an amount equal to (i) the aggregate of the amounts theretofore paid to Seller for Purchases pursuant to </w:t>
      </w:r>
      <w:r>
        <w:rPr>
          <w:rFonts w:ascii="Arial" w:cs="Arial" w:eastAsia="Arial" w:hAnsi="Arial"/>
          <w:sz w:val="21"/>
          <w:szCs w:val="21"/>
          <w:u w:val="single" w:color="auto"/>
          <w:color w:val="auto"/>
        </w:rPr>
        <w:t>Sections 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 the aggregate amount of Collections theretofore received and actually distributed to the Investors on account of such Invested Amount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r>
        <w:rPr>
          <w:rFonts w:ascii="Arial" w:cs="Arial" w:eastAsia="Arial" w:hAnsi="Arial"/>
          <w:sz w:val="22"/>
          <w:szCs w:val="22"/>
          <w:color w:val="auto"/>
        </w:rPr>
        <w:t>: The Purchasers and the Liquidity Banks.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Investors’ Share</w:t>
      </w:r>
      <w:r>
        <w:rPr>
          <w:rFonts w:ascii="Arial" w:cs="Arial" w:eastAsia="Arial" w:hAnsi="Arial"/>
          <w:sz w:val="19"/>
          <w:szCs w:val="19"/>
          <w:color w:val="auto"/>
        </w:rPr>
        <w:t>: With respect to any amount, at any time, the lesser of (i) the most recently calculated Asset Interest and (ii) 100%.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Lennox</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Lennox Hearth</w:t>
      </w:r>
      <w:r>
        <w:rPr>
          <w:rFonts w:ascii="Arial" w:cs="Arial" w:eastAsia="Arial" w:hAnsi="Arial"/>
          <w:sz w:val="22"/>
          <w:szCs w:val="22"/>
          <w:color w:val="auto"/>
        </w:rPr>
        <w:t>: Lennox Hearth Products LLC,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Lennox International</w:t>
      </w:r>
      <w:r>
        <w:rPr>
          <w:rFonts w:ascii="Arial" w:cs="Arial" w:eastAsia="Arial" w:hAnsi="Arial"/>
          <w:sz w:val="22"/>
          <w:szCs w:val="22"/>
          <w:color w:val="auto"/>
        </w:rPr>
        <w:t>: Lennox International Inc., a Delaware corporation.</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u w:val="single" w:color="auto"/>
          <w:color w:val="auto"/>
        </w:rPr>
        <w:t>Lien</w:t>
      </w:r>
      <w:r>
        <w:rPr>
          <w:rFonts w:ascii="Arial" w:cs="Arial" w:eastAsia="Arial" w:hAnsi="Arial"/>
          <w:sz w:val="22"/>
          <w:szCs w:val="22"/>
          <w:color w:val="auto"/>
        </w:rPr>
        <w:t>: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Liquidation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right="100"/>
        <w:spacing w:after="0" w:line="343" w:lineRule="auto"/>
        <w:rPr>
          <w:sz w:val="20"/>
          <w:szCs w:val="20"/>
          <w:color w:val="auto"/>
        </w:rPr>
      </w:pPr>
      <w:r>
        <w:rPr>
          <w:rFonts w:ascii="Arial" w:cs="Arial" w:eastAsia="Arial" w:hAnsi="Arial"/>
          <w:sz w:val="19"/>
          <w:szCs w:val="19"/>
          <w:u w:val="single" w:color="auto"/>
          <w:color w:val="auto"/>
        </w:rPr>
        <w:t>Liquidation Fee</w:t>
      </w:r>
      <w:r>
        <w:rPr>
          <w:rFonts w:ascii="Arial" w:cs="Arial" w:eastAsia="Arial" w:hAnsi="Arial"/>
          <w:sz w:val="19"/>
          <w:szCs w:val="19"/>
          <w:color w:val="auto"/>
        </w:rPr>
        <w:t xml:space="preserve">: For each Asset Tranche (or portion thereof) funded through a Liquidity Funding, for each day in any Yield Period (computed without regard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the proviso of the definition of “Yield Period”), the amount, if any, by which:</w:t>
      </w:r>
    </w:p>
    <w:p>
      <w:pPr>
        <w:spacing w:after="0" w:line="105" w:lineRule="exact"/>
        <w:rPr>
          <w:sz w:val="20"/>
          <w:szCs w:val="20"/>
          <w:color w:val="auto"/>
        </w:rPr>
      </w:pPr>
    </w:p>
    <w:p>
      <w:pPr>
        <w:ind w:left="660" w:right="80" w:firstLine="645"/>
        <w:spacing w:after="0" w:line="271" w:lineRule="auto"/>
        <w:tabs>
          <w:tab w:leader="none" w:pos="172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additional Earned Discount (calculated without taking into account any Liquidation Fee) which would have accrued on the reductions of the portion of the Invested Amount of the related Investor allocated to such Asset Tranche during such Yield Period (as so computed) if such reductions had not been made, exceeds</w:t>
      </w:r>
    </w:p>
    <w:p>
      <w:pPr>
        <w:spacing w:after="0" w:line="167" w:lineRule="exact"/>
        <w:rPr>
          <w:rFonts w:ascii="Arial" w:cs="Arial" w:eastAsia="Arial" w:hAnsi="Arial"/>
          <w:sz w:val="21"/>
          <w:szCs w:val="21"/>
          <w:color w:val="auto"/>
        </w:rPr>
      </w:pPr>
    </w:p>
    <w:p>
      <w:pPr>
        <w:ind w:left="660" w:right="480" w:firstLine="645"/>
        <w:spacing w:after="0" w:line="263" w:lineRule="auto"/>
        <w:tabs>
          <w:tab w:leader="none" w:pos="178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income, if any, received by the related Investor from investing the proceeds of such reductions of such Investor’s portion of the Invested Amount.</w:t>
      </w:r>
    </w:p>
    <w:p>
      <w:pPr>
        <w:spacing w:after="0" w:line="175"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u w:val="single" w:color="auto"/>
          <w:color w:val="auto"/>
        </w:rPr>
        <w:t>Liquidation Period</w:t>
      </w:r>
      <w:r>
        <w:rPr>
          <w:rFonts w:ascii="Arial" w:cs="Arial" w:eastAsia="Arial" w:hAnsi="Arial"/>
          <w:sz w:val="19"/>
          <w:szCs w:val="19"/>
          <w:color w:val="auto"/>
        </w:rPr>
        <w:t xml:space="preserve">: The period commencing on the earlier of (i) the Funding Termination Date and (ii) the date on which a Liquidation Event has occurred or is continuing and the Administrative Agent, at the direction of any Agent, shall have notified Seller and the Master Servicer in writing,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 that the Liquidation Period has commenced, and ending on</w:t>
      </w:r>
    </w:p>
    <w:p>
      <w:pPr>
        <w:sectPr>
          <w:pgSz w:w="11900" w:h="16838" w:orient="portrait"/>
          <w:cols w:equalWidth="0" w:num="1">
            <w:col w:w="11420"/>
          </w:cols>
          <w:pgMar w:left="240" w:top="132" w:right="239" w:bottom="0" w:gutter="0" w:footer="0" w:header="0"/>
        </w:sectPr>
      </w:pPr>
    </w:p>
    <w:bookmarkStart w:id="93" w:name="page94"/>
    <w:bookmarkEnd w:id="93"/>
    <w:p>
      <w:pPr>
        <w:spacing w:after="0" w:line="263" w:lineRule="auto"/>
        <w:rPr>
          <w:sz w:val="20"/>
          <w:szCs w:val="20"/>
          <w:color w:val="auto"/>
        </w:rPr>
      </w:pPr>
      <w:r>
        <w:rPr>
          <w:rFonts w:ascii="Arial" w:cs="Arial" w:eastAsia="Arial" w:hAnsi="Arial"/>
          <w:sz w:val="22"/>
          <w:szCs w:val="22"/>
          <w:color w:val="auto"/>
        </w:rPr>
        <w:t xml:space="preserve">the Final Payout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upon the occurrence of a Liquidation Event described in </w:t>
      </w:r>
      <w:r>
        <w:rPr>
          <w:rFonts w:ascii="Arial" w:cs="Arial" w:eastAsia="Arial" w:hAnsi="Arial"/>
          <w:sz w:val="22"/>
          <w:szCs w:val="22"/>
          <w:u w:val="single" w:color="auto"/>
          <w:color w:val="auto"/>
        </w:rPr>
        <w:t>Section 10.1(e)</w:t>
      </w:r>
      <w:r>
        <w:rPr>
          <w:rFonts w:ascii="Arial" w:cs="Arial" w:eastAsia="Arial" w:hAnsi="Arial"/>
          <w:sz w:val="22"/>
          <w:szCs w:val="22"/>
          <w:color w:val="auto"/>
        </w:rPr>
        <w:t>, the Liquidation Period shall commence automatically.</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Liquidity Agent</w:t>
      </w:r>
      <w:r>
        <w:rPr>
          <w:rFonts w:ascii="Arial" w:cs="Arial" w:eastAsia="Arial" w:hAnsi="Arial"/>
          <w:sz w:val="22"/>
          <w:szCs w:val="22"/>
          <w:color w:val="auto"/>
        </w:rPr>
        <w:t>: With respect to the BTMU Purchaser Group, BTMU, as liquidity agent for the Liquidity Banks under the BTMU Liquidity Agreement, or any successor to BTMU in such capacity.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Liquidity Agreement</w:t>
      </w:r>
      <w:r>
        <w:rPr>
          <w:rFonts w:ascii="Arial" w:cs="Arial" w:eastAsia="Arial" w:hAnsi="Arial"/>
          <w:sz w:val="22"/>
          <w:szCs w:val="22"/>
          <w:color w:val="auto"/>
        </w:rPr>
        <w:t>: With respect to the BTMU Purchaser Group, the BTMU Liquidity Agreement.</w:t>
      </w:r>
    </w:p>
    <w:p>
      <w:pPr>
        <w:spacing w:after="0" w:line="22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u w:val="single" w:color="auto"/>
          <w:color w:val="auto"/>
        </w:rPr>
        <w:t>Liquidity Bank</w:t>
      </w:r>
      <w:r>
        <w:rPr>
          <w:rFonts w:ascii="Arial" w:cs="Arial" w:eastAsia="Arial" w:hAnsi="Arial"/>
          <w:sz w:val="22"/>
          <w:szCs w:val="22"/>
          <w:color w:val="auto"/>
        </w:rPr>
        <w:t xml:space="preserve">: With respect to the BTMU Purchaser Group, each BTMU Liquidity Bank and with respect to the WFB Purchaser Group, each WFB Liquidity Bank (collectively, the </w:t>
      </w:r>
      <w:r>
        <w:rPr>
          <w:rFonts w:ascii="Arial" w:cs="Arial" w:eastAsia="Arial" w:hAnsi="Arial"/>
          <w:sz w:val="22"/>
          <w:szCs w:val="22"/>
          <w:u w:val="single" w:color="auto"/>
          <w:color w:val="auto"/>
        </w:rPr>
        <w:t>Liquidity Banks</w:t>
      </w:r>
      <w:r>
        <w:rPr>
          <w:rFonts w:ascii="Arial" w:cs="Arial" w:eastAsia="Arial" w:hAnsi="Arial"/>
          <w:sz w:val="22"/>
          <w:szCs w:val="22"/>
          <w:color w:val="auto"/>
        </w:rPr>
        <w:t>).</w:t>
      </w:r>
    </w:p>
    <w:p>
      <w:pPr>
        <w:spacing w:after="0" w:line="175"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u w:val="single" w:color="auto"/>
          <w:color w:val="auto"/>
        </w:rPr>
        <w:t>Liquidity Funding</w:t>
      </w:r>
      <w:r>
        <w:rPr>
          <w:rFonts w:ascii="Arial" w:cs="Arial" w:eastAsia="Arial" w:hAnsi="Arial"/>
          <w:sz w:val="19"/>
          <w:szCs w:val="19"/>
          <w:color w:val="auto"/>
        </w:rPr>
        <w:t xml:space="preserve">: Either (i) a purchase made by any Liquidity Bank (or simultaneous purchases made by the Liquidity Banks) from a Purchaser pursuant to any Liquidity Agreement or (ii) a Purchase made by a Liquidity Bank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Lockbox Account</w:t>
      </w:r>
      <w:r>
        <w:rPr>
          <w:rFonts w:ascii="Arial" w:cs="Arial" w:eastAsia="Arial" w:hAnsi="Arial"/>
          <w:sz w:val="22"/>
          <w:szCs w:val="22"/>
          <w:color w:val="auto"/>
        </w:rPr>
        <w:t>: An account maintained for the purpose of receiving Collections at a bank or other financial institution which has executed a Lockbox Agreement.</w:t>
      </w:r>
    </w:p>
    <w:p>
      <w:pPr>
        <w:spacing w:after="0" w:line="175"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u w:val="single" w:color="auto"/>
          <w:color w:val="auto"/>
        </w:rPr>
        <w:t>Lockbox Agreement</w:t>
      </w:r>
      <w:r>
        <w:rPr>
          <w:rFonts w:ascii="Arial" w:cs="Arial" w:eastAsia="Arial" w:hAnsi="Arial"/>
          <w:sz w:val="22"/>
          <w:szCs w:val="22"/>
          <w:color w:val="auto"/>
        </w:rPr>
        <w:t xml:space="preserve">: An agreement, in substantially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among the Master Servicer, the Administrative Agent, the Seller and any Lockbox Bank.</w:t>
      </w:r>
    </w:p>
    <w:p>
      <w:pPr>
        <w:spacing w:after="0" w:line="175" w:lineRule="exact"/>
        <w:rPr>
          <w:sz w:val="20"/>
          <w:szCs w:val="20"/>
          <w:color w:val="auto"/>
        </w:rPr>
      </w:pPr>
    </w:p>
    <w:p>
      <w:pPr>
        <w:ind w:right="1020"/>
        <w:spacing w:after="0" w:line="263" w:lineRule="auto"/>
        <w:rPr>
          <w:sz w:val="20"/>
          <w:szCs w:val="20"/>
          <w:color w:val="auto"/>
        </w:rPr>
      </w:pPr>
      <w:r>
        <w:rPr>
          <w:rFonts w:ascii="Arial" w:cs="Arial" w:eastAsia="Arial" w:hAnsi="Arial"/>
          <w:sz w:val="22"/>
          <w:szCs w:val="22"/>
          <w:u w:val="single" w:color="auto"/>
          <w:color w:val="auto"/>
        </w:rPr>
        <w:t>Lockbox Bank</w:t>
      </w:r>
      <w:r>
        <w:rPr>
          <w:rFonts w:ascii="Arial" w:cs="Arial" w:eastAsia="Arial" w:hAnsi="Arial"/>
          <w:sz w:val="22"/>
          <w:szCs w:val="22"/>
          <w:color w:val="auto"/>
        </w:rPr>
        <w:t>: Any of the banks holding one or more lockboxes or Lockbox Accounts receiving Collections from Pool Receivables.</w:t>
      </w:r>
    </w:p>
    <w:p>
      <w:pPr>
        <w:spacing w:after="0" w:line="175"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u w:val="single" w:color="auto"/>
          <w:color w:val="auto"/>
        </w:rPr>
        <w:t>Loss Reserve</w:t>
      </w:r>
      <w:r>
        <w:rPr>
          <w:rFonts w:ascii="Arial" w:cs="Arial" w:eastAsia="Arial" w:hAnsi="Arial"/>
          <w:sz w:val="21"/>
          <w:szCs w:val="21"/>
          <w:color w:val="auto"/>
        </w:rPr>
        <w:t>: At any time, means the product of (1) 2.0 and (2) the highest rolling three month average Default Ratio during the immediately preceding twelve (12) months and (3) the most recently calculated Default Horizon Ratio.</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Master Servicer</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With respect to any event or circumstance, a material adverse effect on:</w:t>
      </w:r>
    </w:p>
    <w:p>
      <w:pPr>
        <w:spacing w:after="0" w:line="220" w:lineRule="exact"/>
        <w:rPr>
          <w:sz w:val="20"/>
          <w:szCs w:val="20"/>
          <w:color w:val="auto"/>
        </w:rPr>
      </w:pPr>
    </w:p>
    <w:p>
      <w:pPr>
        <w:ind w:left="660" w:right="100" w:firstLine="645"/>
        <w:spacing w:after="0" w:line="253" w:lineRule="auto"/>
        <w:tabs>
          <w:tab w:leader="none" w:pos="172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the assets, operations, business or financial condition of the Seller or (B) the business, assets, operations or financial condition of Lennox International and its Subsidiaries, taken as a whole, which could reasonably be expected to have a material adverse effect on the creditworthiness of any Originator;</w:t>
      </w:r>
    </w:p>
    <w:p>
      <w:pPr>
        <w:spacing w:after="0" w:line="185" w:lineRule="exact"/>
        <w:rPr>
          <w:rFonts w:ascii="Arial" w:cs="Arial" w:eastAsia="Arial" w:hAnsi="Arial"/>
          <w:sz w:val="22"/>
          <w:szCs w:val="22"/>
          <w:color w:val="auto"/>
        </w:rPr>
      </w:pPr>
    </w:p>
    <w:p>
      <w:pPr>
        <w:ind w:left="660" w:right="200" w:firstLine="645"/>
        <w:spacing w:after="0" w:line="263" w:lineRule="auto"/>
        <w:tabs>
          <w:tab w:leader="none" w:pos="178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ability of the Seller, the Master Servicer, any Originator or any Affiliate thereof to perform in all material respects its obligations under this Agreement or any other Transaction Document; or</w:t>
      </w:r>
    </w:p>
    <w:p>
      <w:pPr>
        <w:spacing w:after="0" w:line="174" w:lineRule="exact"/>
        <w:rPr>
          <w:rFonts w:ascii="Arial" w:cs="Arial" w:eastAsia="Arial" w:hAnsi="Arial"/>
          <w:sz w:val="22"/>
          <w:szCs w:val="22"/>
          <w:color w:val="auto"/>
        </w:rPr>
      </w:pPr>
    </w:p>
    <w:p>
      <w:pPr>
        <w:ind w:left="660" w:right="1000" w:firstLine="645"/>
        <w:spacing w:after="0" w:line="263" w:lineRule="auto"/>
        <w:tabs>
          <w:tab w:leader="none" w:pos="184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validity or enforceability of this Agreement or any other Transaction Document, or the validity, enforceability or collectibility of a material portion of the Receivables Pool; or</w:t>
      </w:r>
    </w:p>
    <w:p>
      <w:pPr>
        <w:spacing w:after="0" w:line="174" w:lineRule="exact"/>
        <w:rPr>
          <w:rFonts w:ascii="Arial" w:cs="Arial" w:eastAsia="Arial" w:hAnsi="Arial"/>
          <w:sz w:val="22"/>
          <w:szCs w:val="22"/>
          <w:color w:val="auto"/>
        </w:rPr>
      </w:pPr>
    </w:p>
    <w:p>
      <w:pPr>
        <w:ind w:left="660" w:right="560" w:firstLine="645"/>
        <w:spacing w:after="0" w:line="263" w:lineRule="auto"/>
        <w:tabs>
          <w:tab w:leader="none" w:pos="183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status, existence, perfection, priority or enforceability of the Secured Parties’ and the Administrative Agent’s interest in the Receivables Pool.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Material Indebtedness</w:t>
      </w:r>
      <w:r>
        <w:rPr>
          <w:rFonts w:ascii="Arial" w:cs="Arial" w:eastAsia="Arial" w:hAnsi="Arial"/>
          <w:sz w:val="22"/>
          <w:szCs w:val="22"/>
          <w:color w:val="auto"/>
        </w:rPr>
        <w:t>: Indebtedness, the aggregate principal amount of which is greater than $75,000,000.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Michel</w:t>
      </w:r>
      <w:r>
        <w:rPr>
          <w:rFonts w:ascii="Arial" w:cs="Arial" w:eastAsia="Arial" w:hAnsi="Arial"/>
          <w:sz w:val="22"/>
          <w:szCs w:val="22"/>
          <w:color w:val="auto"/>
        </w:rPr>
        <w:t>: R. E. Michel Company, a Maryland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u w:val="single" w:color="auto"/>
          <w:color w:val="auto"/>
        </w:rPr>
        <w:t>Net Pool Balance</w:t>
      </w:r>
      <w:r>
        <w:rPr>
          <w:rFonts w:ascii="Arial" w:cs="Arial" w:eastAsia="Arial" w:hAnsi="Arial"/>
          <w:sz w:val="22"/>
          <w:szCs w:val="22"/>
          <w:color w:val="auto"/>
        </w:rPr>
        <w:t>: On any date, an amount equal to (i) the aggregate Unpaid Balance of all Eligible Receivables in the Receivables Pool on such date, minus (ii) the Excess Concentration Amount on such date, minus (iii) any Specified Annual Rebate processed during the Collection Period during which such date occurs, if applicable.</w:t>
      </w:r>
    </w:p>
    <w:p>
      <w:pPr>
        <w:spacing w:after="0" w:line="186" w:lineRule="exact"/>
        <w:rPr>
          <w:sz w:val="20"/>
          <w:szCs w:val="20"/>
          <w:color w:val="auto"/>
        </w:rPr>
      </w:pPr>
    </w:p>
    <w:p>
      <w:pPr>
        <w:ind w:right="100"/>
        <w:spacing w:after="0" w:line="302" w:lineRule="auto"/>
        <w:rPr>
          <w:sz w:val="20"/>
          <w:szCs w:val="20"/>
          <w:color w:val="auto"/>
        </w:rPr>
      </w:pPr>
      <w:r>
        <w:rPr>
          <w:rFonts w:ascii="Arial" w:cs="Arial" w:eastAsia="Arial" w:hAnsi="Arial"/>
          <w:sz w:val="19"/>
          <w:szCs w:val="19"/>
          <w:u w:val="single" w:color="auto"/>
          <w:color w:val="auto"/>
        </w:rPr>
        <w:t>Net Worth</w:t>
      </w:r>
      <w:r>
        <w:rPr>
          <w:rFonts w:ascii="Arial" w:cs="Arial" w:eastAsia="Arial" w:hAnsi="Arial"/>
          <w:sz w:val="19"/>
          <w:szCs w:val="19"/>
          <w:color w:val="auto"/>
        </w:rPr>
        <w:t xml:space="preserve">: With respect to the Seller on any date, an amount equal to the aggregate Unpaid Balance of all Pool Receivables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sum of (i) the aggregate Unpaid Balance of all Defaulted Receivables on such day, (ii) if applicable, the aggregate principal amount outstanding of the Initial Seller Notes on such day, together with all accrued and unpaid interest thereon on such day, and (iii) an amount equal to the Required Reserves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Invested Amount on such day.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Obligor</w:t>
      </w:r>
      <w:r>
        <w:rPr>
          <w:rFonts w:ascii="Arial" w:cs="Arial" w:eastAsia="Arial" w:hAnsi="Arial"/>
          <w:sz w:val="22"/>
          <w:szCs w:val="22"/>
          <w:color w:val="auto"/>
        </w:rPr>
        <w:t>: A Person obligated to make payments with respect to a Receivable, including any guarantor thereof.</w:t>
      </w:r>
    </w:p>
    <w:p>
      <w:pPr>
        <w:spacing w:after="0" w:line="220"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Obligor Concentration Limit</w:t>
      </w:r>
      <w:r>
        <w:rPr>
          <w:rFonts w:ascii="Arial" w:cs="Arial" w:eastAsia="Arial" w:hAnsi="Arial"/>
          <w:sz w:val="22"/>
          <w:szCs w:val="22"/>
          <w:color w:val="auto"/>
        </w:rPr>
        <w:t>: At any time, in relation to the aggregate Unpaid Balance of Receivables owed by any single Obligor and its Affiliated Obligors (if any):</w:t>
      </w:r>
    </w:p>
    <w:p>
      <w:pPr>
        <w:spacing w:after="0" w:line="175" w:lineRule="exact"/>
        <w:rPr>
          <w:sz w:val="20"/>
          <w:szCs w:val="20"/>
          <w:color w:val="auto"/>
        </w:rPr>
      </w:pPr>
    </w:p>
    <w:p>
      <w:pPr>
        <w:ind w:left="660" w:right="40" w:firstLine="645"/>
        <w:spacing w:after="0" w:line="312" w:lineRule="auto"/>
        <w:tabs>
          <w:tab w:leader="none" w:pos="172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for Obligors (other than Michel) who have a short term unsecured debt rating currently assigned to them by either S&amp;P or Moody’s, the applicable concentration limit shall be determined according to the following table (and, if such Obligor is rated by both S&amp;P and Moody’s and has a split rating, the applicable rating will be the lower of the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175895</wp:posOffset>
            </wp:positionV>
            <wp:extent cx="6123305" cy="104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123305" cy="104775"/>
                    </a:xfrm>
                    <a:prstGeom prst="rect">
                      <a:avLst/>
                    </a:prstGeom>
                    <a:noFill/>
                  </pic:spPr>
                </pic:pic>
              </a:graphicData>
            </a:graphic>
          </wp:anchor>
        </w:drawing>
      </w:r>
    </w:p>
    <w:p>
      <w:pPr>
        <w:sectPr>
          <w:pgSz w:w="11900" w:h="16838" w:orient="portrait"/>
          <w:cols w:equalWidth="0" w:num="1">
            <w:col w:w="11400"/>
          </w:cols>
          <w:pgMar w:left="240" w:top="132" w:right="259" w:bottom="15" w:gutter="0" w:footer="0" w:header="0"/>
        </w:sectPr>
      </w:pPr>
    </w:p>
    <w:bookmarkStart w:id="94" w:name="page95"/>
    <w:bookmarkEnd w:id="94"/>
    <w:tbl>
      <w:tblPr>
        <w:tblLayout w:type="fixed"/>
        <w:tblInd w:w="670" w:type="dxa"/>
        <w:tblCellMar>
          <w:top w:w="0" w:type="dxa"/>
          <w:left w:w="0" w:type="dxa"/>
          <w:bottom w:w="0" w:type="dxa"/>
          <w:right w:w="0" w:type="dxa"/>
        </w:tblCellMar>
      </w:tblPr>
      <w:tr>
        <w:trPr>
          <w:trHeight w:val="270"/>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S&amp;P Rating</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Moody’s Rating</w:t>
            </w:r>
          </w:p>
        </w:tc>
        <w:tc>
          <w:tcPr>
            <w:tcW w:w="442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2"/>
                <w:szCs w:val="22"/>
                <w:color w:val="auto"/>
              </w:rPr>
              <w:t>Allowable % of Eligible Receivables</w:t>
            </w:r>
          </w:p>
        </w:tc>
      </w:tr>
      <w:tr>
        <w:trPr>
          <w:trHeight w:val="284"/>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A-1 or better</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P-1</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10%</w:t>
            </w:r>
          </w:p>
        </w:tc>
      </w:tr>
      <w:tr>
        <w:trPr>
          <w:trHeight w:val="291"/>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A-2</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P-2</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6%</w:t>
            </w:r>
          </w:p>
        </w:tc>
      </w:tr>
      <w:tr>
        <w:trPr>
          <w:trHeight w:val="291"/>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A-3</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P-3</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w:t>
            </w:r>
          </w:p>
        </w:tc>
      </w:tr>
    </w:tbl>
    <w:p>
      <w:pPr>
        <w:spacing w:after="0" w:line="249" w:lineRule="exact"/>
        <w:rPr>
          <w:sz w:val="20"/>
          <w:szCs w:val="20"/>
          <w:color w:val="auto"/>
        </w:rPr>
      </w:pPr>
    </w:p>
    <w:p>
      <w:pPr>
        <w:ind w:left="660" w:right="220"/>
        <w:spacing w:after="0" w:line="265" w:lineRule="auto"/>
        <w:rPr>
          <w:sz w:val="20"/>
          <w:szCs w:val="20"/>
          <w:color w:val="auto"/>
        </w:rPr>
      </w:pPr>
      <w:r>
        <w:rPr>
          <w:rFonts w:ascii="Arial" w:cs="Arial" w:eastAsia="Arial" w:hAnsi="Arial"/>
          <w:sz w:val="21"/>
          <w:szCs w:val="21"/>
          <w:color w:val="auto"/>
        </w:rPr>
        <w:t>If such Obligor is rated by only S&amp;P, the applicable rating will be deemed to be one ratings tier below the actual rating by S&amp;P, and, if such Obligor is rated by only Moody’s, the applicable rating will be deemed to be one ratings tier below the actual rating by Moody’s, it being understood that if, for example, Moody’s has assigned a P-1 rating to such Obligor and S&amp;P has not rated it, the applicable rating will be deemed to be P-2;</w:t>
      </w:r>
    </w:p>
    <w:p>
      <w:pPr>
        <w:spacing w:after="0" w:line="176" w:lineRule="exact"/>
        <w:rPr>
          <w:sz w:val="20"/>
          <w:szCs w:val="20"/>
          <w:color w:val="auto"/>
        </w:rPr>
      </w:pPr>
    </w:p>
    <w:p>
      <w:pPr>
        <w:ind w:left="660" w:right="380" w:firstLine="645"/>
        <w:spacing w:after="0" w:line="263" w:lineRule="auto"/>
        <w:tabs>
          <w:tab w:leader="none" w:pos="17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for Michel, 7.5% of the aggregate Unpaid Balance of Eligible Receivables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percentage may be decreased by the Administrative Agent in its sole discretion; and</w:t>
      </w:r>
    </w:p>
    <w:p>
      <w:pPr>
        <w:spacing w:after="0" w:line="174" w:lineRule="exact"/>
        <w:rPr>
          <w:rFonts w:ascii="Arial" w:cs="Arial" w:eastAsia="Arial" w:hAnsi="Arial"/>
          <w:sz w:val="22"/>
          <w:szCs w:val="22"/>
          <w:color w:val="auto"/>
        </w:rPr>
      </w:pPr>
    </w:p>
    <w:p>
      <w:pPr>
        <w:ind w:left="660" w:right="80" w:firstLine="645"/>
        <w:spacing w:after="0" w:line="263" w:lineRule="auto"/>
        <w:tabs>
          <w:tab w:leader="none" w:pos="190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for Obligors (other than Michel) who do not have a debt rating listed above or who are not rated, 2.5% of the aggregate Unpaid Balance of Eligible Receivables at such time;</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at the Seller’s request and in the Agents’ sole discretion, the Agents may permit certain obligors to have an Obligor Concentration Limit in excess of those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above (“</w:t>
      </w:r>
      <w:r>
        <w:rPr>
          <w:rFonts w:ascii="Arial" w:cs="Arial" w:eastAsia="Arial" w:hAnsi="Arial"/>
          <w:sz w:val="22"/>
          <w:szCs w:val="22"/>
          <w:i w:val="1"/>
          <w:iCs w:val="1"/>
          <w:u w:val="single" w:color="auto"/>
          <w:color w:val="auto"/>
        </w:rPr>
        <w:t>Special Obligor</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Special Obligor designation shall not take effect without the confirmation of approval to the Agents by each of Fitch Investors Service, Moody’s and S&amp;P of such designation, if any Agent, in its sole discretion, determines that such confirmation of approval shall be required.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The Office of Foreign Assets Control of the U.S. Department of the Treasury.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Originator</w:t>
      </w:r>
      <w:r>
        <w:rPr>
          <w:rFonts w:ascii="Arial" w:cs="Arial" w:eastAsia="Arial" w:hAnsi="Arial"/>
          <w:sz w:val="22"/>
          <w:szCs w:val="22"/>
          <w:color w:val="auto"/>
        </w:rPr>
        <w:t>: Each of Lennox and any other Person who is a seller under the Sale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14.5(b)</w:t>
      </w:r>
      <w:r>
        <w:rPr>
          <w:rFonts w:ascii="Arial" w:cs="Arial" w:eastAsia="Arial" w:hAnsi="Arial"/>
          <w:sz w:val="22"/>
          <w:szCs w:val="22"/>
          <w:color w:val="auto"/>
        </w:rPr>
        <w:t>.</w:t>
      </w:r>
    </w:p>
    <w:p>
      <w:pPr>
        <w:spacing w:after="0" w:line="22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Percentage</w:t>
      </w:r>
      <w:r>
        <w:rPr>
          <w:rFonts w:ascii="Arial" w:cs="Arial" w:eastAsia="Arial" w:hAnsi="Arial"/>
          <w:sz w:val="22"/>
          <w:szCs w:val="22"/>
          <w:color w:val="auto"/>
        </w:rPr>
        <w:t>: With respect to any Liquidity Bank, the percentage set forth as such Liquidity Bank’s Percentage on the signature page to this Agreement or to the Assignment and Acceptance pursuant to which such Liquidity Bank became a party to this Agreement, in each case as such percentage may be reduced or increased by any Assignment and Acceptance entered into between such Liquidity Bank and an Eligible Assignee.</w:t>
      </w:r>
    </w:p>
    <w:p>
      <w:pPr>
        <w:spacing w:after="0" w:line="188"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An individual, partnership, corporation (including a business trust), limited liability company, joint stock company, trust, unincorporated association, joint venture, government or any agency or political subdivision thereof or any other entity.</w:t>
      </w:r>
    </w:p>
    <w:p>
      <w:pPr>
        <w:spacing w:after="0" w:line="105" w:lineRule="exact"/>
        <w:rPr>
          <w:sz w:val="20"/>
          <w:szCs w:val="20"/>
          <w:color w:val="auto"/>
        </w:rPr>
      </w:pPr>
    </w:p>
    <w:p>
      <w:pPr>
        <w:ind w:right="840"/>
        <w:spacing w:after="0" w:line="263" w:lineRule="auto"/>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Any pension plan subject to the provisions of Title IV of ERISA or Section 412 of the Code which is maintained for employees of Lennox or any ERISA Affiliate.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Pool Receivable</w:t>
      </w:r>
      <w:r>
        <w:rPr>
          <w:rFonts w:ascii="Arial" w:cs="Arial" w:eastAsia="Arial" w:hAnsi="Arial"/>
          <w:sz w:val="22"/>
          <w:szCs w:val="22"/>
          <w:color w:val="auto"/>
        </w:rPr>
        <w:t>: A Receivable in the Receivables Pool.</w:t>
      </w: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u w:val="single" w:color="auto"/>
          <w:color w:val="auto"/>
        </w:rPr>
        <w:t>Pooled Commercial Paper</w:t>
      </w:r>
      <w:r>
        <w:rPr>
          <w:rFonts w:ascii="Arial" w:cs="Arial" w:eastAsia="Arial" w:hAnsi="Arial"/>
          <w:sz w:val="22"/>
          <w:szCs w:val="22"/>
          <w:color w:val="auto"/>
        </w:rPr>
        <w:t>: Commercial Paper Notes issued by the BTMU Purchaser which are subject to any particular pooling arrangement, as determined by the BTMU Purchaser Agent (it being recognized that there may be more than one distinct group of Pooled Commercial Paper at any time).</w:t>
      </w:r>
    </w:p>
    <w:p>
      <w:pPr>
        <w:spacing w:after="0" w:line="186" w:lineRule="exact"/>
        <w:rPr>
          <w:sz w:val="20"/>
          <w:szCs w:val="20"/>
          <w:color w:val="auto"/>
        </w:rPr>
      </w:pPr>
    </w:p>
    <w:p>
      <w:pPr>
        <w:ind w:right="540"/>
        <w:spacing w:after="0" w:line="343" w:lineRule="auto"/>
        <w:rPr>
          <w:sz w:val="20"/>
          <w:szCs w:val="20"/>
          <w:color w:val="auto"/>
        </w:rPr>
      </w:pPr>
      <w:r>
        <w:rPr>
          <w:rFonts w:ascii="Arial" w:cs="Arial" w:eastAsia="Arial" w:hAnsi="Arial"/>
          <w:sz w:val="19"/>
          <w:szCs w:val="19"/>
          <w:u w:val="single" w:color="auto"/>
          <w:color w:val="auto"/>
        </w:rPr>
        <w:t>Preferred Stock</w:t>
      </w:r>
      <w:r>
        <w:rPr>
          <w:rFonts w:ascii="Arial" w:cs="Arial" w:eastAsia="Arial" w:hAnsi="Arial"/>
          <w:sz w:val="19"/>
          <w:szCs w:val="19"/>
          <w:color w:val="auto"/>
        </w:rPr>
        <w:t>: Any class of capital stock of a corporation that is preferred over any other class of capital stock of such corporation as to the payment of dividends or the payment of any amount upon liquidation or dissolution of such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Prior RPA</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Refers to that fluctuating rate of interest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higher of the rate of interest most recently announced by BTMU or its Affiliate Bank of Tokyo-Mitsubishi UFJ Trust Company, in New York, New York as its prime rate; the Prime Rate is not necessarily intended to be the lowest rate of interest determined by BTMU or Bank of Tokyo-Mitsubishi UFJ Trust Company in connection with extensions of credit.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Program Fee</w:t>
      </w:r>
      <w:r>
        <w:rPr>
          <w:rFonts w:ascii="Arial" w:cs="Arial" w:eastAsia="Arial" w:hAnsi="Arial"/>
          <w:sz w:val="22"/>
          <w:szCs w:val="22"/>
          <w:color w:val="auto"/>
        </w:rPr>
        <w:t>: The aggregate “Program Fee” set forth in the Fee Letter.</w:t>
      </w:r>
    </w:p>
    <w:p>
      <w:pPr>
        <w:spacing w:after="0" w:line="220" w:lineRule="exact"/>
        <w:rPr>
          <w:sz w:val="20"/>
          <w:szCs w:val="20"/>
          <w:color w:val="auto"/>
        </w:rPr>
      </w:pPr>
    </w:p>
    <w:p>
      <w:pPr>
        <w:spacing w:after="0" w:line="247" w:lineRule="auto"/>
        <w:rPr>
          <w:sz w:val="20"/>
          <w:szCs w:val="20"/>
          <w:color w:val="auto"/>
        </w:rPr>
      </w:pPr>
      <w:r>
        <w:rPr>
          <w:rFonts w:ascii="Arial" w:cs="Arial" w:eastAsia="Arial" w:hAnsi="Arial"/>
          <w:sz w:val="22"/>
          <w:szCs w:val="22"/>
          <w:u w:val="single" w:color="auto"/>
          <w:color w:val="auto"/>
        </w:rPr>
        <w:t>Pro Rata Share</w:t>
      </w:r>
      <w:r>
        <w:rPr>
          <w:rFonts w:ascii="Arial" w:cs="Arial" w:eastAsia="Arial" w:hAnsi="Arial"/>
          <w:sz w:val="22"/>
          <w:szCs w:val="22"/>
          <w:color w:val="auto"/>
        </w:rPr>
        <w:t>: At any time with respect to a Purchaser Group, (a) with respect to any payment to be made to such Purchaser Group, the percentage equivalent of a fraction the numerator of which is equal to such Purchaser Group’s Purchaser Group Invested Amount at such time and the denominator of which is equal to the Invested Amount at such time and (b) with respect to any Purchase to be made by such Purchaser Group, the percentage equivalent of a fraction, the numerator of which is equal to such Purchaser Group’s Purchaser Group Limit in effect at such time and the denominator of which is equal to the Purchase Limit in effect at such time.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ectPr>
          <w:pgSz w:w="11900" w:h="16838" w:orient="portrait"/>
          <w:cols w:equalWidth="0" w:num="1">
            <w:col w:w="11400"/>
          </w:cols>
          <w:pgMar w:left="240" w:top="140" w:right="259" w:bottom="0" w:gutter="0" w:footer="0" w:header="0"/>
        </w:sectPr>
      </w:pPr>
    </w:p>
    <w:bookmarkStart w:id="95" w:name="page96"/>
    <w:bookmarkEnd w:id="95"/>
    <w:p>
      <w:pPr>
        <w:spacing w:after="0"/>
        <w:rPr>
          <w:sz w:val="20"/>
          <w:szCs w:val="20"/>
          <w:color w:val="auto"/>
        </w:rPr>
      </w:pPr>
      <w:r>
        <w:rPr>
          <w:rFonts w:ascii="Arial" w:cs="Arial" w:eastAsia="Arial" w:hAnsi="Arial"/>
          <w:sz w:val="22"/>
          <w:szCs w:val="22"/>
          <w:u w:val="single" w:color="auto"/>
          <w:color w:val="auto"/>
        </w:rPr>
        <w:t>Purchase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Purchase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420" w:type="dxa"/>
            <w:vAlign w:val="bottom"/>
            <w:tcBorders>
              <w:top w:val="single" w:sz="8" w:color="auto"/>
              <w:bottom w:val="single" w:sz="8" w:color="00000A"/>
            </w:tcBorders>
          </w:tcPr>
          <w:p>
            <w:pPr>
              <w:spacing w:after="0"/>
              <w:rPr>
                <w:sz w:val="4"/>
                <w:szCs w:val="4"/>
                <w:color w:val="auto"/>
              </w:rPr>
            </w:pPr>
          </w:p>
        </w:tc>
        <w:tc>
          <w:tcPr>
            <w:tcW w:w="162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144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$225,000,000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$225,000,000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$380,000,000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$380,000,000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$380,000,000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November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December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January</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$225,000,000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February</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right="40" w:hanging="4"/>
        <w:spacing w:after="0" w:line="263" w:lineRule="auto"/>
        <w:tabs>
          <w:tab w:leader="none" w:pos="774"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The BTMU Purchaser and any other person designated as a Purchaser hereunder from time to time (collectively, the </w:t>
      </w:r>
      <w:r>
        <w:rPr>
          <w:rFonts w:ascii="Arial" w:cs="Arial" w:eastAsia="Arial" w:hAnsi="Arial"/>
          <w:sz w:val="22"/>
          <w:szCs w:val="22"/>
          <w:u w:val="single" w:color="auto"/>
          <w:color w:val="auto"/>
        </w:rPr>
        <w:t>Purchasers</w:t>
      </w:r>
      <w:r>
        <w:rPr>
          <w:rFonts w:ascii="Arial" w:cs="Arial" w:eastAsia="Arial" w:hAnsi="Arial"/>
          <w:sz w:val="22"/>
          <w:szCs w:val="22"/>
          <w:color w:val="auto"/>
        </w:rPr>
        <w:t>).</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u w:val="single" w:color="auto"/>
          <w:color w:val="auto"/>
        </w:rPr>
        <w:t>Purchaser Agent</w:t>
      </w:r>
      <w:r>
        <w:rPr>
          <w:rFonts w:ascii="Arial" w:cs="Arial" w:eastAsia="Arial" w:hAnsi="Arial"/>
          <w:sz w:val="22"/>
          <w:szCs w:val="22"/>
          <w:color w:val="auto"/>
        </w:rPr>
        <w:t xml:space="preserve">: With respect to the BTMU Purchaser, the BTMU Purchaser Agent and with respect to itself, the WFB Purchaser Agent (collectively, the </w:t>
      </w:r>
      <w:r>
        <w:rPr>
          <w:rFonts w:ascii="Arial" w:cs="Arial" w:eastAsia="Arial" w:hAnsi="Arial"/>
          <w:sz w:val="22"/>
          <w:szCs w:val="22"/>
          <w:u w:val="single" w:color="auto"/>
          <w:color w:val="auto"/>
        </w:rPr>
        <w:t>Purchaser Agents</w:t>
      </w:r>
      <w:r>
        <w:rPr>
          <w:rFonts w:ascii="Arial" w:cs="Arial" w:eastAsia="Arial" w:hAnsi="Arial"/>
          <w:sz w:val="22"/>
          <w:szCs w:val="22"/>
          <w:color w:val="auto"/>
        </w:rPr>
        <w: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Purchaser Agent Account</w:t>
      </w:r>
      <w:r>
        <w:rPr>
          <w:rFonts w:ascii="Arial" w:cs="Arial" w:eastAsia="Arial" w:hAnsi="Arial"/>
          <w:sz w:val="22"/>
          <w:szCs w:val="22"/>
          <w:color w:val="auto"/>
        </w:rPr>
        <w:t>: With respect to the BTMU Purchaser Agent, the BTMU Purchaser Account and with respect to the WFB Purchaser Agent, the WFB Purchaser Account.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Purchaser Group</w:t>
      </w:r>
      <w:r>
        <w:rPr>
          <w:rFonts w:ascii="Arial" w:cs="Arial" w:eastAsia="Arial" w:hAnsi="Arial"/>
          <w:sz w:val="19"/>
          <w:szCs w:val="19"/>
          <w:color w:val="auto"/>
        </w:rPr>
        <w:t xml:space="preserve">: Each of the BTMU Purchaser Group and the WFB Purchaser Group (collectively, the </w:t>
      </w:r>
      <w:r>
        <w:rPr>
          <w:rFonts w:ascii="Arial" w:cs="Arial" w:eastAsia="Arial" w:hAnsi="Arial"/>
          <w:sz w:val="19"/>
          <w:szCs w:val="19"/>
          <w:u w:val="single" w:color="auto"/>
          <w:color w:val="auto"/>
        </w:rPr>
        <w:t>Purchaser Groups</w:t>
      </w:r>
      <w:r>
        <w:rPr>
          <w:rFonts w:ascii="Arial" w:cs="Arial" w:eastAsia="Arial" w:hAnsi="Arial"/>
          <w:sz w:val="19"/>
          <w:szCs w:val="19"/>
          <w:color w:val="auto"/>
        </w:rPr>
        <w:t>).</w:t>
      </w:r>
    </w:p>
    <w:p>
      <w:pPr>
        <w:spacing w:after="0" w:line="254"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u w:val="single" w:color="auto"/>
          <w:color w:val="auto"/>
        </w:rPr>
        <w:t>Purchaser Group Invested Amount</w:t>
      </w:r>
      <w:r>
        <w:rPr>
          <w:rFonts w:ascii="Arial" w:cs="Arial" w:eastAsia="Arial" w:hAnsi="Arial"/>
          <w:sz w:val="22"/>
          <w:szCs w:val="22"/>
          <w:color w:val="auto"/>
        </w:rPr>
        <w:t>: With respect to a Purchaser Group, the aggregate of the portions of the Invested Amount outstanding at such time that were funded by such Purchaser Group.</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u w:val="single" w:color="auto"/>
          <w:color w:val="auto"/>
        </w:rPr>
        <w:t>Purchaser Group Limit</w:t>
      </w:r>
      <w:r>
        <w:rPr>
          <w:rFonts w:ascii="Arial" w:cs="Arial" w:eastAsia="Arial" w:hAnsi="Arial"/>
          <w:sz w:val="22"/>
          <w:szCs w:val="22"/>
          <w:color w:val="auto"/>
        </w:rPr>
        <w:t>: With respect to the BTMU Purchaser Group, the BTMU Purchaser Group Limit in effect at such time and with respect to the WFB Purchaser Group, the WFB Purchaser Group Limit in effect at such time.</w:t>
      </w:r>
    </w:p>
    <w:p>
      <w:pPr>
        <w:spacing w:after="0" w:line="175"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u w:val="single" w:color="auto"/>
          <w:color w:val="auto"/>
        </w:rPr>
        <w:t>Purchaser Group’s Tranche Investment</w:t>
      </w:r>
      <w:r>
        <w:rPr>
          <w:rFonts w:ascii="Arial" w:cs="Arial" w:eastAsia="Arial" w:hAnsi="Arial"/>
          <w:sz w:val="22"/>
          <w:szCs w:val="22"/>
          <w:color w:val="auto"/>
        </w:rPr>
        <w:t xml:space="preserve">: In relation to any Asset Tranche of any Purchaser Group, the amount of the Invested Amount allocated by the Purchaser Agent of such Purchaser Group to that Asset Tranche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at all times (i) the aggregate amounts allocated to all Asset Tranches of any Purchaser Group shall equal such Purchaser Group’s Invested Amount and (ii) the aggregate amounts allocated to all Asset Tranches of all Purchaser Groups shall equal the Invested Amount.</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u w:val="single" w:color="auto"/>
          <w:color w:val="auto"/>
        </w:rPr>
        <w:t>Qualifying Liquidity Bank</w:t>
      </w:r>
      <w:r>
        <w:rPr>
          <w:rFonts w:ascii="Arial" w:cs="Arial" w:eastAsia="Arial" w:hAnsi="Arial"/>
          <w:sz w:val="22"/>
          <w:szCs w:val="22"/>
          <w:color w:val="auto"/>
        </w:rPr>
        <w:t>: A Liquidity Bank with a rating of its short-term securities equal to or higher than (i) A-1 by Standard &amp; Poor’s and (ii) P-1 by Moody’s.</w:t>
      </w:r>
    </w:p>
    <w:p>
      <w:pPr>
        <w:spacing w:after="0" w:line="175" w:lineRule="exact"/>
        <w:rPr>
          <w:sz w:val="20"/>
          <w:szCs w:val="20"/>
          <w:color w:val="auto"/>
        </w:rPr>
      </w:pPr>
    </w:p>
    <w:p>
      <w:pPr>
        <w:ind w:right="280"/>
        <w:spacing w:after="0" w:line="287" w:lineRule="auto"/>
        <w:rPr>
          <w:sz w:val="20"/>
          <w:szCs w:val="20"/>
          <w:color w:val="auto"/>
        </w:rPr>
      </w:pPr>
      <w:r>
        <w:rPr>
          <w:rFonts w:ascii="Arial" w:cs="Arial" w:eastAsia="Arial" w:hAnsi="Arial"/>
          <w:sz w:val="21"/>
          <w:szCs w:val="21"/>
          <w:u w:val="single" w:color="auto"/>
          <w:color w:val="auto"/>
        </w:rPr>
        <w:t>Receivable</w:t>
      </w:r>
      <w:r>
        <w:rPr>
          <w:rFonts w:ascii="Arial" w:cs="Arial" w:eastAsia="Arial" w:hAnsi="Arial"/>
          <w:sz w:val="21"/>
          <w:szCs w:val="21"/>
          <w:color w:val="auto"/>
        </w:rPr>
        <w:t>: Any right to payment from a Person, whether constituting an account, chattel paper, instrument or general intangible and includes the right to payment of any interest or finance charges and other amounts with respect thereto.</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22"/>
          <w:szCs w:val="22"/>
          <w:u w:val="single" w:color="auto"/>
          <w:color w:val="auto"/>
        </w:rPr>
        <w:t>Receivables Pool</w:t>
      </w:r>
      <w:r>
        <w:rPr>
          <w:rFonts w:ascii="Arial" w:cs="Arial" w:eastAsia="Arial" w:hAnsi="Arial"/>
          <w:sz w:val="22"/>
          <w:szCs w:val="22"/>
          <w:color w:val="auto"/>
        </w:rPr>
        <w:t xml:space="preserve">: At any time all then outstanding Receivables which have been sold or contributed as capital, or purported to have been sold or contributed as capital, by an Originator to the Seller, other than those reconveyed to an Originator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of the Sale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Regulation D</w:t>
      </w:r>
      <w:r>
        <w:rPr>
          <w:rFonts w:ascii="Arial" w:cs="Arial" w:eastAsia="Arial" w:hAnsi="Arial"/>
          <w:sz w:val="19"/>
          <w:szCs w:val="19"/>
          <w:color w:val="auto"/>
        </w:rPr>
        <w:t>: Regulation D of the Federal Reserve Board, as the same may be amended or supplemented from time to time.</w:t>
      </w:r>
    </w:p>
    <w:p>
      <w:pPr>
        <w:sectPr>
          <w:pgSz w:w="11900" w:h="16838" w:orient="portrait"/>
          <w:cols w:equalWidth="0" w:num="1">
            <w:col w:w="11420"/>
          </w:cols>
          <w:pgMar w:left="240" w:top="131" w:right="239" w:bottom="298" w:gutter="0" w:footer="0" w:header="0"/>
        </w:sectPr>
      </w:pPr>
    </w:p>
    <w:bookmarkStart w:id="96" w:name="page97"/>
    <w:bookmarkEnd w:id="96"/>
    <w:p>
      <w:pPr>
        <w:spacing w:after="0" w:line="135"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u w:val="single" w:color="auto"/>
          <w:color w:val="auto"/>
        </w:rPr>
        <w:t>Regulatory Change</w:t>
      </w:r>
      <w:r>
        <w:rPr>
          <w:rFonts w:ascii="Arial" w:cs="Arial" w:eastAsia="Arial" w:hAnsi="Arial"/>
          <w:sz w:val="22"/>
          <w:szCs w:val="22"/>
          <w:color w:val="auto"/>
        </w:rPr>
        <w:t>: Any change after the date of this Agreement in United States (federal, state or municipal) or foreign laws or regulations (including Regulation D) or the adoption or making after such date of any interpretations, directives or requests applying to a class of banks (including the Liquidity Banks) of or under any United States (federal, state or municipal) or foreign, laws, or regulations (whether or not having the force of law) by any Governmental Authority or monetary authority charged with the interpretation or administration thereof.</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Reinvestment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1.3(a)(iii)</w:t>
      </w:r>
      <w:r>
        <w:rPr>
          <w:rFonts w:ascii="Arial" w:cs="Arial" w:eastAsia="Arial" w:hAnsi="Arial"/>
          <w:sz w:val="22"/>
          <w:szCs w:val="22"/>
          <w:color w:val="auto"/>
        </w:rPr>
        <w:t>.</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u w:val="single" w:color="auto"/>
          <w:color w:val="auto"/>
        </w:rPr>
        <w:t>Related Assets</w:t>
      </w:r>
      <w:r>
        <w:rPr>
          <w:rFonts w:ascii="Arial" w:cs="Arial" w:eastAsia="Arial" w:hAnsi="Arial"/>
          <w:sz w:val="19"/>
          <w:szCs w:val="19"/>
          <w:color w:val="auto"/>
        </w:rPr>
        <w:t xml:space="preserve">: (i) all rights to, but not any obligations under, all related Contracts and other Related Security related to any Pool Receivables, (ii) all rights and interests of the Seller under the Sale Agreement in relation to any Pool Receivables, (iii) all books and records evidencing or otherwise relating to any Pool Receivables, (iv) all Lockbox Accounts and related lock boxes and all cash and investments therein, to the extent constituting or representing the items in the following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and (v) all Collections in respect of, and other proceeds of, any Pool Receivables or any other Related Assets.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Related Security</w:t>
      </w:r>
      <w:r>
        <w:rPr>
          <w:rFonts w:ascii="Arial" w:cs="Arial" w:eastAsia="Arial" w:hAnsi="Arial"/>
          <w:sz w:val="19"/>
          <w:szCs w:val="19"/>
          <w:color w:val="auto"/>
        </w:rPr>
        <w:t>: With respect to any Pool Receivable, all of the Seller’s (in the case of usage in the Receivables Purchase Agreement) or the Originator’s (in the case of usage in the Sale Agreement) right, title and interest in and to: (i) all Contracts that relate to such Pool Receivable; (ii) all merchandise (including returned merchandise), if any, relating to the sale which gave rise to such Pool Receivable; (iii) all security deposits and other security interests or liens and property subject thereto from time to time purporting to secure payment of such Pool Receivable, whether pursuant to the Contract related to such Pool Receivable or otherwise; (iv) all UCC financing statements covering any collateral securing payment of such Pool Receivable (but only to the extent of the interest of the Seller in the respective Pool Receivable); (v) all guarantees and other agreements or arrangements of whatever character from time to time supporting or securing payment of such Pool Receivable whether pursuant to the Contract related to such Pool Receivable or otherwise; and (vi) all insurance policies, and all claims thereunder, related to such Pool Receivable, in each case to the extent directly related to rights to payment, collection and enforcement, and other rights with respect to such Pool Receivable. Except to the extent included in the Collateral, the interest of each Investor in any Related Security is only to the extent of the undivided percentage ownership interest of such Investor’s Purchaser Group, as more fully described in the definition of Asset Interest.</w:t>
      </w:r>
    </w:p>
    <w:p>
      <w:pPr>
        <w:spacing w:after="0" w:line="200" w:lineRule="exact"/>
        <w:rPr>
          <w:sz w:val="20"/>
          <w:szCs w:val="20"/>
          <w:color w:val="auto"/>
        </w:rPr>
      </w:pPr>
    </w:p>
    <w:p>
      <w:pPr>
        <w:spacing w:after="0" w:line="217"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u w:val="single" w:color="auto"/>
          <w:color w:val="auto"/>
        </w:rPr>
        <w:t>Reportable Event</w:t>
      </w:r>
      <w:r>
        <w:rPr>
          <w:rFonts w:ascii="Arial" w:cs="Arial" w:eastAsia="Arial" w:hAnsi="Arial"/>
          <w:sz w:val="22"/>
          <w:szCs w:val="22"/>
          <w:color w:val="auto"/>
        </w:rPr>
        <w:t>: Any reportable event as defined in Section 4043(b) of ERISA or the regulations issued thereunder with respect to a Plan (other than a Plan maintained by an ERISA Affiliate which is considered an ERISA Affiliate only pursuant to subsection (m) or (o) of Section 414 of the Code).</w:t>
      </w:r>
    </w:p>
    <w:p>
      <w:pPr>
        <w:spacing w:after="0" w:line="186" w:lineRule="exact"/>
        <w:rPr>
          <w:sz w:val="20"/>
          <w:szCs w:val="20"/>
          <w:color w:val="auto"/>
        </w:rPr>
      </w:pPr>
    </w:p>
    <w:p>
      <w:pPr>
        <w:ind w:right="120"/>
        <w:spacing w:after="0" w:line="263" w:lineRule="auto"/>
        <w:rPr>
          <w:sz w:val="20"/>
          <w:szCs w:val="20"/>
          <w:color w:val="auto"/>
        </w:rPr>
      </w:pPr>
      <w:r>
        <w:rPr>
          <w:rFonts w:ascii="Arial" w:cs="Arial" w:eastAsia="Arial" w:hAnsi="Arial"/>
          <w:sz w:val="21"/>
          <w:szCs w:val="21"/>
          <w:u w:val="single" w:color="auto"/>
          <w:color w:val="auto"/>
        </w:rPr>
        <w:t>Reporting Date</w:t>
      </w:r>
      <w:r>
        <w:rPr>
          <w:rFonts w:ascii="Arial" w:cs="Arial" w:eastAsia="Arial" w:hAnsi="Arial"/>
          <w:sz w:val="21"/>
          <w:szCs w:val="21"/>
          <w:color w:val="auto"/>
        </w:rPr>
        <w:t xml:space="preserve">: The fifteenth day of each month or if such day is not a Business Day, the next succeeding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senior unsecured debt ratings of Lennox International Inc. by Moody’s or S&amp;P are reduced below Ba3 or BB-, respectively, or are withdrawn by either of Moody’s or S&amp;P or if either Moody’s or S&amp;P no longer provides a senior unsecured debt rating for Lennox International Inc. and, in any such case, the aggregate Invested Amount is greater than $0.00, then, in any such case, the Reporting Date will be the first Business Day of each week.</w:t>
      </w:r>
    </w:p>
    <w:p>
      <w:pPr>
        <w:spacing w:after="0" w:line="176"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u w:val="single" w:color="auto"/>
          <w:color w:val="auto"/>
        </w:rPr>
        <w:t>Required Reserve</w:t>
      </w:r>
      <w:r>
        <w:rPr>
          <w:rFonts w:ascii="Arial" w:cs="Arial" w:eastAsia="Arial" w:hAnsi="Arial"/>
          <w:sz w:val="19"/>
          <w:szCs w:val="19"/>
          <w:color w:val="auto"/>
        </w:rPr>
        <w:t>: On any day during a Collection Period, an amount equal to the product of (i) the Net Pool Balance and (ii) the sum of (a) the Yield Reserve on such day, (b) the Servicing Reserve on such day and (c) the greater of (I) Required Reserve Factor Floor on such day and (II) the sum of (1) the Loss Reserve on such day and (2) the Dilution Reserve on such day.</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u w:val="single" w:color="auto"/>
          <w:color w:val="auto"/>
        </w:rPr>
        <w:t>Required Reserve Factor Floor</w:t>
      </w:r>
      <w:r>
        <w:rPr>
          <w:rFonts w:ascii="Arial" w:cs="Arial" w:eastAsia="Arial" w:hAnsi="Arial"/>
          <w:sz w:val="19"/>
          <w:szCs w:val="19"/>
          <w:color w:val="auto"/>
        </w:rPr>
        <w:t>: The sum of (i) an amount, as of any date of determination and expressed as a percentage of the aggregate Unpaid Balance of Eligible Receivables as of such date, equal to the greatest of (A) the sum of the four (4) largest aggregate Unpaid Balances of Eligible Receivables for specific Obligors (including Michel) (calculated as if each such Obligor and its Affiliated Obligors were one Obligor) who do not have a debt rating listed in clause (i) of the definition of “Obligor Concentration Limit” or who are not rated as of such date (up to the Obligor Concentration Limit for each such Obligor), (B) the sum of the two (2) largest aggregate Unpaid Balances of Eligible Receivables for specific Obligors (calculated as if each such Obligor and its Affiliated Obligors were one Obligor) who have a short term unsecured debt rating currently assigned to them by either S&amp;P or Moody’s of A-3 or P-3, respectively, as of such date (up to the Obligor Concentration Limit for each such Obligor),</w:t>
      </w:r>
    </w:p>
    <w:p>
      <w:pPr>
        <w:spacing w:after="0" w:line="2" w:lineRule="exact"/>
        <w:rPr>
          <w:sz w:val="20"/>
          <w:szCs w:val="20"/>
          <w:color w:val="auto"/>
        </w:rPr>
      </w:pPr>
    </w:p>
    <w:p>
      <w:pPr>
        <w:ind w:right="20" w:firstLine="8"/>
        <w:spacing w:after="0" w:line="287" w:lineRule="auto"/>
        <w:tabs>
          <w:tab w:leader="none" w:pos="34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largest aggregate Unpaid Balances of Eligible Receivables for any Obligor (calculated as if such Obligor and its Affiliated Obligors were one Obligor) who has a short term unsecured debt rating currently assigned to it by either S&amp;P or Moody’s of A-2 or P-2, respectively, as of such date (up to the Obligor Concentration Limit for such Obligor), and (D) the largest aggregate Unpaid Balances of Eligible Receivables for any Obligor (calculated as if such Obligor and its Affiliated Obligors were one Obligor) who has a short term unsecured debt rating currently assigned to it by either S&amp;P or Moody’s of A-1 or P-1, respectively, as of such date (up to the Obligor Concentration Limit for such Obligor), and (ii) the product of the Adjusted Dilution Ratio times the Dilution Horizon Ratio. For purposes of calculating the Required Reserve Factor Floor, the applicable rating of any Obligor that is rated by both S&amp;P and Moody’s and has a split rating will be the lower of the two ratings.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Service.</w:t>
      </w:r>
    </w:p>
    <w:p>
      <w:pPr>
        <w:spacing w:after="0" w:line="220" w:lineRule="exact"/>
        <w:rPr>
          <w:sz w:val="20"/>
          <w:szCs w:val="20"/>
          <w:color w:val="auto"/>
        </w:rPr>
      </w:pPr>
    </w:p>
    <w:p>
      <w:pPr>
        <w:ind w:right="460"/>
        <w:spacing w:after="0" w:line="287" w:lineRule="auto"/>
        <w:rPr>
          <w:sz w:val="20"/>
          <w:szCs w:val="20"/>
          <w:color w:val="auto"/>
        </w:rPr>
      </w:pPr>
      <w:r>
        <w:rPr>
          <w:rFonts w:ascii="Arial" w:cs="Arial" w:eastAsia="Arial" w:hAnsi="Arial"/>
          <w:sz w:val="21"/>
          <w:szCs w:val="21"/>
          <w:u w:val="single" w:color="auto"/>
          <w:color w:val="auto"/>
        </w:rPr>
        <w:t>Sale Agreement</w:t>
      </w:r>
      <w:r>
        <w:rPr>
          <w:rFonts w:ascii="Arial" w:cs="Arial" w:eastAsia="Arial" w:hAnsi="Arial"/>
          <w:sz w:val="21"/>
          <w:szCs w:val="21"/>
          <w:color w:val="auto"/>
        </w:rPr>
        <w:t>: The Second Amended and Restated Purchase and Sale Agreement dated as of November 18, 2011 among the Originators and the Seller as it may be amended, restated, supplemented or otherwise modified.</w:t>
      </w:r>
    </w:p>
    <w:p>
      <w:pPr>
        <w:spacing w:after="0" w:line="152" w:lineRule="exact"/>
        <w:rPr>
          <w:sz w:val="20"/>
          <w:szCs w:val="20"/>
          <w:color w:val="auto"/>
        </w:rPr>
      </w:pPr>
    </w:p>
    <w:p>
      <w:pPr>
        <w:ind w:right="1120"/>
        <w:spacing w:after="0" w:line="343" w:lineRule="auto"/>
        <w:rPr>
          <w:sz w:val="20"/>
          <w:szCs w:val="20"/>
          <w:color w:val="auto"/>
        </w:rPr>
      </w:pPr>
      <w:r>
        <w:rPr>
          <w:rFonts w:ascii="Arial" w:cs="Arial" w:eastAsia="Arial" w:hAnsi="Arial"/>
          <w:sz w:val="19"/>
          <w:szCs w:val="19"/>
          <w:u w:val="single" w:color="auto"/>
          <w:color w:val="auto"/>
        </w:rPr>
        <w:t>Sanctioned Country</w:t>
      </w:r>
      <w:r>
        <w:rPr>
          <w:rFonts w:ascii="Arial" w:cs="Arial" w:eastAsia="Arial" w:hAnsi="Arial"/>
          <w:sz w:val="19"/>
          <w:szCs w:val="19"/>
          <w:color w:val="auto"/>
        </w:rPr>
        <w:t>: At any time of determination, a country or territory which is the subject or target of any Sanctions administered by OFAC (at November 21, 2014, Cuba, Burma (Myanmar), Iran, North Korea, Sudan and Syria).</w:t>
      </w:r>
    </w:p>
    <w:p>
      <w:pPr>
        <w:sectPr>
          <w:pgSz w:w="11900" w:h="16974" w:orient="portrait"/>
          <w:cols w:equalWidth="0" w:num="1">
            <w:col w:w="11420"/>
          </w:cols>
          <w:pgMar w:left="240" w:top="132" w:right="239" w:bottom="0" w:gutter="0" w:footer="0" w:header="0"/>
        </w:sectPr>
      </w:pPr>
    </w:p>
    <w:bookmarkStart w:id="97" w:name="page98"/>
    <w:bookmarkEnd w:id="97"/>
    <w:p>
      <w:pPr>
        <w:spacing w:after="0" w:line="116"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u w:val="single" w:color="auto"/>
          <w:color w:val="auto"/>
        </w:rPr>
        <w:t>Sanctioned Person</w:t>
      </w:r>
      <w:r>
        <w:rPr>
          <w:rFonts w:ascii="Arial" w:cs="Arial" w:eastAsia="Arial" w:hAnsi="Arial"/>
          <w:sz w:val="19"/>
          <w:szCs w:val="19"/>
          <w:color w:val="auto"/>
        </w:rPr>
        <w:t>: At any time of determination, (a) any Person that is the subject or the target of any applicable Sanctions, including any Person listed in any Sanctions-related list of designated Persons maintained OFAC, the U.S. Department of State or by the United Nations Security Council, the European Union or any European Union member state, or (b) any Person directly or indirectly 50 percent or more owned or controlled by any such Person or Persons described in the foregoing clause (a).</w:t>
      </w:r>
    </w:p>
    <w:p>
      <w:pPr>
        <w:spacing w:after="0" w:line="14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u w:val="single" w:color="auto"/>
          <w:color w:val="auto"/>
        </w:rPr>
        <w:t>Sanctions</w:t>
      </w:r>
      <w:r>
        <w:rPr>
          <w:rFonts w:ascii="Arial" w:cs="Arial" w:eastAsia="Arial" w:hAnsi="Arial"/>
          <w:sz w:val="22"/>
          <w:szCs w:val="22"/>
          <w:color w:val="auto"/>
        </w:rPr>
        <w:t>: Economic, financial or other sanctions or trade embargoes imposed, administered or enforced from time to time by the U.S. government, including those administered by OFAC or the U.S. Department of State, or other relevant sanctions authority, including the U.S. and Canada.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Secured Parties</w:t>
      </w:r>
      <w:r>
        <w:rPr>
          <w:rFonts w:ascii="Arial" w:cs="Arial" w:eastAsia="Arial" w:hAnsi="Arial"/>
          <w:sz w:val="19"/>
          <w:szCs w:val="19"/>
          <w:color w:val="auto"/>
        </w:rPr>
        <w:t>: The Purchasers, the Liquidity Banks, the Agents, the other Indemnified Parties and the other Affected Parties.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Information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Information Provider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Party</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Seller’s Account</w:t>
      </w:r>
      <w:r>
        <w:rPr>
          <w:rFonts w:ascii="Arial" w:cs="Arial" w:eastAsia="Arial" w:hAnsi="Arial"/>
          <w:sz w:val="22"/>
          <w:szCs w:val="22"/>
          <w:color w:val="auto"/>
        </w:rPr>
        <w:t>: The account specified in a written notice provided by the Seller to the Agents.</w:t>
      </w:r>
    </w:p>
    <w:p>
      <w:pPr>
        <w:spacing w:after="0" w:line="220"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u w:val="single" w:color="auto"/>
          <w:color w:val="auto"/>
        </w:rPr>
        <w:t>Seller’s Share</w:t>
      </w:r>
      <w:r>
        <w:rPr>
          <w:rFonts w:ascii="Arial" w:cs="Arial" w:eastAsia="Arial" w:hAnsi="Arial"/>
          <w:sz w:val="22"/>
          <w:szCs w:val="22"/>
          <w:color w:val="auto"/>
        </w:rPr>
        <w:t>: With respect to any amount means 100% minus the lesser of (i) the most recently calculated Asset Interest and (ii) 100%.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Servicer Default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Servicing Fee</w:t>
      </w:r>
      <w:r>
        <w:rPr>
          <w:rFonts w:ascii="Arial" w:cs="Arial" w:eastAsia="Arial" w:hAnsi="Arial"/>
          <w:sz w:val="19"/>
          <w:szCs w:val="19"/>
          <w:color w:val="auto"/>
        </w:rPr>
        <w:t>: Accrued for any day in a Collection Period means: (i) an amount equal to the product of (A) the Servicing Fee Rate,</w:t>
      </w:r>
    </w:p>
    <w:p>
      <w:pPr>
        <w:spacing w:after="0" w:line="56" w:lineRule="exact"/>
        <w:rPr>
          <w:sz w:val="20"/>
          <w:szCs w:val="20"/>
          <w:color w:val="auto"/>
        </w:rPr>
      </w:pPr>
    </w:p>
    <w:p>
      <w:pPr>
        <w:ind w:left="360" w:hanging="352"/>
        <w:spacing w:after="0"/>
        <w:tabs>
          <w:tab w:leader="none" w:pos="3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aggregate Unpaid Balance of the Pool Receivables at the close of business on the first day of such Collection Period, and</w:t>
      </w:r>
    </w:p>
    <w:p>
      <w:pPr>
        <w:spacing w:after="0" w:line="38" w:lineRule="exact"/>
        <w:rPr>
          <w:rFonts w:ascii="Arial" w:cs="Arial" w:eastAsia="Arial" w:hAnsi="Arial"/>
          <w:sz w:val="19"/>
          <w:szCs w:val="19"/>
          <w:color w:val="auto"/>
        </w:rPr>
      </w:pPr>
    </w:p>
    <w:p>
      <w:pPr>
        <w:ind w:right="40" w:firstLine="8"/>
        <w:spacing w:after="0" w:line="244" w:lineRule="auto"/>
        <w:tabs>
          <w:tab w:leader="none" w:pos="34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1/360; or (ii) on and after the Master Servicer’s reasonable request made at any time when Lennox, Seller or any Affiliate or designee thereof shall no longer be Master Servicer, an alternative amount specified by Master Servicer not exceeding (A) 110% of Master Servicer’s costs and expenses of performing its obligations under the Agreement during the Collection Period when such day occurs divided by (B) the number of days in such Collection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Servicing Fee Rate</w:t>
      </w:r>
      <w:r>
        <w:rPr>
          <w:rFonts w:ascii="Arial" w:cs="Arial" w:eastAsia="Arial" w:hAnsi="Arial"/>
          <w:sz w:val="22"/>
          <w:szCs w:val="22"/>
          <w:color w:val="auto"/>
        </w:rPr>
        <w:t xml:space="preserve">: 1.00% </w:t>
      </w:r>
      <w:r>
        <w:rPr>
          <w:rFonts w:ascii="Arial" w:cs="Arial" w:eastAsia="Arial" w:hAnsi="Arial"/>
          <w:sz w:val="22"/>
          <w:szCs w:val="22"/>
          <w:u w:val="single" w:color="auto"/>
          <w:color w:val="auto"/>
        </w:rPr>
        <w:t>per annum</w:t>
      </w:r>
      <w:r>
        <w:rPr>
          <w:rFonts w:ascii="Arial" w:cs="Arial" w:eastAsia="Arial" w:hAnsi="Arial"/>
          <w:sz w:val="22"/>
          <w:szCs w:val="22"/>
          <w:color w:val="auto"/>
        </w:rPr>
        <w:t>.</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u w:val="single" w:color="auto"/>
          <w:color w:val="auto"/>
        </w:rPr>
        <w:t>Servicing Reserve</w:t>
      </w:r>
      <w:r>
        <w:rPr>
          <w:rFonts w:ascii="Arial" w:cs="Arial" w:eastAsia="Arial" w:hAnsi="Arial"/>
          <w:sz w:val="22"/>
          <w:szCs w:val="22"/>
          <w:color w:val="auto"/>
        </w:rPr>
        <w:t>: The product of (i) the Servicing Fee Rate and (ii) a fraction, the numerator of which is the Twelve Month DSO and the denominator of which is 360.</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Two Business Days following each Reporting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during any period during which a Weekly Report is required to be delivered, the Settlement Date shall also be two Business Days immediately following the related Weekly Reporting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Sixth Amendment Date</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Obligor</w:t>
      </w:r>
      <w:r>
        <w:rPr>
          <w:rFonts w:ascii="Arial" w:cs="Arial" w:eastAsia="Arial" w:hAnsi="Arial"/>
          <w:sz w:val="22"/>
          <w:szCs w:val="22"/>
          <w:color w:val="auto"/>
        </w:rPr>
        <w:t>: As defined in the definition of Obligor Concentration Limit.</w:t>
      </w:r>
    </w:p>
    <w:p>
      <w:pPr>
        <w:spacing w:after="0" w:line="22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u w:val="single" w:color="auto"/>
          <w:color w:val="auto"/>
        </w:rPr>
        <w:t>Specified Annual Rebate</w:t>
      </w:r>
      <w:r>
        <w:rPr>
          <w:rFonts w:ascii="Arial" w:cs="Arial" w:eastAsia="Arial" w:hAnsi="Arial"/>
          <w:sz w:val="22"/>
          <w:szCs w:val="22"/>
          <w:color w:val="auto"/>
        </w:rPr>
        <w:t>: Identifiable annual volume and sales rebates tracked and processed by Lennox during the applicable period.</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21"/>
          <w:szCs w:val="21"/>
          <w:u w:val="single" w:color="auto"/>
          <w:color w:val="auto"/>
        </w:rPr>
        <w:t>Subsidiary</w:t>
      </w:r>
      <w:r>
        <w:rPr>
          <w:rFonts w:ascii="Arial" w:cs="Arial" w:eastAsia="Arial" w:hAnsi="Arial"/>
          <w:sz w:val="21"/>
          <w:szCs w:val="21"/>
          <w:color w:val="auto"/>
        </w:rPr>
        <w:t>: With respect to any Person means (i) a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or controlled by such Person, directly or indirectly through Subsidiaries, and (ii) any partnership, association, limited liability company, joint venture or other entity in which such Person, directly or indirectly through Subsidiaries, has more than a 50% equity interest at the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Successor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8.1(b)</w:t>
      </w:r>
      <w:r>
        <w:rPr>
          <w:rFonts w:ascii="Arial" w:cs="Arial" w:eastAsia="Arial" w:hAnsi="Arial"/>
          <w:sz w:val="22"/>
          <w:szCs w:val="22"/>
          <w:color w:val="auto"/>
        </w:rPr>
        <w:t>.</w:t>
      </w:r>
    </w:p>
    <w:p>
      <w:pPr>
        <w:spacing w:after="0" w:line="220"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u w:val="single" w:color="auto"/>
          <w:color w:val="auto"/>
        </w:rPr>
        <w:t>Swaps</w:t>
      </w:r>
      <w:r>
        <w:rPr>
          <w:rFonts w:ascii="Arial" w:cs="Arial" w:eastAsia="Arial" w:hAnsi="Arial"/>
          <w:sz w:val="19"/>
          <w:szCs w:val="19"/>
          <w:color w:val="auto"/>
        </w:rPr>
        <w:t>: With respect to any Person, payment obligations with respect to interest rate swaps, currency swaps and similar obligations obligating such Person to make payments, whether periodically or upon the happening of a contingency. For the purpose of this Agreement, the amount of the obligation under any Swap shall be an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ectPr>
          <w:pgSz w:w="11900" w:h="16954" w:orient="portrait"/>
          <w:cols w:equalWidth="0" w:num="1">
            <w:col w:w="11400"/>
          </w:cols>
          <w:pgMar w:left="240" w:top="307" w:right="259" w:bottom="0" w:gutter="0" w:footer="0" w:header="0"/>
        </w:sectPr>
      </w:pPr>
    </w:p>
    <w:bookmarkStart w:id="98" w:name="page99"/>
    <w:bookmarkEnd w:id="98"/>
    <w:p>
      <w:pPr>
        <w:spacing w:after="0"/>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3.3(d)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earliest of:</w:t>
      </w:r>
    </w:p>
    <w:p>
      <w:pPr>
        <w:spacing w:after="0" w:line="220" w:lineRule="exact"/>
        <w:rPr>
          <w:sz w:val="20"/>
          <w:szCs w:val="20"/>
          <w:color w:val="auto"/>
        </w:rPr>
      </w:pPr>
    </w:p>
    <w:p>
      <w:pPr>
        <w:ind w:left="660" w:right="160" w:firstLine="645"/>
        <w:spacing w:after="0" w:line="253" w:lineRule="auto"/>
        <w:tabs>
          <w:tab w:leader="none" w:pos="172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date of termination (whether by scheduled expiration, termination on default or otherwise) of the Liquidity Banks’ commitments under their respective Liquidity Agreement (unless such commitments are renewed, extended or replaced on or before such date);</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Funding Termination Date;</w:t>
      </w:r>
    </w:p>
    <w:p>
      <w:pPr>
        <w:spacing w:after="0" w:line="219" w:lineRule="exact"/>
        <w:rPr>
          <w:rFonts w:ascii="Arial" w:cs="Arial" w:eastAsia="Arial" w:hAnsi="Arial"/>
          <w:sz w:val="22"/>
          <w:szCs w:val="22"/>
          <w:color w:val="auto"/>
        </w:rPr>
      </w:pPr>
    </w:p>
    <w:p>
      <w:pPr>
        <w:ind w:left="660" w:firstLine="645"/>
        <w:spacing w:after="0" w:line="250" w:lineRule="auto"/>
        <w:tabs>
          <w:tab w:leader="none" w:pos="184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the date designated by the Seller as the “Termination Date” on not less than thirty (30) days’ notice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such date the Invested Amount has been reduced to zero, all accrued Earned Discount, CP Costs and fees have been paid in full and all other amounts due to the Investors and the Agents have been paid in full; and</w:t>
      </w:r>
    </w:p>
    <w:p>
      <w:pPr>
        <w:spacing w:after="0" w:line="188" w:lineRule="exact"/>
        <w:rPr>
          <w:rFonts w:ascii="Arial" w:cs="Arial" w:eastAsia="Arial" w:hAnsi="Arial"/>
          <w:sz w:val="22"/>
          <w:szCs w:val="22"/>
          <w:color w:val="auto"/>
        </w:rPr>
      </w:pPr>
    </w:p>
    <w:p>
      <w:pPr>
        <w:ind w:left="1840" w:hanging="535"/>
        <w:spacing w:after="0"/>
        <w:tabs>
          <w:tab w:leader="none" w:pos="18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date on which any of the following shall occur:</w:t>
      </w:r>
    </w:p>
    <w:p>
      <w:pPr>
        <w:spacing w:after="0" w:line="219" w:lineRule="exact"/>
        <w:rPr>
          <w:rFonts w:ascii="Arial" w:cs="Arial" w:eastAsia="Arial" w:hAnsi="Arial"/>
          <w:sz w:val="22"/>
          <w:szCs w:val="22"/>
          <w:color w:val="auto"/>
        </w:rPr>
      </w:pPr>
    </w:p>
    <w:p>
      <w:pPr>
        <w:ind w:left="1300" w:right="180" w:firstLine="653"/>
        <w:spacing w:after="0" w:line="260" w:lineRule="auto"/>
        <w:tabs>
          <w:tab w:leader="none" w:pos="2452" w:val="left"/>
        </w:tabs>
        <w:numPr>
          <w:ilvl w:val="1"/>
          <w:numId w:val="120"/>
        </w:numPr>
        <w:rPr>
          <w:rFonts w:ascii="Arial" w:cs="Arial" w:eastAsia="Arial" w:hAnsi="Arial"/>
          <w:sz w:val="21"/>
          <w:szCs w:val="21"/>
          <w:color w:val="auto"/>
        </w:rPr>
      </w:pPr>
      <w:r>
        <w:rPr>
          <w:rFonts w:ascii="Arial" w:cs="Arial" w:eastAsia="Arial" w:hAnsi="Arial"/>
          <w:sz w:val="21"/>
          <w:szCs w:val="21"/>
          <w:color w:val="auto"/>
        </w:rPr>
        <w:t>A Downgrading Event with respect to a Liquidity Bank shall have occurred and been continuing for not less than 45 days, (x) the Downgraded Liquidity Bank shall not have been replaced by a Qualifying Liquidity Bank pursuant to a Liquidity Agreement in form and substance acceptable to the Purchaser and the Administrative Agent, and (y) the commitment of such Downgraded Liquidity Bank under the Liquidity Agreement shall not have been funded or collateralized in such a manner that such Downgrading Event will not result in a reduction or withdrawal of the credit rating applied to the Commercial Paper Notes by any of the rating agencies then rating the Commercial Paper Notes; or</w:t>
      </w:r>
    </w:p>
    <w:p>
      <w:pPr>
        <w:spacing w:after="0" w:line="181" w:lineRule="exact"/>
        <w:rPr>
          <w:rFonts w:ascii="Arial" w:cs="Arial" w:eastAsia="Arial" w:hAnsi="Arial"/>
          <w:sz w:val="21"/>
          <w:szCs w:val="21"/>
          <w:color w:val="auto"/>
        </w:rPr>
      </w:pPr>
    </w:p>
    <w:p>
      <w:pPr>
        <w:ind w:left="1300" w:right="80" w:firstLine="653"/>
        <w:spacing w:after="0" w:line="263" w:lineRule="auto"/>
        <w:tabs>
          <w:tab w:leader="none" w:pos="245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Purchaser shall become an “investment company” within the meaning of the Investment Company Act of 1940, as amended.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Threshold Amount</w:t>
      </w:r>
      <w:r>
        <w:rPr>
          <w:rFonts w:ascii="Arial" w:cs="Arial" w:eastAsia="Arial" w:hAnsi="Arial"/>
          <w:sz w:val="19"/>
          <w:szCs w:val="19"/>
          <w:color w:val="auto"/>
        </w:rPr>
        <w:t>: $1,000,000, or such other amount to which the Administrative Agent may agree in writing from time to time.</w:t>
      </w:r>
    </w:p>
    <w:p>
      <w:pPr>
        <w:spacing w:after="0" w:line="254" w:lineRule="exact"/>
        <w:rPr>
          <w:sz w:val="20"/>
          <w:szCs w:val="20"/>
          <w:color w:val="auto"/>
        </w:rPr>
      </w:pPr>
    </w:p>
    <w:p>
      <w:pPr>
        <w:jc w:val="both"/>
        <w:ind w:right="60"/>
        <w:spacing w:after="0" w:line="343" w:lineRule="auto"/>
        <w:rPr>
          <w:sz w:val="20"/>
          <w:szCs w:val="20"/>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This Agreement, the Lockbox Agreements, the Sale Agreement, the Assurance Agreement, the Fee Letter, all amendments and waivers to any of the foregoing, and the other documents to be executed and delivered in connection herewith.</w:t>
      </w:r>
    </w:p>
    <w:p>
      <w:pPr>
        <w:spacing w:after="0" w:line="10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u w:val="single" w:color="auto"/>
          <w:color w:val="auto"/>
        </w:rPr>
        <w:t>Transaction Fees</w:t>
      </w:r>
      <w:r>
        <w:rPr>
          <w:rFonts w:ascii="Arial" w:cs="Arial" w:eastAsia="Arial" w:hAnsi="Arial"/>
          <w:sz w:val="22"/>
          <w:szCs w:val="22"/>
          <w:color w:val="auto"/>
        </w:rPr>
        <w:t>: Subject to the limitations set forth in the Fee Letter, all reasonable expenses of the Agents incurred in connection with the consummation of this Agreement and each other Transaction Document, including but not limited to (i) the legal fees of Kaye Scholer LLP, counsel to the Administrative Agent, (ii) expenses incurred in connection with any due diligence audit and (iii) out-of-pocket expenses of the Agents.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u w:val="single" w:color="auto"/>
          <w:color w:val="auto"/>
        </w:rPr>
        <w:t>Twelve Month DSO</w:t>
      </w:r>
      <w:r>
        <w:rPr>
          <w:rFonts w:ascii="Arial" w:cs="Arial" w:eastAsia="Arial" w:hAnsi="Arial"/>
          <w:sz w:val="22"/>
          <w:szCs w:val="22"/>
          <w:color w:val="auto"/>
        </w:rPr>
        <w:t>: For any day, the highest Days Sales Outstanding that occurred during the twelve (12) month period ending on such date of calculation.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from time to time in effect in the applicable jurisdiction or jurisdictions.</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u w:val="single" w:color="auto"/>
          <w:color w:val="auto"/>
        </w:rPr>
        <w:t>Unmatured Liquidation Event</w:t>
      </w:r>
      <w:r>
        <w:rPr>
          <w:rFonts w:ascii="Arial" w:cs="Arial" w:eastAsia="Arial" w:hAnsi="Arial"/>
          <w:sz w:val="22"/>
          <w:szCs w:val="22"/>
          <w:color w:val="auto"/>
        </w:rPr>
        <w:t>: Any event which, with the giving of notice or lapse of time, or both, would become a Liquidation Event.</w:t>
      </w:r>
    </w:p>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Unpaid Balance</w:t>
      </w:r>
      <w:r>
        <w:rPr>
          <w:rFonts w:ascii="Arial" w:cs="Arial" w:eastAsia="Arial" w:hAnsi="Arial"/>
          <w:sz w:val="22"/>
          <w:szCs w:val="22"/>
          <w:color w:val="auto"/>
        </w:rPr>
        <w:t>: With respect to any Receivable means at any time the unpaid amount thereof, but excluding all late payment charges, delinquency charges and extension or collection fees.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Unused Fee</w:t>
      </w:r>
      <w:r>
        <w:rPr>
          <w:rFonts w:ascii="Arial" w:cs="Arial" w:eastAsia="Arial" w:hAnsi="Arial"/>
          <w:sz w:val="22"/>
          <w:szCs w:val="22"/>
          <w:color w:val="auto"/>
        </w:rPr>
        <w:t>: The aggregate “Unused Fee” set forth in the Fee Letter.</w:t>
      </w:r>
    </w:p>
    <w:p>
      <w:pPr>
        <w:spacing w:after="0" w:line="220"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u w:val="single" w:color="auto"/>
          <w:color w:val="auto"/>
        </w:rPr>
        <w:t>Volcker Rule</w:t>
      </w:r>
      <w:r>
        <w:rPr>
          <w:rFonts w:ascii="Arial" w:cs="Arial" w:eastAsia="Arial" w:hAnsi="Arial"/>
          <w:sz w:val="22"/>
          <w:szCs w:val="22"/>
          <w:color w:val="auto"/>
        </w:rPr>
        <w:t>: Section 13 of the U.S. Bank Holding Company Act of 1956, as amended, and the applicable rules and regulations thereunder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Weekly Report</w:t>
      </w:r>
      <w:r>
        <w:rPr>
          <w:rFonts w:ascii="Arial" w:cs="Arial" w:eastAsia="Arial" w:hAnsi="Arial"/>
          <w:sz w:val="22"/>
          <w:szCs w:val="22"/>
          <w:color w:val="auto"/>
        </w:rPr>
        <w:t xml:space="preserve">: A report (for the week most recently ended) in the form of </w:t>
      </w:r>
      <w:r>
        <w:rPr>
          <w:rFonts w:ascii="Arial" w:cs="Arial" w:eastAsia="Arial" w:hAnsi="Arial"/>
          <w:sz w:val="22"/>
          <w:szCs w:val="22"/>
          <w:u w:val="single" w:color="auto"/>
          <w:color w:val="auto"/>
        </w:rPr>
        <w:t>Exhibit 3.1(a)-2</w:t>
      </w:r>
      <w:r>
        <w:rPr>
          <w:rFonts w:ascii="Arial" w:cs="Arial" w:eastAsia="Arial" w:hAnsi="Arial"/>
          <w:sz w:val="22"/>
          <w:szCs w:val="22"/>
          <w:color w:val="auto"/>
        </w:rPr>
        <w:t>.</w:t>
      </w:r>
    </w:p>
    <w:p>
      <w:pPr>
        <w:spacing w:after="0" w:line="220"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u w:val="single" w:color="auto"/>
          <w:color w:val="auto"/>
        </w:rPr>
        <w:t>Weekly Reporting Date</w:t>
      </w:r>
      <w:r>
        <w:rPr>
          <w:rFonts w:ascii="Arial" w:cs="Arial" w:eastAsia="Arial" w:hAnsi="Arial"/>
          <w:sz w:val="22"/>
          <w:szCs w:val="22"/>
          <w:color w:val="auto"/>
        </w:rPr>
        <w:t>: For any period during which Weekly Reports are required to be delivered, the first Business Day of each calendar week.</w:t>
      </w:r>
    </w:p>
    <w:p>
      <w:pPr>
        <w:spacing w:after="0" w:line="175"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u w:val="single" w:color="auto"/>
          <w:color w:val="auto"/>
        </w:rPr>
        <w:t>Weekly Reporting Period</w:t>
      </w:r>
      <w:r>
        <w:rPr>
          <w:rFonts w:ascii="Arial" w:cs="Arial" w:eastAsia="Arial" w:hAnsi="Arial"/>
          <w:sz w:val="22"/>
          <w:szCs w:val="22"/>
          <w:color w:val="auto"/>
        </w:rPr>
        <w:t>: For any Weekly Reporting Date, the calendar week ended on the Friday immediately preceding such Weekly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Weekly Settlement Date</w:t>
      </w:r>
      <w:r>
        <w:rPr>
          <w:rFonts w:ascii="Arial" w:cs="Arial" w:eastAsia="Arial" w:hAnsi="Arial"/>
          <w:sz w:val="22"/>
          <w:szCs w:val="22"/>
          <w:color w:val="auto"/>
        </w:rPr>
        <w:t>: One Business Day following each Weekly Reporting Date.</w:t>
      </w:r>
    </w:p>
    <w:p>
      <w:pPr>
        <w:sectPr>
          <w:pgSz w:w="11900" w:h="16838" w:orient="portrait"/>
          <w:cols w:equalWidth="0" w:num="1">
            <w:col w:w="11420"/>
          </w:cols>
          <w:pgMar w:left="240" w:top="334" w:right="239" w:bottom="115" w:gutter="0" w:footer="0" w:header="0"/>
        </w:sectPr>
      </w:pPr>
    </w:p>
    <w:bookmarkStart w:id="99" w:name="page100"/>
    <w:bookmarkEnd w:id="99"/>
    <w:p>
      <w:pPr>
        <w:ind w:right="120"/>
        <w:spacing w:after="0" w:line="253" w:lineRule="auto"/>
        <w:rPr>
          <w:sz w:val="20"/>
          <w:szCs w:val="20"/>
          <w:color w:val="auto"/>
        </w:rPr>
      </w:pPr>
      <w:r>
        <w:rPr>
          <w:rFonts w:ascii="Arial" w:cs="Arial" w:eastAsia="Arial" w:hAnsi="Arial"/>
          <w:sz w:val="22"/>
          <w:szCs w:val="22"/>
          <w:u w:val="single" w:color="auto"/>
          <w:color w:val="auto"/>
        </w:rPr>
        <w:t>Weighted Average Term</w:t>
      </w:r>
      <w:r>
        <w:rPr>
          <w:rFonts w:ascii="Arial" w:cs="Arial" w:eastAsia="Arial" w:hAnsi="Arial"/>
          <w:sz w:val="22"/>
          <w:szCs w:val="22"/>
          <w:color w:val="auto"/>
        </w:rPr>
        <w:t>: On any day, the weighted average of the stated terms of all Receivables (excluding Receivables owed by an Affiliate or employee of any Seller Party or Originator) owned by Seller on such date, weighted on the basis of the Unpaid Balance of each such Receivable, as of such date of calculation.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21"/>
          <w:szCs w:val="21"/>
          <w:u w:val="single" w:color="auto"/>
          <w:color w:val="auto"/>
        </w:rPr>
        <w:t>WFB LIBO Rate</w:t>
      </w:r>
      <w:r>
        <w:rPr>
          <w:rFonts w:ascii="Arial" w:cs="Arial" w:eastAsia="Arial" w:hAnsi="Arial"/>
          <w:sz w:val="21"/>
          <w:szCs w:val="21"/>
          <w:color w:val="auto"/>
        </w:rPr>
        <w:t xml:space="preserve">: For any day during any Yield Period, an interest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determined by the WFB Purchaser Agent and equal to LMIR. “LMIR” means, for any day during any Yield Period, the greater of (i) 0% and (ii) the one-month eurodollar rate for U.S. dollar deposits as reported on the Reuters Screen LIBOR01 Page or any other page that may replace such page from time to time for the purpose of displaying offered rates of leading banks for London interbank deposits in United States dollars, as of 11:00 a.m. (London time) on such day, or if such day is not a Business Day, then the immediately preceding Business Day (or if not so reported, then as determined by the WFB Purchaser Agent from another recognized source for interbank quotation), in each case, changing when and as such rate changes.</w:t>
      </w:r>
    </w:p>
    <w:p>
      <w:pPr>
        <w:spacing w:after="0" w:line="181"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u w:val="single" w:color="auto"/>
          <w:color w:val="auto"/>
        </w:rPr>
        <w:t>WFB LIBO Rate Reserve Percentage</w:t>
      </w:r>
      <w:r>
        <w:rPr>
          <w:rFonts w:ascii="Arial" w:cs="Arial" w:eastAsia="Arial" w:hAnsi="Arial"/>
          <w:sz w:val="22"/>
          <w:szCs w:val="22"/>
          <w:color w:val="auto"/>
        </w:rPr>
        <w:t>: With respect to any Investor for any Yield Period in respect of which Earned Discount is computed by reference to the WFB LIBO Rate, the maximum effective percentage in effect on such day as prescribed by the Federal Reserve Board for determining the reserve requirements (including without limitation, supplemental, marginal, and emergency reserve requirements) with respect to eurocurrency funding (currently referred to as Eurocurrency Liabilities (as such term is defined in Regulation D)).</w:t>
      </w:r>
    </w:p>
    <w:p>
      <w:pPr>
        <w:spacing w:after="0" w:line="192" w:lineRule="exact"/>
        <w:rPr>
          <w:sz w:val="20"/>
          <w:szCs w:val="20"/>
          <w:color w:val="auto"/>
        </w:rPr>
      </w:pPr>
    </w:p>
    <w:p>
      <w:pPr>
        <w:ind w:right="280"/>
        <w:spacing w:after="0" w:line="291" w:lineRule="auto"/>
        <w:rPr>
          <w:sz w:val="20"/>
          <w:szCs w:val="20"/>
          <w:color w:val="auto"/>
        </w:rPr>
      </w:pPr>
      <w:r>
        <w:rPr>
          <w:rFonts w:ascii="Arial" w:cs="Arial" w:eastAsia="Arial" w:hAnsi="Arial"/>
          <w:sz w:val="19"/>
          <w:szCs w:val="19"/>
          <w:u w:val="single" w:color="auto"/>
          <w:color w:val="auto"/>
        </w:rPr>
        <w:t>WFB LIBO Rate (Reserved)</w:t>
      </w:r>
      <w:r>
        <w:rPr>
          <w:rFonts w:ascii="Arial" w:cs="Arial" w:eastAsia="Arial" w:hAnsi="Arial"/>
          <w:sz w:val="19"/>
          <w:szCs w:val="19"/>
          <w:color w:val="auto"/>
        </w:rPr>
        <w:t xml:space="preserve">: With respect to any Yield Period means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quotient obtained (rounded upwards, if necessary, to the next higher 1/100th of 1%) by dividing (i) the applicable WFB LIBO Rate for such Yield Period by</w:t>
      </w:r>
    </w:p>
    <w:p>
      <w:pPr>
        <w:spacing w:after="0" w:line="1" w:lineRule="exact"/>
        <w:rPr>
          <w:sz w:val="20"/>
          <w:szCs w:val="20"/>
          <w:color w:val="auto"/>
        </w:rPr>
      </w:pPr>
    </w:p>
    <w:p>
      <w:pPr>
        <w:ind w:right="3920" w:firstLine="8"/>
        <w:spacing w:after="0" w:line="509" w:lineRule="auto"/>
        <w:tabs>
          <w:tab w:leader="none" w:pos="31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a percentage equal to 100% minus the WFB LIBO Rate Reserve Percentage. </w:t>
      </w:r>
      <w:r>
        <w:rPr>
          <w:rFonts w:ascii="Arial" w:cs="Arial" w:eastAsia="Arial" w:hAnsi="Arial"/>
          <w:sz w:val="19"/>
          <w:szCs w:val="19"/>
          <w:u w:val="single" w:color="auto"/>
          <w:color w:val="auto"/>
        </w:rPr>
        <w:t>WFB Liquidity Bank</w:t>
      </w:r>
      <w:r>
        <w:rPr>
          <w:rFonts w:ascii="Arial" w:cs="Arial" w:eastAsia="Arial" w:hAnsi="Arial"/>
          <w:sz w:val="19"/>
          <w:szCs w:val="19"/>
          <w:color w:val="auto"/>
        </w:rPr>
        <w:t>: WFB or any other Person designated as such from time to time.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22"/>
          <w:szCs w:val="22"/>
          <w:u w:val="single" w:color="auto"/>
          <w:color w:val="auto"/>
        </w:rPr>
        <w:t>WFB Purchaser Account</w:t>
      </w:r>
      <w:r>
        <w:rPr>
          <w:rFonts w:ascii="Arial" w:cs="Arial" w:eastAsia="Arial" w:hAnsi="Arial"/>
          <w:sz w:val="22"/>
          <w:szCs w:val="22"/>
          <w:color w:val="auto"/>
        </w:rPr>
        <w:t>: Such account set forth in a separate letter by the WFB Purchaser Agent to the Seller and Master Servicer, or such other account as may be specified in writing from time to time by the WFB Purchaser Agent to the Seller and Master Servicer.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 Purchaser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u w:val="single" w:color="auto"/>
          <w:color w:val="auto"/>
        </w:rPr>
        <w:t>WFB Purchaser Group</w:t>
      </w:r>
      <w:r>
        <w:rPr>
          <w:rFonts w:ascii="Arial" w:cs="Arial" w:eastAsia="Arial" w:hAnsi="Arial"/>
          <w:sz w:val="22"/>
          <w:szCs w:val="22"/>
          <w:color w:val="auto"/>
        </w:rPr>
        <w:t>: The WFB Liquidity Banks and the WFB Purchaser Agent, together with their respective successors, assigns and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 Purchaser Group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WFB Purchaser Group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720" w:type="dxa"/>
            <w:vAlign w:val="bottom"/>
            <w:tcBorders>
              <w:top w:val="single" w:sz="8" w:color="auto"/>
              <w:bottom w:val="single" w:sz="8" w:color="00000A"/>
            </w:tcBorders>
          </w:tcPr>
          <w:p>
            <w:pPr>
              <w:spacing w:after="0"/>
              <w:rPr>
                <w:sz w:val="4"/>
                <w:szCs w:val="4"/>
                <w:color w:val="auto"/>
              </w:rPr>
            </w:pPr>
          </w:p>
        </w:tc>
        <w:tc>
          <w:tcPr>
            <w:tcW w:w="32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274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$65,131,578.95</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$65,131,578.95</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$110,000,000</w:t>
            </w: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November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December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January</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$65,131,578.95</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February</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4"/>
        <w:spacing w:after="0" w:line="263" w:lineRule="auto"/>
        <w:tabs>
          <w:tab w:leader="none" w:pos="77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Yield Period</w:t>
      </w:r>
      <w:r>
        <w:rPr>
          <w:rFonts w:ascii="Arial" w:cs="Arial" w:eastAsia="Arial" w:hAnsi="Arial"/>
          <w:sz w:val="22"/>
          <w:szCs w:val="22"/>
          <w:color w:val="auto"/>
        </w:rPr>
        <w:t>: With respect to any Asset Tranche funded by a Liquidity Funding,</w:t>
      </w:r>
    </w:p>
    <w:p>
      <w:pPr>
        <w:sectPr>
          <w:pgSz w:w="11900" w:h="16838" w:orient="portrait"/>
          <w:cols w:equalWidth="0" w:num="1">
            <w:col w:w="11380"/>
          </w:cols>
          <w:pgMar w:left="240" w:top="132" w:right="279" w:bottom="0" w:gutter="0" w:footer="0" w:header="0"/>
        </w:sectPr>
      </w:pPr>
    </w:p>
    <w:bookmarkStart w:id="100" w:name="page101"/>
    <w:bookmarkEnd w:id="100"/>
    <w:p>
      <w:pPr>
        <w:ind w:left="660" w:right="60" w:firstLine="645"/>
        <w:spacing w:after="0" w:line="294" w:lineRule="auto"/>
        <w:tabs>
          <w:tab w:leader="none" w:pos="176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period commencing on the date of the initial Purchase of the Asset Interest, the making of such Liquidity Funding, or the creation of such Asset Tranche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(whichever is latest) and ending (x) other than in the case of an Asset Tranche funded by the WFB Purchaser Group, such number of days thereafter as the Purchaser Agent of the Liquidity Bank making such Liquidity Funding shall select and (y) in the case of an Asset Tranche funded by the WFB Purchaser Group, on the last day of the same calendar month thereof (or, during any period during which Weekly Reports are required to be delivered, on the last day of the same calendar week thereof); and</w:t>
      </w:r>
    </w:p>
    <w:p>
      <w:pPr>
        <w:spacing w:after="0" w:line="149" w:lineRule="exact"/>
        <w:rPr>
          <w:rFonts w:ascii="Arial" w:cs="Arial" w:eastAsia="Arial" w:hAnsi="Arial"/>
          <w:sz w:val="19"/>
          <w:szCs w:val="19"/>
          <w:color w:val="auto"/>
        </w:rPr>
      </w:pPr>
    </w:p>
    <w:p>
      <w:pPr>
        <w:ind w:left="660" w:right="100" w:firstLine="645"/>
        <w:spacing w:after="0" w:line="292" w:lineRule="auto"/>
        <w:tabs>
          <w:tab w:leader="none" w:pos="177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thereafter, (x) other than in the case of an Asset Tranche funded by the WFB Purchaser Group, each period commencing on the last day of the immediately preceding Yield Period for the related Asset Tranche and ending such number of days thereafter as the Purchaser Agent of the Liquidity Bank making such Liquidity Funding shall select and (y) in the case of an Asset Tranche funded by the WFB Purchaser Group, a period of one month (or, during any period during which Weekly Reports are required to be delivered, a period of one week) commencing on the last day of the immediately preceding Yield Period for such Asset Tranche (which period shall correspond to a calendar month (or, during any period during which Weekly Reports are required to be delivered, a calendar week);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20" w:lineRule="exact"/>
        <w:rPr>
          <w:sz w:val="20"/>
          <w:szCs w:val="20"/>
          <w:color w:val="auto"/>
        </w:rPr>
      </w:pPr>
    </w:p>
    <w:p>
      <w:pPr>
        <w:ind w:left="660" w:firstLine="645"/>
        <w:spacing w:after="0" w:line="248" w:lineRule="auto"/>
        <w:tabs>
          <w:tab w:leader="none" w:pos="172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such Yield Period (other than a Yield Period consisting of one day) which would otherwise end on a day that is not a Business Day shall be extended to the next succeeding Business Day (unless the related Asset Tranche shall be accruing Earned Discount at a rate determined by reference to BTMU LIBO Rate (Reserved), in which case if such succeeding Business Day is in a different calendar month, such Yield Period shall instead be shortened to the next preceding Business Day);</w:t>
      </w:r>
    </w:p>
    <w:p>
      <w:pPr>
        <w:spacing w:after="0" w:line="192" w:lineRule="exact"/>
        <w:rPr>
          <w:rFonts w:ascii="Arial" w:cs="Arial" w:eastAsia="Arial" w:hAnsi="Arial"/>
          <w:sz w:val="22"/>
          <w:szCs w:val="22"/>
          <w:color w:val="auto"/>
        </w:rPr>
      </w:pPr>
    </w:p>
    <w:p>
      <w:pPr>
        <w:ind w:left="660" w:firstLine="645"/>
        <w:spacing w:after="0" w:line="248" w:lineRule="auto"/>
        <w:tabs>
          <w:tab w:leader="none" w:pos="178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in the case of Yield Periods of one day for any Asset Tranche, (A) the initial Yield Period shall be the date such Yield Period commences as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and (B) any subsequently occurring Yield Period which is one day shall, if the immediately preceding Yield Period is more than one day, be the last day of such immediately preceding Yield Period, and if the immediately preceding Yield Period is one day, shall be the next day following such immediately preceding Yield Period; and</w:t>
      </w:r>
    </w:p>
    <w:p>
      <w:pPr>
        <w:spacing w:after="0" w:line="192" w:lineRule="exact"/>
        <w:rPr>
          <w:rFonts w:ascii="Arial" w:cs="Arial" w:eastAsia="Arial" w:hAnsi="Arial"/>
          <w:sz w:val="22"/>
          <w:szCs w:val="22"/>
          <w:color w:val="auto"/>
        </w:rPr>
      </w:pPr>
    </w:p>
    <w:p>
      <w:pPr>
        <w:ind w:left="660" w:firstLine="645"/>
        <w:spacing w:after="0" w:line="265" w:lineRule="auto"/>
        <w:tabs>
          <w:tab w:leader="none" w:pos="184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in the case of any Yield Period for any Asset Tranche which commences before the Termination Date and would otherwise end on a date occurring after such Termination Date, such Yield Period shall end on such Termination Date and the duration of each such Yield Period which commences on or after the Termination Date for such Asset Tranche shall be of such duration as shall be selected by the applicable Purchaser Agent.</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Yield Reserve</w:t>
      </w:r>
      <w:r>
        <w:rPr>
          <w:rFonts w:ascii="Arial" w:cs="Arial" w:eastAsia="Arial" w:hAnsi="Arial"/>
          <w:sz w:val="22"/>
          <w:szCs w:val="22"/>
          <w:color w:val="auto"/>
        </w:rPr>
        <w:t>: On any date of determination, the product of (i) 1.5, (ii) the Base Rate and (iii) a fraction the numerator of which is the Twelve Month DSO and the denominator of which is 360.</w:t>
      </w:r>
    </w:p>
    <w:p>
      <w:pPr>
        <w:spacing w:after="0" w:line="175" w:lineRule="exact"/>
        <w:rPr>
          <w:sz w:val="20"/>
          <w:szCs w:val="20"/>
          <w:color w:val="auto"/>
        </w:rPr>
      </w:pPr>
    </w:p>
    <w:p>
      <w:pPr>
        <w:ind w:right="60" w:firstLine="656"/>
        <w:spacing w:after="0" w:line="253" w:lineRule="auto"/>
        <w:tabs>
          <w:tab w:leader="none" w:pos="116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Other Terms</w:t>
      </w:r>
      <w:r>
        <w:rPr>
          <w:rFonts w:ascii="Arial" w:cs="Arial" w:eastAsia="Arial" w:hAnsi="Arial"/>
          <w:sz w:val="22"/>
          <w:szCs w:val="22"/>
          <w:color w:val="auto"/>
        </w:rPr>
        <w:t>. All accounting terms not specifically defined herein shall be construed in accordance with GAAP. All terms used in Article 9 of the UCC in the State of New York, and not specifically defined herein, are used herein as defined in such Article 9.</w:t>
      </w:r>
    </w:p>
    <w:p>
      <w:pPr>
        <w:spacing w:after="0" w:line="185" w:lineRule="exact"/>
        <w:rPr>
          <w:rFonts w:ascii="Arial" w:cs="Arial" w:eastAsia="Arial" w:hAnsi="Arial"/>
          <w:sz w:val="22"/>
          <w:szCs w:val="22"/>
          <w:color w:val="auto"/>
        </w:rPr>
      </w:pPr>
    </w:p>
    <w:p>
      <w:pPr>
        <w:ind w:right="60" w:firstLine="656"/>
        <w:spacing w:after="0" w:line="253" w:lineRule="auto"/>
        <w:tabs>
          <w:tab w:leader="none" w:pos="115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6.1(n)</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LIST OF OFFICES OF MASTER SERVICER AND SELLER WHERE RECORDS ARE KEPT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Seller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LPAC Corp.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2140 Lake Park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Richardson, TX 75080-2254</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Master Servicer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Lennox Industries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2140 Lake Park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Richardson, TX 75080-2254</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400 Norris Glen Road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Etobicoke, ON Canada M9C 1H5</w:t>
      </w:r>
    </w:p>
    <w:p>
      <w:pPr>
        <w:sectPr>
          <w:pgSz w:w="11900" w:h="16838" w:orient="portrait"/>
          <w:cols w:equalWidth="0" w:num="1">
            <w:col w:w="11400"/>
          </w:cols>
          <w:pgMar w:left="240" w:top="213" w:right="259" w:bottom="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Originators</w:t>
      </w:r>
    </w:p>
    <w:p>
      <w:pPr>
        <w:sectPr>
          <w:pgSz w:w="11900" w:h="16838" w:orient="portrait"/>
          <w:cols w:equalWidth="0" w:num="1">
            <w:col w:w="11400"/>
          </w:cols>
          <w:pgMar w:left="240" w:top="213" w:right="259"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Lennox Industries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2140 Lake Park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Richardson, TX 75080-2254</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400 Norris Glen Road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Etobicoke, ON Canada M9C 1H5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Allied Air Enterprises LLC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2140 Lake Park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Richardson, TX 75080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215 Metropolitan Dr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West Columbia, SC 29170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Heatcraft Refrigeration Products LLC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2140 Lake Park Blvd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Richardson, TX 75080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2175 West Park Place Boulevard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Stone Mountain, GA 30014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6.1(o)</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LIST OF LOCKBOX BANKS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MAIN OFFICE ADDRESS, LOCKBOX &amp; ACCOUNT NUMBERS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42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color w:val="auto"/>
              </w:rPr>
              <w:t>Lockbox</w:t>
            </w:r>
          </w:p>
        </w:tc>
        <w:tc>
          <w:tcPr>
            <w:tcW w:w="292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4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Account</w:t>
            </w:r>
          </w:p>
        </w:tc>
        <w:tc>
          <w:tcPr>
            <w:tcW w:w="0" w:type="dxa"/>
            <w:vAlign w:val="bottom"/>
          </w:tcPr>
          <w:p>
            <w:pPr>
              <w:spacing w:after="0"/>
              <w:rPr>
                <w:sz w:val="1"/>
                <w:szCs w:val="1"/>
                <w:color w:val="auto"/>
              </w:rPr>
            </w:pPr>
          </w:p>
        </w:tc>
      </w:tr>
      <w:tr>
        <w:trPr>
          <w:trHeight w:val="206"/>
        </w:trPr>
        <w:tc>
          <w:tcPr>
            <w:tcW w:w="4260" w:type="dxa"/>
            <w:vAlign w:val="bottom"/>
            <w:tcBorders>
              <w:left w:val="single" w:sz="8" w:color="auto"/>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26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JPMorgan Chase Bank, N.A.</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JPMorgan Chase Bank, N.A.</w:t>
            </w: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P.O. Box 910549</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07300186205</w:t>
            </w:r>
          </w:p>
        </w:tc>
        <w:tc>
          <w:tcPr>
            <w:tcW w:w="0" w:type="dxa"/>
            <w:vAlign w:val="bottom"/>
          </w:tcPr>
          <w:p>
            <w:pPr>
              <w:spacing w:after="0"/>
              <w:rPr>
                <w:sz w:val="1"/>
                <w:szCs w:val="1"/>
                <w:color w:val="auto"/>
              </w:rPr>
            </w:pPr>
          </w:p>
        </w:tc>
      </w:tr>
      <w:tr>
        <w:trPr>
          <w:trHeight w:val="139"/>
        </w:trPr>
        <w:tc>
          <w:tcPr>
            <w:tcW w:w="4260" w:type="dxa"/>
            <w:vAlign w:val="bottom"/>
            <w:tcBorders>
              <w:lef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rPr>
              <w:t>Dallas, TX 75391-0549</w:t>
            </w: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60" w:type="dxa"/>
            <w:vAlign w:val="bottom"/>
            <w:tcBorders>
              <w:left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Lennox Industries Inc.</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42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26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JPMorgan Chase Bank, N.A.</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JPMorgan Chase Bank, N.A.</w:t>
            </w: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P.O. Box 731093</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0790487748</w:t>
            </w:r>
          </w:p>
        </w:tc>
        <w:tc>
          <w:tcPr>
            <w:tcW w:w="0" w:type="dxa"/>
            <w:vAlign w:val="bottom"/>
          </w:tcPr>
          <w:p>
            <w:pPr>
              <w:spacing w:after="0"/>
              <w:rPr>
                <w:sz w:val="1"/>
                <w:szCs w:val="1"/>
                <w:color w:val="auto"/>
              </w:rPr>
            </w:pPr>
          </w:p>
        </w:tc>
      </w:tr>
      <w:tr>
        <w:trPr>
          <w:trHeight w:val="139"/>
        </w:trPr>
        <w:tc>
          <w:tcPr>
            <w:tcW w:w="4260" w:type="dxa"/>
            <w:vAlign w:val="bottom"/>
            <w:tcBorders>
              <w:lef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rPr>
              <w:t>Dallas, TX 75391-0549</w:t>
            </w: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60" w:type="dxa"/>
            <w:vAlign w:val="bottom"/>
            <w:tcBorders>
              <w:left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Lennox Industries Inc.</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42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N/A</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JPMorgan Chase Bank, N.A.</w:t>
            </w:r>
          </w:p>
        </w:tc>
        <w:tc>
          <w:tcPr>
            <w:tcW w:w="0" w:type="dxa"/>
            <w:vAlign w:val="bottom"/>
          </w:tcPr>
          <w:p>
            <w:pPr>
              <w:spacing w:after="0"/>
              <w:rPr>
                <w:sz w:val="1"/>
                <w:szCs w:val="1"/>
                <w:color w:val="auto"/>
              </w:rPr>
            </w:pPr>
          </w:p>
        </w:tc>
      </w:tr>
      <w:tr>
        <w:trPr>
          <w:trHeight w:val="351"/>
        </w:trPr>
        <w:tc>
          <w:tcPr>
            <w:tcW w:w="4260" w:type="dxa"/>
            <w:vAlign w:val="bottom"/>
            <w:tcBorders>
              <w:left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08806319586</w:t>
            </w:r>
          </w:p>
        </w:tc>
        <w:tc>
          <w:tcPr>
            <w:tcW w:w="0" w:type="dxa"/>
            <w:vAlign w:val="bottom"/>
          </w:tcPr>
          <w:p>
            <w:pPr>
              <w:spacing w:after="0"/>
              <w:rPr>
                <w:sz w:val="1"/>
                <w:szCs w:val="1"/>
                <w:color w:val="auto"/>
              </w:rPr>
            </w:pPr>
          </w:p>
        </w:tc>
      </w:tr>
      <w:tr>
        <w:trPr>
          <w:trHeight w:val="125"/>
        </w:trPr>
        <w:tc>
          <w:tcPr>
            <w:tcW w:w="4260" w:type="dxa"/>
            <w:vAlign w:val="bottom"/>
            <w:tcBorders>
              <w:left w:val="single" w:sz="8" w:color="auto"/>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26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JPMorgan Chase Bank, N.A.</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JPMorgan Chase Bank, N.A.</w:t>
            </w: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Lockbox 22325</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1123223</w:t>
            </w:r>
          </w:p>
        </w:tc>
        <w:tc>
          <w:tcPr>
            <w:tcW w:w="0" w:type="dxa"/>
            <w:vAlign w:val="bottom"/>
          </w:tcPr>
          <w:p>
            <w:pPr>
              <w:spacing w:after="0"/>
              <w:rPr>
                <w:sz w:val="1"/>
                <w:szCs w:val="1"/>
                <w:color w:val="auto"/>
              </w:rPr>
            </w:pPr>
          </w:p>
        </w:tc>
      </w:tr>
      <w:tr>
        <w:trPr>
          <w:trHeight w:val="139"/>
        </w:trPr>
        <w:tc>
          <w:tcPr>
            <w:tcW w:w="4260" w:type="dxa"/>
            <w:vAlign w:val="bottom"/>
            <w:tcBorders>
              <w:lef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rPr>
              <w:t>22352 Network Place</w:t>
            </w: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60" w:type="dxa"/>
            <w:vAlign w:val="bottom"/>
            <w:tcBorders>
              <w:left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Chicago, IL 60603</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Allied Air Enterprises</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42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26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Wells Fargo, N.A.</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Wells Fargo, N.A.</w:t>
            </w: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Lockbox 209026</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2000039509761</w:t>
            </w:r>
          </w:p>
        </w:tc>
        <w:tc>
          <w:tcPr>
            <w:tcW w:w="0" w:type="dxa"/>
            <w:vAlign w:val="bottom"/>
          </w:tcPr>
          <w:p>
            <w:pPr>
              <w:spacing w:after="0"/>
              <w:rPr>
                <w:sz w:val="1"/>
                <w:szCs w:val="1"/>
                <w:color w:val="auto"/>
              </w:rPr>
            </w:pPr>
          </w:p>
        </w:tc>
      </w:tr>
      <w:tr>
        <w:trPr>
          <w:trHeight w:val="139"/>
        </w:trPr>
        <w:tc>
          <w:tcPr>
            <w:tcW w:w="4260" w:type="dxa"/>
            <w:vAlign w:val="bottom"/>
            <w:tcBorders>
              <w:lef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rPr>
              <w:t>2975 Regent Blvd Irving, TX 75063</w:t>
            </w: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60" w:type="dxa"/>
            <w:vAlign w:val="bottom"/>
            <w:tcBorders>
              <w:left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Heatcraft Refrigeration Products LLC</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60" w:type="dxa"/>
            <w:vAlign w:val="bottom"/>
            <w:tcBorders>
              <w:left w:val="single" w:sz="8" w:color="auto"/>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4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6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rPr>
              <w:t>Amegy Bank</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Amegy Bank</w:t>
            </w:r>
          </w:p>
        </w:tc>
        <w:tc>
          <w:tcPr>
            <w:tcW w:w="0" w:type="dxa"/>
            <w:vAlign w:val="bottom"/>
          </w:tcPr>
          <w:p>
            <w:pPr>
              <w:spacing w:after="0"/>
              <w:rPr>
                <w:sz w:val="1"/>
                <w:szCs w:val="1"/>
                <w:color w:val="auto"/>
              </w:rPr>
            </w:pPr>
          </w:p>
        </w:tc>
      </w:tr>
      <w:tr>
        <w:trPr>
          <w:trHeight w:val="243"/>
        </w:trPr>
        <w:tc>
          <w:tcPr>
            <w:tcW w:w="4260" w:type="dxa"/>
            <w:vAlign w:val="bottom"/>
            <w:tcBorders>
              <w:left w:val="single" w:sz="8" w:color="auto"/>
            </w:tcBorders>
          </w:tcPr>
          <w:p>
            <w:pPr>
              <w:ind w:left="40"/>
              <w:spacing w:after="0" w:line="243" w:lineRule="exact"/>
              <w:rPr>
                <w:sz w:val="20"/>
                <w:szCs w:val="20"/>
                <w:color w:val="auto"/>
              </w:rPr>
            </w:pPr>
            <w:r>
              <w:rPr>
                <w:rFonts w:ascii="Arial" w:cs="Arial" w:eastAsia="Arial" w:hAnsi="Arial"/>
                <w:sz w:val="22"/>
                <w:szCs w:val="22"/>
                <w:color w:val="auto"/>
              </w:rPr>
              <w:t>Dept: 895, Lockbox 4346</w:t>
            </w:r>
          </w:p>
        </w:tc>
        <w:tc>
          <w:tcPr>
            <w:tcW w:w="29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3349055</w:t>
            </w:r>
          </w:p>
        </w:tc>
        <w:tc>
          <w:tcPr>
            <w:tcW w:w="0" w:type="dxa"/>
            <w:vAlign w:val="bottom"/>
          </w:tcPr>
          <w:p>
            <w:pPr>
              <w:spacing w:after="0"/>
              <w:rPr>
                <w:sz w:val="1"/>
                <w:szCs w:val="1"/>
                <w:color w:val="auto"/>
              </w:rPr>
            </w:pPr>
          </w:p>
        </w:tc>
      </w:tr>
      <w:tr>
        <w:trPr>
          <w:trHeight w:val="139"/>
        </w:trPr>
        <w:tc>
          <w:tcPr>
            <w:tcW w:w="4260" w:type="dxa"/>
            <w:vAlign w:val="bottom"/>
            <w:tcBorders>
              <w:lef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rPr>
              <w:t>Houston, TX 77210-4346</w:t>
            </w: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60" w:type="dxa"/>
            <w:vAlign w:val="bottom"/>
            <w:tcBorders>
              <w:left w:val="single" w:sz="8" w:color="auto"/>
            </w:tcBorders>
            <w:vMerge w:val="continue"/>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Heatcraft Refrigeration Products LLC</w:t>
            </w:r>
          </w:p>
        </w:tc>
        <w:tc>
          <w:tcPr>
            <w:tcW w:w="29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42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3"/>
        </w:trPr>
        <w:tc>
          <w:tcPr>
            <w:tcW w:w="4260" w:type="dxa"/>
            <w:vAlign w:val="bottom"/>
          </w:tcPr>
          <w:p>
            <w:pPr>
              <w:spacing w:after="0"/>
              <w:rPr>
                <w:sz w:val="24"/>
                <w:szCs w:val="24"/>
                <w:color w:val="auto"/>
              </w:rPr>
            </w:pPr>
          </w:p>
        </w:tc>
        <w:tc>
          <w:tcPr>
            <w:tcW w:w="7100" w:type="dxa"/>
            <w:vAlign w:val="bottom"/>
            <w:gridSpan w:val="3"/>
          </w:tcPr>
          <w:p>
            <w:pPr>
              <w:jc w:val="center"/>
              <w:ind w:right="4132"/>
              <w:spacing w:after="0"/>
              <w:rPr>
                <w:sz w:val="20"/>
                <w:szCs w:val="20"/>
                <w:color w:val="auto"/>
              </w:rPr>
            </w:pPr>
            <w:r>
              <w:rPr>
                <w:rFonts w:ascii="Arial" w:cs="Arial" w:eastAsia="Arial" w:hAnsi="Arial"/>
                <w:sz w:val="22"/>
                <w:szCs w:val="22"/>
                <w:color w:val="auto"/>
                <w:w w:val="92"/>
              </w:rPr>
              <w:t>SCHEDULE 6.1(u)</w:t>
            </w:r>
          </w:p>
        </w:tc>
        <w:tc>
          <w:tcPr>
            <w:tcW w:w="0" w:type="dxa"/>
            <w:vAlign w:val="bottom"/>
          </w:tcPr>
          <w:p>
            <w:pPr>
              <w:spacing w:after="0"/>
              <w:rPr>
                <w:sz w:val="1"/>
                <w:szCs w:val="1"/>
                <w:color w:val="auto"/>
              </w:rPr>
            </w:pPr>
          </w:p>
        </w:tc>
      </w:tr>
      <w:tr>
        <w:trPr>
          <w:trHeight w:val="476"/>
        </w:trPr>
        <w:tc>
          <w:tcPr>
            <w:tcW w:w="426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CAPITALIZATION OF SELLER</w:t>
            </w:r>
          </w:p>
        </w:tc>
        <w:tc>
          <w:tcPr>
            <w:tcW w:w="4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6" w:right="299" w:bottom="0" w:gutter="0" w:footer="0" w:header="0"/>
        </w:sectPr>
      </w:pPr>
    </w:p>
    <w:bookmarkStart w:id="102" w:name="page103"/>
    <w:bookmarkEnd w:id="102"/>
    <w:p>
      <w:pPr>
        <w:spacing w:after="0"/>
        <w:rPr>
          <w:sz w:val="20"/>
          <w:szCs w:val="20"/>
          <w:color w:val="auto"/>
        </w:rPr>
      </w:pPr>
      <w:r>
        <w:rPr>
          <w:rFonts w:ascii="Arial" w:cs="Arial" w:eastAsia="Arial" w:hAnsi="Arial"/>
          <w:sz w:val="22"/>
          <w:szCs w:val="22"/>
          <w:u w:val="single" w:color="auto"/>
          <w:color w:val="auto"/>
        </w:rPr>
        <w:t>Common Stock</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authorized common stock of Seller is one hundred (100) shares of $.01 par value per share of which one hundred (100) shares are issued and outstanding and held as follows: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Heatcraft Technologies Inc. - 80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Lennox Industries Inc. - 10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Heatcraft Inc. - 5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Allied Air Enterprises LLC - 5 shares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Preferred Stock</w:t>
      </w:r>
    </w:p>
    <w:p>
      <w:pPr>
        <w:spacing w:after="0" w:line="260"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color w:val="auto"/>
        </w:rPr>
        <w:t>The authorized preferred stock of the Seller is up to one million (1,000,000) shares of preferred stock, par value $.01 per share, of which 28,191 shares with a liquidation value of $1,000 per share are outstanding, all of which are owned by Lennox.</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Seller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14.2</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Seller: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LPAC Corp.</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2140 Lake Park Blvd.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Richardson, TX 75080-2254</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Treasury Department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Rick Pelini, President and Treasurer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Phone No.: 972-497-5410</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No.: 972-497-6940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Master Servicer: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Lennox Industries Inc.</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2140 Lake Park Blvd.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Richardson, TX 75080-2254</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Attention: Treasury Department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Rick Pelini, Vice President and Treasurer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Phone No.: 972-497-5410</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No.: 972-497-6940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Copies to</w:t>
      </w:r>
      <w:r>
        <w:rPr>
          <w:rFonts w:ascii="Arial" w:cs="Arial" w:eastAsia="Arial" w:hAnsi="Arial"/>
          <w:sz w:val="22"/>
          <w:szCs w:val="22"/>
          <w:color w:val="auto"/>
        </w:rPr>
        <w:t>:</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John Torres, General Counsel</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Lennox International Inc.</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2140 Lake Park Blvd.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Richardson, TX 75080-2254</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Facsimile No.: 972-497-5268</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Administrative Agent, BTMU Purchaser Agent and BTMU Liquidity Bank:</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Securitization Group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1221 Avenue of the Americas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10020-1001</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 Greg Hurst</w:t>
      </w:r>
    </w:p>
    <w:p>
      <w:pPr>
        <w:sectPr>
          <w:pgSz w:w="11900" w:h="16838" w:orient="portrait"/>
          <w:cols w:equalWidth="0" w:num="1">
            <w:col w:w="11280"/>
          </w:cols>
          <w:pgMar w:left="240" w:top="388" w:right="379" w:bottom="0" w:gutter="0" w:footer="0" w:header="0"/>
        </w:sectPr>
      </w:pPr>
    </w:p>
    <w:bookmarkStart w:id="103" w:name="page104"/>
    <w:bookmarkEnd w:id="103"/>
    <w:p>
      <w:pPr>
        <w:ind w:left="1960"/>
        <w:spacing w:after="0"/>
        <w:rPr>
          <w:sz w:val="20"/>
          <w:szCs w:val="20"/>
          <w:color w:val="auto"/>
        </w:rPr>
      </w:pPr>
      <w:r>
        <w:rPr>
          <w:rFonts w:ascii="Arial" w:cs="Arial" w:eastAsia="Arial" w:hAnsi="Arial"/>
          <w:sz w:val="22"/>
          <w:szCs w:val="22"/>
          <w:color w:val="auto"/>
        </w:rPr>
        <w:t>Fax: 212-405-6655</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rhurst@us.mufg.jp</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BTMU Purchaser:</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Securitization Group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1221 Avenue of the Americas, 6th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10020-1104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Aditya Reddy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212-782-6957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212-782-6448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areddy@us.mufg.jp</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Copies to</w:t>
      </w:r>
      <w:r>
        <w:rPr>
          <w:rFonts w:ascii="Arial" w:cs="Arial" w:eastAsia="Arial" w:hAnsi="Arial"/>
          <w:sz w:val="22"/>
          <w:szCs w:val="22"/>
          <w:color w:val="auto"/>
        </w:rPr>
        <w:t>:</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Arnold &amp; Porter Kaye Scholer LLP</w:t>
      </w:r>
    </w:p>
    <w:p>
      <w:pPr>
        <w:ind w:left="1960"/>
        <w:spacing w:after="0" w:line="217" w:lineRule="auto"/>
        <w:rPr>
          <w:sz w:val="20"/>
          <w:szCs w:val="20"/>
          <w:color w:val="auto"/>
        </w:rPr>
      </w:pPr>
      <w:r>
        <w:rPr>
          <w:rFonts w:ascii="Arial" w:cs="Arial" w:eastAsia="Arial" w:hAnsi="Arial"/>
          <w:sz w:val="22"/>
          <w:szCs w:val="22"/>
          <w:color w:val="auto"/>
        </w:rPr>
        <w:t>250 West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Jonathan Arkins, Esq.</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(212) 836-7403</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jonathan.arkins@apks.com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WFB Purchaser Agent:</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Isaac Washington</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770-508-2166</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Isaac.Washington@wellsfargo.com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Tim Brazeau</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Collateral Analyst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Timothy.S.Brazeau@wellsfargo.com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Stephanie Wilkerson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Collateral Analyst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Stephanie.Wilkerson@wellsfargo.com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Group Email: WFCFReceivablesSecuritizationAtlanta@wellsfargo.com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WFB Liquidity Bank:</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Isaac Washington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770-508-2166</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Isaac.Washington@wellsfargo.com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Tim Brazeau</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Collateral Analyst Manager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Timothy.S.Brazeau@wellsfargo.com</w:t>
      </w:r>
    </w:p>
    <w:p>
      <w:pPr>
        <w:sectPr>
          <w:pgSz w:w="11900" w:h="16838" w:orient="portrait"/>
          <w:cols w:equalWidth="0" w:num="1">
            <w:col w:w="10219"/>
          </w:cols>
          <w:pgMar w:left="240" w:top="131" w:right="1440" w:bottom="0" w:gutter="0" w:footer="0" w:header="0"/>
        </w:sectPr>
      </w:pPr>
    </w:p>
    <w:bookmarkStart w:id="104" w:name="page105"/>
    <w:bookmarkEnd w:id="104"/>
    <w:p>
      <w:pPr>
        <w:ind w:left="660"/>
        <w:spacing w:after="0"/>
        <w:rPr>
          <w:sz w:val="20"/>
          <w:szCs w:val="20"/>
          <w:color w:val="auto"/>
        </w:rPr>
      </w:pPr>
      <w:r>
        <w:rPr>
          <w:rFonts w:ascii="Arial" w:cs="Arial" w:eastAsia="Arial" w:hAnsi="Arial"/>
          <w:sz w:val="22"/>
          <w:szCs w:val="22"/>
          <w:color w:val="auto"/>
        </w:rPr>
        <w:t>Stephanie Wilkerson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Collateral Analyst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Phone: 770-508-2163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Stephanie.Wilkerson@wellsfargo.com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Group Email: WFCFReceivablesSecuritizationAtlanta@wellsfargo.com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EXHIBIT 1.2(a)</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FORM OF PURCHASE REQUEST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1251 Avenue of the Americas, 12th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10020-1104</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Isaac Washington,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Tim Brazeau, Collateral Analyst Manager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Stephanie Wilkerson, Collateral Analyst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1100 Abernathy Road, NE 16th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Atlanta, GA 30328-5657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Group Email: WFCFReceivablesSecuritizationAtlanta@wellsfargo.com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made to the Amended and Restated Receivables Purchase Agreement dated as of November 18, 2011 (as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amended, restated, supplemented or otherwise modified from time to time, the “</w:t>
      </w:r>
      <w:r>
        <w:rPr>
          <w:rFonts w:ascii="Arial" w:cs="Arial" w:eastAsia="Arial" w:hAnsi="Arial"/>
          <w:sz w:val="19"/>
          <w:szCs w:val="19"/>
          <w:i w:val="1"/>
          <w:iCs w:val="1"/>
          <w:u w:val="single" w:color="auto"/>
          <w:color w:val="auto"/>
        </w:rPr>
        <w:t>Purchase Agreement</w:t>
      </w:r>
      <w:r>
        <w:rPr>
          <w:rFonts w:ascii="Arial" w:cs="Arial" w:eastAsia="Arial" w:hAnsi="Arial"/>
          <w:sz w:val="19"/>
          <w:szCs w:val="19"/>
          <w:color w:val="auto"/>
        </w:rPr>
        <w:t>”) among LPAC Corp., as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Seller, Lennox Industries Inc., as the Master Servicer (and together with Seller, collectively referred to as the “</w:t>
      </w:r>
      <w:r>
        <w:rPr>
          <w:rFonts w:ascii="Arial" w:cs="Arial" w:eastAsia="Arial" w:hAnsi="Arial"/>
          <w:sz w:val="19"/>
          <w:szCs w:val="19"/>
          <w:i w:val="1"/>
          <w:iCs w:val="1"/>
          <w:u w:val="single" w:color="auto"/>
          <w:color w:val="auto"/>
        </w:rPr>
        <w:t>Seller Parties</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Victory Receivables Corporation, as a purchaser (the “</w:t>
      </w:r>
      <w:r>
        <w:rPr>
          <w:rFonts w:ascii="Arial" w:cs="Arial" w:eastAsia="Arial" w:hAnsi="Arial"/>
          <w:sz w:val="21"/>
          <w:szCs w:val="21"/>
          <w:i w:val="1"/>
          <w:iCs w:val="1"/>
          <w:u w:val="single" w:color="auto"/>
          <w:color w:val="auto"/>
        </w:rPr>
        <w:t>BTMU Purchaser</w:t>
      </w:r>
      <w:r>
        <w:rPr>
          <w:rFonts w:ascii="Arial" w:cs="Arial" w:eastAsia="Arial" w:hAnsi="Arial"/>
          <w:sz w:val="21"/>
          <w:szCs w:val="21"/>
          <w:color w:val="auto"/>
        </w:rPr>
        <w:t>”), The Bank of Tokyo-Mitsubishi UFJ, Ltd., as</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 (the “</w:t>
      </w:r>
      <w:r>
        <w:rPr>
          <w:rFonts w:ascii="Arial" w:cs="Arial" w:eastAsia="Arial" w:hAnsi="Arial"/>
          <w:sz w:val="21"/>
          <w:szCs w:val="21"/>
          <w:i w:val="1"/>
          <w:iCs w:val="1"/>
          <w:u w:val="single" w:color="auto"/>
          <w:color w:val="auto"/>
        </w:rPr>
        <w:t>Administrative Agent</w:t>
      </w:r>
      <w:r>
        <w:rPr>
          <w:rFonts w:ascii="Arial" w:cs="Arial" w:eastAsia="Arial" w:hAnsi="Arial"/>
          <w:sz w:val="21"/>
          <w:szCs w:val="21"/>
          <w:color w:val="auto"/>
        </w:rPr>
        <w:t>”), BTMU Purchaser Agent (“</w:t>
      </w:r>
      <w:r>
        <w:rPr>
          <w:rFonts w:ascii="Arial" w:cs="Arial" w:eastAsia="Arial" w:hAnsi="Arial"/>
          <w:sz w:val="21"/>
          <w:szCs w:val="21"/>
          <w:i w:val="1"/>
          <w:iCs w:val="1"/>
          <w:u w:val="single" w:color="auto"/>
          <w:color w:val="auto"/>
        </w:rPr>
        <w:t>BTMU Purchaser Agent</w:t>
      </w:r>
      <w:r>
        <w:rPr>
          <w:rFonts w:ascii="Arial" w:cs="Arial" w:eastAsia="Arial" w:hAnsi="Arial"/>
          <w:sz w:val="21"/>
          <w:szCs w:val="21"/>
          <w:color w:val="auto"/>
        </w:rPr>
        <w:t>”) and a liquidity bank</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BTMU Liquidity Bank</w:t>
      </w:r>
      <w:r>
        <w:rPr>
          <w:rFonts w:ascii="Arial" w:cs="Arial" w:eastAsia="Arial" w:hAnsi="Arial"/>
          <w:sz w:val="19"/>
          <w:szCs w:val="19"/>
          <w:color w:val="auto"/>
        </w:rPr>
        <w:t>”) and Wells Fargo Bank, National Association, as WFB Purchaser Agent (“</w:t>
      </w:r>
      <w:r>
        <w:rPr>
          <w:rFonts w:ascii="Arial" w:cs="Arial" w:eastAsia="Arial" w:hAnsi="Arial"/>
          <w:sz w:val="19"/>
          <w:szCs w:val="19"/>
          <w:i w:val="1"/>
          <w:iCs w:val="1"/>
          <w:u w:val="single" w:color="auto"/>
          <w:color w:val="auto"/>
        </w:rPr>
        <w:t>WFB Purchaser Agent</w:t>
      </w:r>
      <w:r>
        <w:rPr>
          <w:rFonts w:ascii="Arial" w:cs="Arial" w:eastAsia="Arial" w:hAnsi="Arial"/>
          <w:sz w:val="19"/>
          <w:szCs w:val="19"/>
          <w:color w:val="auto"/>
        </w:rPr>
        <w:t>”) and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liquidity Bank (“</w:t>
      </w:r>
      <w:r>
        <w:rPr>
          <w:rFonts w:ascii="Arial" w:cs="Arial" w:eastAsia="Arial" w:hAnsi="Arial"/>
          <w:sz w:val="19"/>
          <w:szCs w:val="19"/>
          <w:i w:val="1"/>
          <w:iCs w:val="1"/>
          <w:u w:val="single" w:color="auto"/>
          <w:color w:val="auto"/>
        </w:rPr>
        <w:t>WFB Liquidity Bank</w:t>
      </w:r>
      <w:r>
        <w:rPr>
          <w:rFonts w:ascii="Arial" w:cs="Arial" w:eastAsia="Arial" w:hAnsi="Arial"/>
          <w:sz w:val="19"/>
          <w:szCs w:val="19"/>
          <w:color w:val="auto"/>
        </w:rPr>
        <w:t>”). Capitalized terms defined in the Purchase Agreement are used herein with the same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202" w:lineRule="exact"/>
        <w:rPr>
          <w:sz w:val="20"/>
          <w:szCs w:val="20"/>
          <w:color w:val="auto"/>
        </w:rPr>
      </w:pPr>
    </w:p>
    <w:p>
      <w:pPr>
        <w:ind w:right="20" w:firstLine="656"/>
        <w:spacing w:after="0" w:line="263" w:lineRule="auto"/>
        <w:tabs>
          <w:tab w:leader="none" w:pos="102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of the Seller Parties hereby certifies, represents and warrants to the Investors and the Agents that on and as of the Purchase Date (as hereinafter defined):</w:t>
      </w:r>
    </w:p>
    <w:p>
      <w:pPr>
        <w:spacing w:after="0" w:line="175" w:lineRule="exact"/>
        <w:rPr>
          <w:sz w:val="20"/>
          <w:szCs w:val="20"/>
          <w:color w:val="auto"/>
        </w:rPr>
      </w:pPr>
    </w:p>
    <w:p>
      <w:pPr>
        <w:ind w:left="1120" w:hanging="464"/>
        <w:spacing w:after="0"/>
        <w:tabs>
          <w:tab w:leader="none" w:pos="11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all applicable conditions precedent set forth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the Purchase Agreement have been satisfied;</w:t>
      </w:r>
    </w:p>
    <w:p>
      <w:pPr>
        <w:spacing w:after="0" w:line="219" w:lineRule="exact"/>
        <w:rPr>
          <w:rFonts w:ascii="Arial" w:cs="Arial" w:eastAsia="Arial" w:hAnsi="Arial"/>
          <w:sz w:val="22"/>
          <w:szCs w:val="22"/>
          <w:color w:val="auto"/>
        </w:rPr>
      </w:pPr>
    </w:p>
    <w:p>
      <w:pPr>
        <w:ind w:right="120" w:firstLine="656"/>
        <w:spacing w:after="0" w:line="263" w:lineRule="auto"/>
        <w:tabs>
          <w:tab w:leader="none" w:pos="111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each of its respective representations and warranties contained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of the Purchase Agreement will be true and correct, in all material respects, as if made on and as of the Purchase Date;</w:t>
      </w:r>
    </w:p>
    <w:p>
      <w:pPr>
        <w:spacing w:after="0" w:line="174" w:lineRule="exact"/>
        <w:rPr>
          <w:rFonts w:ascii="Arial" w:cs="Arial" w:eastAsia="Arial" w:hAnsi="Arial"/>
          <w:sz w:val="22"/>
          <w:szCs w:val="22"/>
          <w:color w:val="auto"/>
        </w:rPr>
      </w:pPr>
    </w:p>
    <w:p>
      <w:pPr>
        <w:ind w:right="780" w:firstLine="656"/>
        <w:spacing w:after="0" w:line="263" w:lineRule="auto"/>
        <w:tabs>
          <w:tab w:leader="none" w:pos="110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 event will have occurred and is continuing, or would result from the requested Purchase, that constitutes a Liquidation Event or Unmatured Liquidation Event;</w:t>
      </w:r>
    </w:p>
    <w:p>
      <w:pPr>
        <w:spacing w:after="0" w:line="174" w:lineRule="exact"/>
        <w:rPr>
          <w:rFonts w:ascii="Arial" w:cs="Arial" w:eastAsia="Arial" w:hAnsi="Arial"/>
          <w:sz w:val="22"/>
          <w:szCs w:val="22"/>
          <w:color w:val="auto"/>
        </w:rPr>
      </w:pPr>
    </w:p>
    <w:p>
      <w:pPr>
        <w:ind w:right="20" w:firstLine="656"/>
        <w:spacing w:after="0" w:line="271" w:lineRule="auto"/>
        <w:tabs>
          <w:tab w:leader="none" w:pos="111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after giving effect to the requested Purchase, the Invested Amount will not exceed the available Purchase Limit in effect at such time, no Purchaser Group’s Purchaser Group Invested Amount will exceed such Purchaser Group’s Purchaser Group Limit in effect at such time and the Asset Interest will not exceed the Allocation Limit; and</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Termination Date shall not have occurred.</w:t>
      </w:r>
    </w:p>
    <w:p>
      <w:pPr>
        <w:spacing w:after="0" w:line="220" w:lineRule="exact"/>
        <w:rPr>
          <w:sz w:val="20"/>
          <w:szCs w:val="20"/>
          <w:color w:val="auto"/>
        </w:rPr>
      </w:pPr>
    </w:p>
    <w:p>
      <w:pPr>
        <w:ind w:right="180" w:firstLine="656"/>
        <w:spacing w:after="0" w:line="263" w:lineRule="auto"/>
        <w:tabs>
          <w:tab w:leader="none" w:pos="102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undersigned, as Seller hereby requests that a Purchase be made on ___________, 20__ (the “</w:t>
      </w:r>
      <w:r>
        <w:rPr>
          <w:rFonts w:ascii="Arial" w:cs="Arial" w:eastAsia="Arial" w:hAnsi="Arial"/>
          <w:sz w:val="22"/>
          <w:szCs w:val="22"/>
          <w:i w:val="1"/>
          <w:iCs w:val="1"/>
          <w:u w:val="single" w:color="auto"/>
          <w:color w:val="auto"/>
        </w:rPr>
        <w:t>Purchase Date</w:t>
      </w:r>
      <w:r>
        <w:rPr>
          <w:rFonts w:ascii="Arial" w:cs="Arial" w:eastAsia="Arial" w:hAnsi="Arial"/>
          <w:sz w:val="22"/>
          <w:szCs w:val="22"/>
          <w:color w:val="auto"/>
        </w:rPr>
        <w:t>”) in the amount of $_____________.</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Please disburse the proceeds of the Purchase as follows: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[Apply $________ to payment of Invested Amount due on the Purchase Date].</w:t>
      </w:r>
    </w:p>
    <w:p>
      <w:pPr>
        <w:sectPr>
          <w:pgSz w:w="11900" w:h="16838" w:orient="portrait"/>
          <w:cols w:equalWidth="0" w:num="1">
            <w:col w:w="11320"/>
          </w:cols>
          <w:pgMar w:left="240" w:top="388" w:right="339" w:bottom="148" w:gutter="0" w:footer="0" w:header="0"/>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[Wire transfer $________ to account no. ________ at ___________ Bank, in [city, state], ABA No. __________, Reference: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IN WITNESS WHEREOF, the Seller and the Master Servicer have caused this Purchase Request to be executed and delivered as of this ____ day of ___________, _____.</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LPAC CORP.,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Seller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-29210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-20320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Lennox Industries Inc., as Master Servicer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-29210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-20320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3.1(a)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INFORMATION PACKAGE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3.1(a)-2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WEEKLY REPORT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A-1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LOCKBOX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B</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[NAME OF COMPANY]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CERTIFICATE OF FINANCIAL OFFICER</w:t>
      </w:r>
    </w:p>
    <w:p>
      <w:pPr>
        <w:spacing w:after="0" w:line="220"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This Certificate is made pursuant to the provisions of the Amended and Restated Receivables Purchase Agreement dated as of November 18, 2011 (as amended, restated, supplemented or otherwise modified from time to time, the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among LPAC Corp., as the Seller (the “</w:t>
      </w:r>
      <w:r>
        <w:rPr>
          <w:rFonts w:ascii="Arial" w:cs="Arial" w:eastAsia="Arial" w:hAnsi="Arial"/>
          <w:sz w:val="19"/>
          <w:szCs w:val="19"/>
          <w:i w:val="1"/>
          <w:iCs w:val="1"/>
          <w:u w:val="single" w:color="auto"/>
          <w:color w:val="auto"/>
        </w:rPr>
        <w:t>Company</w:t>
      </w:r>
      <w:r>
        <w:rPr>
          <w:rFonts w:ascii="Arial" w:cs="Arial" w:eastAsia="Arial" w:hAnsi="Arial"/>
          <w:sz w:val="19"/>
          <w:szCs w:val="19"/>
          <w:color w:val="auto"/>
        </w:rPr>
        <w:t>”), Lennox Industries Inc., as the Master Servicer, Victory Receivables Corporation, as a purchaser, The Bank of Tokyo-Mitsubishi UFJ, Ltd., as administrative agent, BTMU Purchaser Agent and a liquidity bank, and</w:t>
      </w:r>
    </w:p>
    <w:p>
      <w:pPr>
        <w:sectPr>
          <w:pgSz w:w="11900" w:h="16838" w:orient="portrait"/>
          <w:cols w:equalWidth="0" w:num="1">
            <w:col w:w="11420"/>
          </w:cols>
          <w:pgMar w:left="240" w:top="126" w:right="239" w:bottom="0" w:gutter="0" w:footer="0" w:header="0"/>
        </w:sectPr>
      </w:pPr>
    </w:p>
    <w:bookmarkStart w:id="106" w:name="page107"/>
    <w:bookmarkEnd w:id="106"/>
    <w:p>
      <w:pPr>
        <w:ind w:right="720"/>
        <w:spacing w:after="0" w:line="263" w:lineRule="auto"/>
        <w:rPr>
          <w:sz w:val="20"/>
          <w:szCs w:val="20"/>
          <w:color w:val="auto"/>
        </w:rPr>
      </w:pPr>
      <w:r>
        <w:rPr>
          <w:rFonts w:ascii="Arial" w:cs="Arial" w:eastAsia="Arial" w:hAnsi="Arial"/>
          <w:sz w:val="22"/>
          <w:szCs w:val="22"/>
          <w:color w:val="auto"/>
        </w:rPr>
        <w:t>Wells Fargo Bank, National Association, as WFB Purchaser Agent and a liquidity bank. The capitalized terms used, but not defined, herein have the meanings assigned to them in the Agreement.</w:t>
      </w:r>
    </w:p>
    <w:p>
      <w:pPr>
        <w:spacing w:after="0" w:line="169" w:lineRule="exact"/>
        <w:rPr>
          <w:sz w:val="20"/>
          <w:szCs w:val="20"/>
          <w:color w:val="auto"/>
        </w:rPr>
      </w:pPr>
    </w:p>
    <w:p>
      <w:pPr>
        <w:ind w:right="220" w:firstLine="648"/>
        <w:spacing w:after="0" w:line="252" w:lineRule="auto"/>
        <w:rPr>
          <w:sz w:val="20"/>
          <w:szCs w:val="20"/>
          <w:color w:val="auto"/>
        </w:rPr>
      </w:pPr>
      <w:r>
        <w:rPr>
          <w:rFonts w:ascii="Arial" w:cs="Arial" w:eastAsia="Arial" w:hAnsi="Arial"/>
          <w:sz w:val="22"/>
          <w:szCs w:val="22"/>
          <w:color w:val="auto"/>
        </w:rPr>
        <w:t xml:space="preserve">The undersigned </w:t>
      </w:r>
      <w:r>
        <w:rPr>
          <w:rFonts w:ascii="Arial" w:cs="Arial" w:eastAsia="Arial" w:hAnsi="Arial"/>
          <w:sz w:val="22"/>
          <w:szCs w:val="22"/>
          <w:b w:val="1"/>
          <w:bCs w:val="1"/>
          <w:color w:val="auto"/>
        </w:rPr>
        <w:t>[Chief Financial Officer/Treasurer]</w:t>
      </w:r>
      <w:r>
        <w:rPr>
          <w:rFonts w:ascii="Arial" w:cs="Arial" w:eastAsia="Arial" w:hAnsi="Arial"/>
          <w:sz w:val="22"/>
          <w:szCs w:val="22"/>
          <w:color w:val="auto"/>
        </w:rPr>
        <w:t xml:space="preserve"> of </w:t>
      </w:r>
      <w:r>
        <w:rPr>
          <w:rFonts w:ascii="Arial" w:cs="Arial" w:eastAsia="Arial" w:hAnsi="Arial"/>
          <w:sz w:val="22"/>
          <w:szCs w:val="22"/>
          <w:b w:val="1"/>
          <w:bCs w:val="1"/>
          <w:color w:val="auto"/>
        </w:rPr>
        <w:t>[Name of Company]</w:t>
      </w:r>
      <w:r>
        <w:rPr>
          <w:rFonts w:ascii="Arial" w:cs="Arial" w:eastAsia="Arial" w:hAnsi="Arial"/>
          <w:sz w:val="22"/>
          <w:szCs w:val="22"/>
          <w:color w:val="auto"/>
        </w:rPr>
        <w:t xml:space="preserve"> (the “</w:t>
      </w:r>
      <w:r>
        <w:rPr>
          <w:rFonts w:ascii="Arial" w:cs="Arial" w:eastAsia="Arial" w:hAnsi="Arial"/>
          <w:sz w:val="22"/>
          <w:szCs w:val="22"/>
          <w:i w:val="1"/>
          <w:iCs w:val="1"/>
          <w:u w:val="single" w:color="auto"/>
          <w:color w:val="auto"/>
        </w:rPr>
        <w:t>Company</w:t>
      </w:r>
      <w:r>
        <w:rPr>
          <w:rFonts w:ascii="Arial" w:cs="Arial" w:eastAsia="Arial" w:hAnsi="Arial"/>
          <w:sz w:val="22"/>
          <w:szCs w:val="22"/>
          <w:color w:val="auto"/>
        </w:rPr>
        <w:t>”) hereby certifies that the financial statements being delivered concurrently herewith fairly present the financial condition, assets, liabilities and results of operations of the Company in accordance with generally accepted accounting principles consistently applied[, subject to normal year-end audit adjustments].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[NAME OF COMPANY]</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-29210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-20320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C</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LENNOX INDUSTRIES INC.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CREDIT AND COLLECTION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ASSIGNMENT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32"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10.2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SECOND AMENDMENT TO SIXTH AMENDED AND RESTATED CREDIT FACILITY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SECOND AMENDMENT TO SIXTH AMENDED AND RESTATED CREDIT FACILITY AGREEMENT (the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March 6, 2018, is among LENNOX INTERNATIONAL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Borrower, the Administrative Agent, and the lenders listed on the signature pages thereto have entered into that certain Sixth Amended and Restated Credit Facility Agreement dated as of August 30, 2016 (as the same may have been or may hereafter be amended or otherwise modified, the "</w:t>
      </w:r>
      <w:r>
        <w:rPr>
          <w:rFonts w:ascii="Arial" w:cs="Arial" w:eastAsia="Arial" w:hAnsi="Arial"/>
          <w:sz w:val="20"/>
          <w:szCs w:val="20"/>
          <w:u w:val="single" w:color="auto"/>
          <w:color w:val="auto"/>
        </w:rPr>
        <w:t>Agreement</w:t>
      </w:r>
      <w:r>
        <w:rPr>
          <w:rFonts w:ascii="Arial" w:cs="Arial" w:eastAsia="Arial" w:hAnsi="Arial"/>
          <w:sz w:val="20"/>
          <w:szCs w:val="20"/>
          <w:color w:val="auto"/>
        </w:rPr>
        <w:t>"). The Borrower, the Administrative Agent and JPMorgan Chase Bank N.A., as a Lender, Issuing Bank, and the Swingline Lender now desire to amend the Agreement as herein set forth.</w:t>
      </w:r>
    </w:p>
    <w:p>
      <w:pPr>
        <w:spacing w:after="0" w:line="16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NOW, THEREFORE, in consideration of the premises herein contained and other good and valuable consideration, the receipt and sufficiency of which are hereby acknowledged, the parties hereto agree as follows effective as of the date hereof unless otherwise indicated:</w:t>
      </w:r>
    </w:p>
    <w:p>
      <w:pPr>
        <w:spacing w:after="0" w:line="11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ARTICLE 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in this Amendment, to the extent not otherwise defined herein, shall have the same</w:t>
      </w:r>
      <w:r>
        <w:rPr>
          <w:rFonts w:ascii="Arial" w:cs="Arial" w:eastAsia="Arial" w:hAnsi="Arial"/>
          <w:sz w:val="22"/>
          <w:szCs w:val="22"/>
          <w:color w:val="auto"/>
        </w:rPr>
        <w:t xml:space="preserve"> </w:t>
      </w:r>
      <w:r>
        <w:rPr>
          <w:rFonts w:ascii="Arial" w:cs="Arial" w:eastAsia="Arial" w:hAnsi="Arial"/>
          <w:sz w:val="19"/>
          <w:szCs w:val="19"/>
          <w:color w:val="auto"/>
        </w:rPr>
        <w:t>meanings as in the Agreement, as amended hereby.</w:t>
      </w:r>
    </w:p>
    <w:p>
      <w:pPr>
        <w:spacing w:after="0" w:line="17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19"/>
          <w:szCs w:val="19"/>
          <w:u w:val="single" w:color="auto"/>
          <w:color w:val="auto"/>
        </w:rPr>
        <w:t>Amendment to Section 2.04(a)</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u w:val="single" w:color="auto"/>
          <w:color w:val="auto"/>
        </w:rPr>
        <w:t>Clause (a)</w:t>
      </w:r>
      <w:r>
        <w:rPr>
          <w:rFonts w:ascii="Arial" w:cs="Arial" w:eastAsia="Arial" w:hAnsi="Arial"/>
          <w:sz w:val="22"/>
          <w:szCs w:val="22"/>
          <w:color w:val="auto"/>
        </w:rPr>
        <w:t xml:space="preserve"> </w:t>
      </w:r>
      <w:r>
        <w:rPr>
          <w:rFonts w:ascii="Arial" w:cs="Arial" w:eastAsia="Arial" w:hAnsi="Arial"/>
          <w:sz w:val="19"/>
          <w:szCs w:val="19"/>
          <w:color w:val="auto"/>
        </w:rPr>
        <w:t>of</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2.04</w:t>
      </w:r>
      <w:r>
        <w:rPr>
          <w:rFonts w:ascii="Arial" w:cs="Arial" w:eastAsia="Arial" w:hAnsi="Arial"/>
          <w:sz w:val="22"/>
          <w:szCs w:val="22"/>
          <w:color w:val="auto"/>
        </w:rPr>
        <w:t xml:space="preserve"> </w:t>
      </w:r>
      <w:r>
        <w:rPr>
          <w:rFonts w:ascii="Arial" w:cs="Arial" w:eastAsia="Arial" w:hAnsi="Arial"/>
          <w:sz w:val="19"/>
          <w:szCs w:val="19"/>
          <w:color w:val="auto"/>
        </w:rPr>
        <w:t>of the Credit Agreement is hereby amended and restated in its</w:t>
      </w:r>
      <w:r>
        <w:rPr>
          <w:rFonts w:ascii="Arial" w:cs="Arial" w:eastAsia="Arial" w:hAnsi="Arial"/>
          <w:sz w:val="22"/>
          <w:szCs w:val="22"/>
          <w:color w:val="auto"/>
        </w:rPr>
        <w:t xml:space="preserve"> </w:t>
      </w:r>
      <w:r>
        <w:rPr>
          <w:rFonts w:ascii="Arial" w:cs="Arial" w:eastAsia="Arial" w:hAnsi="Arial"/>
          <w:sz w:val="19"/>
          <w:szCs w:val="19"/>
          <w:color w:val="auto"/>
        </w:rPr>
        <w:t>entirety to read as follows:</w:t>
      </w:r>
    </w:p>
    <w:p>
      <w:pPr>
        <w:spacing w:after="0" w:line="163" w:lineRule="exact"/>
        <w:rPr>
          <w:sz w:val="20"/>
          <w:szCs w:val="20"/>
          <w:color w:val="auto"/>
        </w:rPr>
      </w:pPr>
    </w:p>
    <w:p>
      <w:pPr>
        <w:jc w:val="both"/>
        <w:ind w:left="660" w:firstLine="645"/>
        <w:spacing w:after="0" w:line="242" w:lineRule="auto"/>
        <w:tabs>
          <w:tab w:leader="none" w:pos="1834"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Commitment</w:t>
      </w:r>
      <w:r>
        <w:rPr>
          <w:rFonts w:ascii="Arial" w:cs="Arial" w:eastAsia="Arial" w:hAnsi="Arial"/>
          <w:sz w:val="20"/>
          <w:szCs w:val="20"/>
          <w:color w:val="auto"/>
        </w:rPr>
        <w:t>. Subject to the terms and conditions set forth herein, each Swingline Lender severally agrees to make Swingline Loans denominated in Dollars to the Borrower from time to time during the Revolving Availability Period, in an aggregate principal amount at any time outstanding that will not result in (i) the aggregate principal amount of outstanding Swingline Loans exceeding $65,000,000, (ii) the aggregate principal amount of outstanding Swingline Loans made by such Swingline Lender exceeding such Swingline Lender's Swingline Commitment, or (iii) the sum of the Total Revolving Exposures exceeding the then existing total Revolving Commitments; provided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Page 1</w:t>
      </w:r>
    </w:p>
    <w:p>
      <w:pPr>
        <w:sectPr>
          <w:pgSz w:w="11900" w:h="16838" w:orient="portrait"/>
          <w:cols w:equalWidth="0" w:num="1">
            <w:col w:w="11420"/>
          </w:cols>
          <w:pgMar w:left="240" w:top="805" w:right="239" w:bottom="1440" w:gutter="0" w:footer="0" w:header="0"/>
        </w:sectPr>
      </w:pPr>
    </w:p>
    <w:bookmarkStart w:id="108" w:name="page109"/>
    <w:bookmarkEnd w:id="108"/>
    <w:p>
      <w:pPr>
        <w:ind w:firstLine="648"/>
        <w:spacing w:after="0" w:line="25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19"/>
          <w:szCs w:val="19"/>
          <w:u w:val="single" w:color="auto"/>
          <w:color w:val="auto"/>
        </w:rPr>
        <w:t>Amendment to Section 2.05(a)</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u w:val="single" w:color="auto"/>
          <w:color w:val="auto"/>
        </w:rPr>
        <w:t>Clause (a)</w:t>
      </w:r>
      <w:r>
        <w:rPr>
          <w:rFonts w:ascii="Arial" w:cs="Arial" w:eastAsia="Arial" w:hAnsi="Arial"/>
          <w:sz w:val="22"/>
          <w:szCs w:val="22"/>
          <w:color w:val="auto"/>
        </w:rPr>
        <w:t xml:space="preserve"> </w:t>
      </w:r>
      <w:r>
        <w:rPr>
          <w:rFonts w:ascii="Arial" w:cs="Arial" w:eastAsia="Arial" w:hAnsi="Arial"/>
          <w:sz w:val="19"/>
          <w:szCs w:val="19"/>
          <w:color w:val="auto"/>
        </w:rPr>
        <w:t>of</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2.05</w:t>
      </w:r>
      <w:r>
        <w:rPr>
          <w:rFonts w:ascii="Arial" w:cs="Arial" w:eastAsia="Arial" w:hAnsi="Arial"/>
          <w:sz w:val="22"/>
          <w:szCs w:val="22"/>
          <w:color w:val="auto"/>
        </w:rPr>
        <w:t xml:space="preserve"> </w:t>
      </w:r>
      <w:r>
        <w:rPr>
          <w:rFonts w:ascii="Arial" w:cs="Arial" w:eastAsia="Arial" w:hAnsi="Arial"/>
          <w:sz w:val="19"/>
          <w:szCs w:val="19"/>
          <w:color w:val="auto"/>
        </w:rPr>
        <w:t>of the Credit Agreement is hereby amended and restated in its</w:t>
      </w:r>
      <w:r>
        <w:rPr>
          <w:rFonts w:ascii="Arial" w:cs="Arial" w:eastAsia="Arial" w:hAnsi="Arial"/>
          <w:sz w:val="22"/>
          <w:szCs w:val="22"/>
          <w:color w:val="auto"/>
        </w:rPr>
        <w:t xml:space="preserve"> </w:t>
      </w:r>
      <w:r>
        <w:rPr>
          <w:rFonts w:ascii="Arial" w:cs="Arial" w:eastAsia="Arial" w:hAnsi="Arial"/>
          <w:sz w:val="19"/>
          <w:szCs w:val="19"/>
          <w:color w:val="auto"/>
        </w:rPr>
        <w:t>entirety to read as follows:</w:t>
      </w:r>
    </w:p>
    <w:p>
      <w:pPr>
        <w:spacing w:after="0" w:line="163" w:lineRule="exact"/>
        <w:rPr>
          <w:sz w:val="20"/>
          <w:szCs w:val="20"/>
          <w:color w:val="auto"/>
        </w:rPr>
      </w:pPr>
    </w:p>
    <w:p>
      <w:pPr>
        <w:jc w:val="both"/>
        <w:ind w:left="660" w:firstLine="645"/>
        <w:spacing w:after="0" w:line="268" w:lineRule="auto"/>
        <w:tabs>
          <w:tab w:leader="none" w:pos="1753"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Borrower may request the issuance of Letters of Credit for its own account, denominated in Dollars, Australian Dollars or Euros, in a form reasonably acceptable to the Administrative Agent and the Issuing Banks, at any time and from time to time during the Revolving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Notwithstanding anything herein to the contrary, (i) no Issuing Bank shall have an obligation hereunder to issue any Letter of Credit; each such issuance shall be at the sole discretion of the applicable Issuing Bank and</w:t>
      </w:r>
    </w:p>
    <w:p>
      <w:pPr>
        <w:spacing w:after="0" w:line="5" w:lineRule="exact"/>
        <w:rPr>
          <w:rFonts w:ascii="Arial" w:cs="Arial" w:eastAsia="Arial" w:hAnsi="Arial"/>
          <w:sz w:val="18"/>
          <w:szCs w:val="18"/>
          <w:color w:val="auto"/>
        </w:rPr>
      </w:pPr>
    </w:p>
    <w:p>
      <w:pPr>
        <w:jc w:val="both"/>
        <w:ind w:left="660" w:hanging="4"/>
        <w:spacing w:after="0" w:line="241" w:lineRule="auto"/>
        <w:tabs>
          <w:tab w:leader="none" w:pos="95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no Issuing Bank shall have an obligation hereunder to issue, and shall not issue or renew, any Letter of Credit the proceeds of which would be made available to any Person (A) to fund any activity or business of or with any Sanctioned Person, or in any Sanctioned Country or (B) in any manner that would result in a violation of any applicable Sanctions by any party to this Agreement. Existing Letters of Credit are Letters of Credit hereunder for all intents and purposes.</w:t>
      </w: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3.</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 Precedent</w:t>
      </w:r>
    </w:p>
    <w:p>
      <w:pPr>
        <w:spacing w:after="0" w:line="211" w:lineRule="exact"/>
        <w:rPr>
          <w:sz w:val="20"/>
          <w:szCs w:val="20"/>
          <w:color w:val="auto"/>
        </w:rPr>
      </w:pPr>
    </w:p>
    <w:p>
      <w:pPr>
        <w:ind w:right="20" w:firstLine="648"/>
        <w:spacing w:after="0" w:line="258"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19"/>
          <w:szCs w:val="19"/>
          <w:u w:val="single" w:color="auto"/>
          <w:color w:val="auto"/>
        </w:rPr>
        <w:t>Conditions</w:t>
      </w:r>
      <w:r>
        <w:rPr>
          <w:rFonts w:ascii="Arial" w:cs="Arial" w:eastAsia="Arial" w:hAnsi="Arial"/>
          <w:sz w:val="19"/>
          <w:szCs w:val="19"/>
          <w:color w:val="auto"/>
        </w:rPr>
        <w:t>. The effectiveness of</w:t>
      </w:r>
      <w:r>
        <w:rPr>
          <w:rFonts w:ascii="Arial" w:cs="Arial" w:eastAsia="Arial" w:hAnsi="Arial"/>
          <w:sz w:val="22"/>
          <w:szCs w:val="22"/>
          <w:color w:val="auto"/>
        </w:rPr>
        <w:t xml:space="preserve"> </w:t>
      </w:r>
      <w:r>
        <w:rPr>
          <w:rFonts w:ascii="Arial" w:cs="Arial" w:eastAsia="Arial" w:hAnsi="Arial"/>
          <w:sz w:val="19"/>
          <w:szCs w:val="19"/>
          <w:u w:val="single" w:color="auto"/>
          <w:color w:val="auto"/>
        </w:rPr>
        <w:t>Article 2</w:t>
      </w:r>
      <w:r>
        <w:rPr>
          <w:rFonts w:ascii="Arial" w:cs="Arial" w:eastAsia="Arial" w:hAnsi="Arial"/>
          <w:sz w:val="22"/>
          <w:szCs w:val="22"/>
          <w:color w:val="auto"/>
        </w:rPr>
        <w:t xml:space="preserve"> </w:t>
      </w:r>
      <w:r>
        <w:rPr>
          <w:rFonts w:ascii="Arial" w:cs="Arial" w:eastAsia="Arial" w:hAnsi="Arial"/>
          <w:sz w:val="19"/>
          <w:szCs w:val="19"/>
          <w:color w:val="auto"/>
        </w:rPr>
        <w:t>of this Amendment is subject to the satisfaction of the following conditions</w:t>
      </w:r>
      <w:r>
        <w:rPr>
          <w:rFonts w:ascii="Arial" w:cs="Arial" w:eastAsia="Arial" w:hAnsi="Arial"/>
          <w:sz w:val="22"/>
          <w:szCs w:val="22"/>
          <w:color w:val="auto"/>
        </w:rPr>
        <w:t xml:space="preserve"> </w:t>
      </w:r>
      <w:r>
        <w:rPr>
          <w:rFonts w:ascii="Arial" w:cs="Arial" w:eastAsia="Arial" w:hAnsi="Arial"/>
          <w:sz w:val="19"/>
          <w:szCs w:val="19"/>
          <w:color w:val="auto"/>
        </w:rPr>
        <w:t>precedent:</w:t>
      </w:r>
    </w:p>
    <w:p>
      <w:pPr>
        <w:spacing w:after="0" w:line="190" w:lineRule="exact"/>
        <w:rPr>
          <w:sz w:val="20"/>
          <w:szCs w:val="20"/>
          <w:color w:val="auto"/>
        </w:rPr>
      </w:pPr>
    </w:p>
    <w:p>
      <w:pPr>
        <w:jc w:val="both"/>
        <w:ind w:firstLine="1305"/>
        <w:spacing w:after="0" w:line="313" w:lineRule="auto"/>
        <w:tabs>
          <w:tab w:leader="none" w:pos="1824" w:val="left"/>
        </w:tabs>
        <w:numPr>
          <w:ilvl w:val="0"/>
          <w:numId w:val="132"/>
        </w:numPr>
        <w:rPr>
          <w:rFonts w:ascii="Arial" w:cs="Arial" w:eastAsia="Arial" w:hAnsi="Arial"/>
          <w:sz w:val="19"/>
          <w:szCs w:val="19"/>
          <w:color w:val="auto"/>
        </w:rPr>
      </w:pPr>
      <w:r>
        <w:rPr>
          <w:rFonts w:ascii="Arial" w:cs="Arial" w:eastAsia="Arial" w:hAnsi="Arial"/>
          <w:sz w:val="18"/>
          <w:szCs w:val="18"/>
          <w:color w:val="auto"/>
        </w:rPr>
        <w:t>The Administrative Agent (or its counsel) shall have received from each party hereto either (i) a counterpart of this Amendment signed on behalf of such party or (ii) written evidence satisfactory to the Administrative Agent (which may include telecopy or other electronic transmission of a signed signature page of this Amendment) that such party has signed a counterpart of this Amendment;</w:t>
      </w:r>
    </w:p>
    <w:p>
      <w:pPr>
        <w:spacing w:after="0" w:line="147" w:lineRule="exact"/>
        <w:rPr>
          <w:rFonts w:ascii="Arial" w:cs="Arial" w:eastAsia="Arial" w:hAnsi="Arial"/>
          <w:sz w:val="19"/>
          <w:szCs w:val="19"/>
          <w:color w:val="auto"/>
        </w:rPr>
      </w:pPr>
    </w:p>
    <w:p>
      <w:pPr>
        <w:jc w:val="both"/>
        <w:ind w:firstLine="1305"/>
        <w:spacing w:after="0" w:line="265" w:lineRule="auto"/>
        <w:tabs>
          <w:tab w:leader="none" w:pos="1742"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Administrative Agent shall have received such documents and certificates as the Administrative Agent or its counsel may reasonably request relating to the authorization of this Amendment in form and substance satisfactory to the Administrative Agent and its counsel;</w:t>
      </w:r>
    </w:p>
    <w:p>
      <w:pPr>
        <w:spacing w:after="0" w:line="185" w:lineRule="exact"/>
        <w:rPr>
          <w:rFonts w:ascii="Arial" w:cs="Arial" w:eastAsia="Arial" w:hAnsi="Arial"/>
          <w:sz w:val="22"/>
          <w:szCs w:val="22"/>
          <w:color w:val="auto"/>
        </w:rPr>
      </w:pPr>
    </w:p>
    <w:p>
      <w:pPr>
        <w:ind w:right="20" w:firstLine="1305"/>
        <w:spacing w:after="0" w:line="265" w:lineRule="auto"/>
        <w:tabs>
          <w:tab w:leader="none" w:pos="1824"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Administrative Agent shall have received such additional documentation and information as the Administrative Agent or its legal counsel may request;</w:t>
      </w:r>
    </w:p>
    <w:p>
      <w:pPr>
        <w:spacing w:after="0" w:line="182" w:lineRule="exact"/>
        <w:rPr>
          <w:rFonts w:ascii="Arial" w:cs="Arial" w:eastAsia="Arial" w:hAnsi="Arial"/>
          <w:sz w:val="22"/>
          <w:szCs w:val="22"/>
          <w:color w:val="auto"/>
        </w:rPr>
      </w:pPr>
    </w:p>
    <w:p>
      <w:pPr>
        <w:jc w:val="both"/>
        <w:ind w:firstLine="1305"/>
        <w:spacing w:after="0" w:line="266" w:lineRule="auto"/>
        <w:tabs>
          <w:tab w:leader="none" w:pos="1742"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representations and warranties of each Loan Party set forth herein and in all other Loan Documents shall be true and correct in all material respects or, in the case of such representations and warranties which are subject to a materiality or Material Adverse Effect qualifier, such representations and warranties shall be true and correct in all respects, in each case on and as of the date hereof, except to the extent such representations and warranties specifically relate to any earlier date in which case such representations and warranties shall have been true and correct in all material respects as of such earlier date, or, in the case of such representations and warranties which are subject to a materiality or Material Adverse Effect qualifier, such representations and warranties shall be true and correct in all respects as of such earlier date;</w:t>
      </w:r>
    </w:p>
    <w:p>
      <w:pPr>
        <w:spacing w:after="0" w:line="186" w:lineRule="exact"/>
        <w:rPr>
          <w:rFonts w:ascii="Arial" w:cs="Arial" w:eastAsia="Arial" w:hAnsi="Arial"/>
          <w:sz w:val="22"/>
          <w:szCs w:val="22"/>
          <w:color w:val="auto"/>
        </w:rPr>
      </w:pPr>
    </w:p>
    <w:p>
      <w:pPr>
        <w:ind w:left="1720" w:hanging="415"/>
        <w:spacing w:after="0"/>
        <w:tabs>
          <w:tab w:leader="none" w:pos="1720" w:val="left"/>
        </w:tabs>
        <w:numPr>
          <w:ilvl w:val="0"/>
          <w:numId w:val="132"/>
        </w:numPr>
        <w:rPr>
          <w:rFonts w:ascii="Arial" w:cs="Arial" w:eastAsia="Arial" w:hAnsi="Arial"/>
          <w:sz w:val="22"/>
          <w:szCs w:val="22"/>
          <w:color w:val="auto"/>
        </w:rPr>
      </w:pPr>
      <w:r>
        <w:rPr>
          <w:rFonts w:ascii="Arial" w:cs="Arial" w:eastAsia="Arial" w:hAnsi="Arial"/>
          <w:sz w:val="20"/>
          <w:szCs w:val="20"/>
          <w:color w:val="auto"/>
        </w:rPr>
        <w:t>No Default shall exist;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Page 2</w:t>
      </w:r>
    </w:p>
    <w:p>
      <w:pPr>
        <w:sectPr>
          <w:pgSz w:w="11900" w:h="16838" w:orient="portrait"/>
          <w:cols w:equalWidth="0" w:num="1">
            <w:col w:w="11420"/>
          </w:cols>
          <w:pgMar w:left="240" w:top="604" w:right="239" w:bottom="1440" w:gutter="0" w:footer="0" w:header="0"/>
        </w:sectPr>
      </w:pPr>
    </w:p>
    <w:bookmarkStart w:id="109" w:name="page110"/>
    <w:bookmarkEnd w:id="109"/>
    <w:p>
      <w:pPr>
        <w:jc w:val="both"/>
        <w:ind w:firstLine="1305"/>
        <w:spacing w:after="0" w:line="266" w:lineRule="auto"/>
        <w:tabs>
          <w:tab w:leader="none" w:pos="1733" w:val="left"/>
        </w:tabs>
        <w:numPr>
          <w:ilvl w:val="0"/>
          <w:numId w:val="133"/>
        </w:numPr>
        <w:rPr>
          <w:rFonts w:ascii="Arial" w:cs="Arial" w:eastAsia="Arial" w:hAnsi="Arial"/>
          <w:sz w:val="22"/>
          <w:szCs w:val="22"/>
          <w:color w:val="auto"/>
        </w:rPr>
      </w:pPr>
      <w:r>
        <w:rPr>
          <w:rFonts w:ascii="Arial" w:cs="Arial" w:eastAsia="Arial" w:hAnsi="Arial"/>
          <w:sz w:val="20"/>
          <w:szCs w:val="20"/>
          <w:color w:val="auto"/>
        </w:rPr>
        <w:t>The Administrative Agent shall have received all fees and other amounts due and payable pursuant to this Amendment, the Agreement or any other Loan Document on or prior to the date hereof, including, to the extent invoiced, reimbursement or payment of all reasonable out-of-pocket expenses required to be reimbursed or paid by the Borrower hereunder, under the Agreement or under any other Loan Document; and</w:t>
      </w:r>
    </w:p>
    <w:p>
      <w:pPr>
        <w:spacing w:after="0" w:line="183" w:lineRule="exact"/>
        <w:rPr>
          <w:rFonts w:ascii="Arial" w:cs="Arial" w:eastAsia="Arial" w:hAnsi="Arial"/>
          <w:sz w:val="22"/>
          <w:szCs w:val="22"/>
          <w:color w:val="auto"/>
        </w:rPr>
      </w:pPr>
    </w:p>
    <w:p>
      <w:pPr>
        <w:ind w:right="20" w:firstLine="1305"/>
        <w:spacing w:after="0" w:line="265" w:lineRule="auto"/>
        <w:tabs>
          <w:tab w:leader="none" w:pos="1783" w:val="left"/>
        </w:tabs>
        <w:numPr>
          <w:ilvl w:val="0"/>
          <w:numId w:val="133"/>
        </w:numPr>
        <w:rPr>
          <w:rFonts w:ascii="Arial" w:cs="Arial" w:eastAsia="Arial" w:hAnsi="Arial"/>
          <w:sz w:val="22"/>
          <w:szCs w:val="22"/>
          <w:color w:val="auto"/>
        </w:rPr>
      </w:pPr>
      <w:r>
        <w:rPr>
          <w:rFonts w:ascii="Arial" w:cs="Arial" w:eastAsia="Arial" w:hAnsi="Arial"/>
          <w:sz w:val="20"/>
          <w:szCs w:val="20"/>
          <w:color w:val="auto"/>
        </w:rPr>
        <w:t>All proceedings taken in connection with the transactions contemplated by this Amendment and all documentation and other legal matters incident thereto shall be satisfactory to the Administrative Agent and its legal counsel.</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4.</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Ratifications, Representations and Warranties</w:t>
      </w:r>
    </w:p>
    <w:p>
      <w:pPr>
        <w:spacing w:after="0" w:line="21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18"/>
          <w:szCs w:val="18"/>
          <w:u w:val="single" w:color="auto"/>
          <w:color w:val="auto"/>
        </w:rPr>
        <w:t>Ratifications</w:t>
      </w:r>
      <w:r>
        <w:rPr>
          <w:rFonts w:ascii="Arial" w:cs="Arial" w:eastAsia="Arial" w:hAnsi="Arial"/>
          <w:sz w:val="18"/>
          <w:szCs w:val="18"/>
          <w:color w:val="auto"/>
        </w:rPr>
        <w:t>. The terms and provisions set forth in this Amendment shall modify and supersede all inconsistent terms</w:t>
      </w:r>
      <w:r>
        <w:rPr>
          <w:rFonts w:ascii="Arial" w:cs="Arial" w:eastAsia="Arial" w:hAnsi="Arial"/>
          <w:sz w:val="21"/>
          <w:szCs w:val="21"/>
          <w:color w:val="auto"/>
        </w:rPr>
        <w:t xml:space="preserve"> </w:t>
      </w:r>
      <w:r>
        <w:rPr>
          <w:rFonts w:ascii="Arial" w:cs="Arial" w:eastAsia="Arial" w:hAnsi="Arial"/>
          <w:sz w:val="18"/>
          <w:szCs w:val="18"/>
          <w:color w:val="auto"/>
        </w:rPr>
        <w:t>and provisions set forth in the Agreement and except as expressly modified and superseded by this Amendment, the terms and provisions of the Agreement and the other Loan Documents are ratified and confirmed and shall continue in full force and effect. The Borrower, the Administrative Agent, and the Lenders party hereto agree that the Agreement as amended hereby and the other Loan Documents shall continue to be a legal, valid and binding obligation of the Borrower or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 For all matters arising prior to the effective date of this Amendment (including, without limitation, the accrual and payment of interest and fees and compliance with financial covenants), the terms of the Agreement (as unmodified by this Amendment) shall control and are hereby ratified and confirmed.</w:t>
      </w:r>
    </w:p>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hereby represents and warrants to the Administrative Agent and the</w:t>
      </w:r>
      <w:r>
        <w:rPr>
          <w:rFonts w:ascii="Arial" w:cs="Arial" w:eastAsia="Arial" w:hAnsi="Arial"/>
          <w:sz w:val="21"/>
          <w:szCs w:val="21"/>
          <w:color w:val="auto"/>
        </w:rPr>
        <w:t xml:space="preserve"> </w:t>
      </w:r>
      <w:r>
        <w:rPr>
          <w:rFonts w:ascii="Arial" w:cs="Arial" w:eastAsia="Arial" w:hAnsi="Arial"/>
          <w:sz w:val="18"/>
          <w:szCs w:val="18"/>
          <w:color w:val="auto"/>
        </w:rPr>
        <w:t>Lenders as follows: (a) after giving effect to this Amendment, no Default has occurred and is continuing; (b) after giving effect to this Amendment, the representations and warranties set forth in the Loan Documents are true and correct in all material respects or, in the case of such representations and warranties which are subject to a materiality or Material Adverse Effect qualifier, such representations and warranties shall be true and correct in all respects, in each case on and as of the date hereof, except to the extent such representations and warranties specifically relate to any earlier date in which case such representations and warranties shall have been true and correct in all material respects as of such earlier date, or, in the case of such representations and warranties which are subject to a materiality or Material Adverse Effect qualifier, such representations and warranties shall be true and correct in all respects as of such earlier date; (c) the execution, delivery and performance of this Amendment has been duly authorized by all necessary action on the part of the Borrower and each other Loan Party and does not and will not: (1) require any consent or approval of, registration or filing with, or any other action by, any Governmental Authority or any other Person, except such as have been obtained or made and are in full force and effect; (2) violate any applicable law or regulation or the charter, bylaws or other organizational documents of the Borrower or any of its Subsidiaries or any order of any Governmental Authority;</w:t>
      </w:r>
    </w:p>
    <w:p>
      <w:pPr>
        <w:spacing w:after="0" w:line="2" w:lineRule="exact"/>
        <w:rPr>
          <w:sz w:val="20"/>
          <w:szCs w:val="20"/>
          <w:color w:val="auto"/>
        </w:rPr>
      </w:pPr>
    </w:p>
    <w:p>
      <w:pPr>
        <w:jc w:val="both"/>
        <w:ind w:firstLine="8"/>
        <w:spacing w:after="0" w:line="290" w:lineRule="auto"/>
        <w:tabs>
          <w:tab w:leader="none" w:pos="32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violate or result in a default under any material indenture, agreement or other instrument binding upon the Borrower or any of its Subsidiaries or its assets (including the documentation governing the Senior Unsecured Notes), or give rise to a right thereunder to require any payment to be made by the Borrower or any of its Subsidiaries; (4) result in the creation or imposition of any Lien on any asset of the Borrower or any of its Subsidiaries; (d) the articles of incorporation, bylaws, partnership agreement, certificate of limited partnership, membership agreement, articles of organization or other applicable governing document of the Borrower</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Page 3</w:t>
      </w:r>
    </w:p>
    <w:p>
      <w:pPr>
        <w:sectPr>
          <w:pgSz w:w="11900" w:h="16838" w:orient="portrait"/>
          <w:cols w:equalWidth="0" w:num="1">
            <w:col w:w="11420"/>
          </w:cols>
          <w:pgMar w:left="240" w:top="622" w:right="239" w:bottom="1440" w:gutter="0" w:footer="0" w:header="0"/>
        </w:sectPr>
      </w:pPr>
    </w:p>
    <w:bookmarkStart w:id="110" w:name="page111"/>
    <w:bookmarkEnd w:id="110"/>
    <w:p>
      <w:pPr>
        <w:jc w:val="both"/>
        <w:spacing w:after="0" w:line="260" w:lineRule="auto"/>
        <w:rPr>
          <w:sz w:val="20"/>
          <w:szCs w:val="20"/>
          <w:color w:val="auto"/>
        </w:rPr>
      </w:pPr>
      <w:r>
        <w:rPr>
          <w:rFonts w:ascii="Arial" w:cs="Arial" w:eastAsia="Arial" w:hAnsi="Arial"/>
          <w:sz w:val="19"/>
          <w:szCs w:val="19"/>
          <w:color w:val="auto"/>
        </w:rPr>
        <w:t>and each other Loan Party and the resolutions of each Borrower and each other Loan Party attached as exhibits to any previously delivered Certificate of Secretary or Assistant Secretary have not been modified or rescinded and remain in full force and effect; and (e) this Amendment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5.</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covenants, agreements, representations and warranties made by the</w:t>
      </w:r>
      <w:r>
        <w:rPr>
          <w:rFonts w:ascii="Arial" w:cs="Arial" w:eastAsia="Arial" w:hAnsi="Arial"/>
          <w:sz w:val="22"/>
          <w:szCs w:val="22"/>
          <w:color w:val="auto"/>
        </w:rPr>
        <w:t xml:space="preserve"> </w:t>
      </w:r>
      <w:r>
        <w:rPr>
          <w:rFonts w:ascii="Arial" w:cs="Arial" w:eastAsia="Arial" w:hAnsi="Arial"/>
          <w:sz w:val="19"/>
          <w:szCs w:val="19"/>
          <w:color w:val="auto"/>
        </w:rPr>
        <w:t>Loan Parties in this Amendment and the other Loan Documents and in the certificates or other instruments delivered in connection with or pursuant to this Amendment, the Agreement or any other Loan Document shall be considered to have been relied upon by the other parties hereto and shall survive the execution and delivery of this Amendment and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or thereunder, and shall continue in full force and effect until the Loan Obligations have been Fully Satisfied. The provisions of Sections 2.14, 2.15, 2.16 and 10.03 and Article IX of the Agreement shall survive and remain in full force and effect regardless of the consummation of the transactions contemplated hereby, the repayment of the Loans, the expiration or termination of the Letters of Credit and the Commitments or the termination of this Amendment, the Agreement or any provision hereof or thereof.</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19"/>
          <w:szCs w:val="19"/>
          <w:u w:val="single" w:color="auto"/>
          <w:color w:val="auto"/>
        </w:rPr>
        <w:t>Reference to Agreement</w:t>
      </w:r>
      <w:r>
        <w:rPr>
          <w:rFonts w:ascii="Arial" w:cs="Arial" w:eastAsia="Arial" w:hAnsi="Arial"/>
          <w:sz w:val="19"/>
          <w:szCs w:val="19"/>
          <w:color w:val="auto"/>
        </w:rPr>
        <w:t>. Each of the Loan Documents, including the Agreement and any and all other agreements,</w:t>
      </w:r>
      <w:r>
        <w:rPr>
          <w:rFonts w:ascii="Arial" w:cs="Arial" w:eastAsia="Arial" w:hAnsi="Arial"/>
          <w:sz w:val="22"/>
          <w:szCs w:val="22"/>
          <w:color w:val="auto"/>
        </w:rPr>
        <w:t xml:space="preserve"> </w:t>
      </w:r>
      <w:r>
        <w:rPr>
          <w:rFonts w:ascii="Arial" w:cs="Arial" w:eastAsia="Arial" w:hAnsi="Arial"/>
          <w:sz w:val="19"/>
          <w:szCs w:val="19"/>
          <w:color w:val="auto"/>
        </w:rPr>
        <w:t>documents, or instruments now or hereafter executed and delivered pursuant to the terms hereof or pursuant to the terms of the Agreement as amended hereby, are hereby amended so that any reference in such Loan Documents to the Agreement shall mean a reference to the Agreement as amended hereby.</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18"/>
          <w:szCs w:val="18"/>
          <w:u w:val="single" w:color="auto"/>
          <w:color w:val="auto"/>
        </w:rPr>
        <w:t>Expenses of Lender</w:t>
      </w:r>
      <w:r>
        <w:rPr>
          <w:rFonts w:ascii="Arial" w:cs="Arial" w:eastAsia="Arial" w:hAnsi="Arial"/>
          <w:sz w:val="18"/>
          <w:szCs w:val="18"/>
          <w:color w:val="auto"/>
        </w:rPr>
        <w:t>. As provided in the Agreement, the Borrower agrees to pay on demand all costs and expenses</w:t>
      </w:r>
      <w:r>
        <w:rPr>
          <w:rFonts w:ascii="Arial" w:cs="Arial" w:eastAsia="Arial" w:hAnsi="Arial"/>
          <w:sz w:val="21"/>
          <w:szCs w:val="21"/>
          <w:color w:val="auto"/>
        </w:rPr>
        <w:t xml:space="preserve"> </w:t>
      </w:r>
      <w:r>
        <w:rPr>
          <w:rFonts w:ascii="Arial" w:cs="Arial" w:eastAsia="Arial" w:hAnsi="Arial"/>
          <w:sz w:val="18"/>
          <w:szCs w:val="18"/>
          <w:color w:val="auto"/>
        </w:rPr>
        <w:t>incurred by the Administrative Agent or any Lender in connection with the preparation, negotiation, and execution of this Amendment and the other Loan Documents executed pursuant hereto, including without limitation, the costs and fees of the Administrative Agent's legal counsel.</w:t>
      </w:r>
    </w:p>
    <w:p>
      <w:pPr>
        <w:spacing w:after="0" w:line="14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this Amendment held to be invalid, illegal or unenforceable in any jurisdiction shall, as</w:t>
      </w:r>
      <w:r>
        <w:rPr>
          <w:rFonts w:ascii="Arial" w:cs="Arial" w:eastAsia="Arial" w:hAnsi="Arial"/>
          <w:sz w:val="22"/>
          <w:szCs w:val="22"/>
          <w:color w:val="auto"/>
        </w:rPr>
        <w:t xml:space="preserve"> </w:t>
      </w:r>
      <w:r>
        <w:rPr>
          <w:rFonts w:ascii="Arial" w:cs="Arial" w:eastAsia="Arial" w:hAnsi="Arial"/>
          <w:sz w:val="19"/>
          <w:szCs w:val="19"/>
          <w:color w:val="auto"/>
        </w:rPr>
        <w:t>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19"/>
          <w:szCs w:val="19"/>
          <w:u w:val="single" w:color="auto"/>
          <w:color w:val="auto"/>
        </w:rPr>
        <w:t>Applicable Law</w:t>
      </w:r>
      <w:r>
        <w:rPr>
          <w:rFonts w:ascii="Arial" w:cs="Arial" w:eastAsia="Arial" w:hAnsi="Arial"/>
          <w:sz w:val="19"/>
          <w:szCs w:val="19"/>
          <w:color w:val="auto"/>
        </w:rPr>
        <w:t>. This Amendment and all other Loan Documents executed pursuant hereto shall be governed by and</w:t>
      </w:r>
      <w:r>
        <w:rPr>
          <w:rFonts w:ascii="Arial" w:cs="Arial" w:eastAsia="Arial" w:hAnsi="Arial"/>
          <w:sz w:val="22"/>
          <w:szCs w:val="22"/>
          <w:color w:val="auto"/>
        </w:rPr>
        <w:t xml:space="preserve"> </w:t>
      </w:r>
      <w:r>
        <w:rPr>
          <w:rFonts w:ascii="Arial" w:cs="Arial" w:eastAsia="Arial" w:hAnsi="Arial"/>
          <w:sz w:val="19"/>
          <w:szCs w:val="19"/>
          <w:color w:val="auto"/>
        </w:rPr>
        <w:t>construed in accordance with the applicable law pertaining in the State of New York, other than those conflict of law provisions that would defer to the substantive laws of another jurisdiction. This governing law election has been made by the parties in reliance (at least in part) on Section 5–1401 of the General Obligations Law of the State of New York, as amended (as and to the extent applicable), and other applicable law.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Page 4</w:t>
      </w:r>
    </w:p>
    <w:p>
      <w:pPr>
        <w:sectPr>
          <w:pgSz w:w="11900" w:h="16838" w:orient="portrait"/>
          <w:cols w:equalWidth="0" w:num="1">
            <w:col w:w="11420"/>
          </w:cols>
          <w:pgMar w:left="240" w:top="595" w:right="239" w:bottom="1440" w:gutter="0" w:footer="0" w:header="0"/>
        </w:sectPr>
      </w:pPr>
    </w:p>
    <w:bookmarkStart w:id="111" w:name="page112"/>
    <w:bookmarkEnd w:id="111"/>
    <w:p>
      <w:pPr>
        <w:jc w:val="both"/>
        <w:ind w:firstLine="648"/>
        <w:spacing w:after="0" w:line="273"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Amendment are binding upon and inure to the benefit of the parties</w:t>
      </w:r>
      <w:r>
        <w:rPr>
          <w:rFonts w:ascii="Arial" w:cs="Arial" w:eastAsia="Arial" w:hAnsi="Arial"/>
          <w:sz w:val="22"/>
          <w:szCs w:val="22"/>
          <w:color w:val="auto"/>
        </w:rPr>
        <w:t xml:space="preserve"> </w:t>
      </w:r>
      <w:r>
        <w:rPr>
          <w:rFonts w:ascii="Arial" w:cs="Arial" w:eastAsia="Arial" w:hAnsi="Arial"/>
          <w:sz w:val="19"/>
          <w:szCs w:val="19"/>
          <w:color w:val="auto"/>
        </w:rPr>
        <w:t>hereto and their respective successors and assigns permitted under the Agreement (including any Affiliate of any Issuing Bank that issues any Letter of Credit, any Affiliate of a Lender who is owed any of the Obligations and any Indemnitee), except that the Borrower may not assign or otherwise transfer any of its rights or obligations hereunder without the prior written consent of each Lender (and any attempted assignment or transfer by the Borrower without such consent shall be null and void).</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w:t>
      </w:r>
      <w:r>
        <w:rPr>
          <w:rFonts w:ascii="Arial" w:cs="Arial" w:eastAsia="Arial" w:hAnsi="Arial"/>
          <w:sz w:val="21"/>
          <w:szCs w:val="2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19"/>
          <w:szCs w:val="19"/>
          <w:u w:val="single" w:color="auto"/>
          <w:color w:val="auto"/>
        </w:rPr>
        <w:t>Effect of Waiver</w:t>
      </w:r>
      <w:r>
        <w:rPr>
          <w:rFonts w:ascii="Arial" w:cs="Arial" w:eastAsia="Arial" w:hAnsi="Arial"/>
          <w:sz w:val="19"/>
          <w:szCs w:val="19"/>
          <w:color w:val="auto"/>
        </w:rPr>
        <w:t>. No consent or waiver, express or implied, by the Administrative Agent or any Lender to or for any</w:t>
      </w:r>
      <w:r>
        <w:rPr>
          <w:rFonts w:ascii="Arial" w:cs="Arial" w:eastAsia="Arial" w:hAnsi="Arial"/>
          <w:sz w:val="22"/>
          <w:szCs w:val="22"/>
          <w:color w:val="auto"/>
        </w:rPr>
        <w:t xml:space="preserve"> </w:t>
      </w:r>
      <w:r>
        <w:rPr>
          <w:rFonts w:ascii="Arial" w:cs="Arial" w:eastAsia="Arial" w:hAnsi="Arial"/>
          <w:sz w:val="19"/>
          <w:szCs w:val="19"/>
          <w:color w:val="auto"/>
        </w:rPr>
        <w:t>breach of or deviation from any covenant, condition or duty by the Borrower or any other Loan Party shall be deemed a consent or waiver to or of any other breach of the same or any other covenant, condition or duty.</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captions, and arrangements used in this Amendment are for convenience only and shall not</w:t>
      </w:r>
      <w:r>
        <w:rPr>
          <w:rFonts w:ascii="Arial" w:cs="Arial" w:eastAsia="Arial" w:hAnsi="Arial"/>
          <w:sz w:val="22"/>
          <w:szCs w:val="22"/>
          <w:color w:val="auto"/>
        </w:rPr>
        <w:t xml:space="preserve"> </w:t>
      </w:r>
      <w:r>
        <w:rPr>
          <w:rFonts w:ascii="Arial" w:cs="Arial" w:eastAsia="Arial" w:hAnsi="Arial"/>
          <w:sz w:val="19"/>
          <w:szCs w:val="19"/>
          <w:color w:val="auto"/>
        </w:rPr>
        <w:t>affect the interpretation of this Amendment.</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AND ALL OTHER INSTRUMENTS, DOCUMENTS AND</w:t>
      </w:r>
      <w:r>
        <w:rPr>
          <w:rFonts w:ascii="Arial" w:cs="Arial" w:eastAsia="Arial" w:hAnsi="Arial"/>
          <w:sz w:val="22"/>
          <w:szCs w:val="22"/>
          <w:color w:val="auto"/>
        </w:rPr>
        <w:t xml:space="preserve"> </w:t>
      </w:r>
      <w:r>
        <w:rPr>
          <w:rFonts w:ascii="Arial" w:cs="Arial" w:eastAsia="Arial" w:hAnsi="Arial"/>
          <w:sz w:val="19"/>
          <w:szCs w:val="19"/>
          <w:color w:val="auto"/>
        </w:rPr>
        <w:t>AGREEMENTS EXECUTED AND DELIVERED IN CONNECTION WITH THIS AMENDMENT EMBODY THE FINAL, ENTIRE AGREEMENT AMONG THE PARTIES RELATING TO THE SUBJECT MATTER HEREOF AND SUPERSEDE ANY AND ALL PREVIOUS COMMITMENTS, AGREEMENTS, REPRESENTATIONS AND UNDERSTANDINGS, WHETHER ORAL OR WRITTEN, RELATING TO THE SUBJECT MATTER HEREOF AND MAY NOT BE CONTRADICTED OR VARIED BY EVIDENCE OF PRIOR, CONTEMPORANEOUS OR SUBSEQUENT ORAL AGREEMENTS OR DISCUSSIONS OF THE PARTIES HERETO. THERE ARE NO UNWRITTEN ORAL AGREEMENTS AMONG THE PARTIES HERETO.</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6"/>
          <w:szCs w:val="16"/>
          <w:u w:val="single" w:color="auto"/>
          <w:color w:val="auto"/>
        </w:rPr>
        <w:t>Loan Document</w:t>
      </w:r>
      <w:r>
        <w:rPr>
          <w:rFonts w:ascii="Arial" w:cs="Arial" w:eastAsia="Arial" w:hAnsi="Arial"/>
          <w:sz w:val="16"/>
          <w:szCs w:val="16"/>
          <w:color w:val="auto"/>
        </w:rPr>
        <w:t>. This Amendment is a Loan Document and is subject to the terms of the Agreement.</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Following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Page 5</w:t>
      </w:r>
    </w:p>
    <w:p>
      <w:pPr>
        <w:sectPr>
          <w:pgSz w:w="11900" w:h="16838" w:orient="portrait"/>
          <w:cols w:equalWidth="0" w:num="1">
            <w:col w:w="11420"/>
          </w:cols>
          <w:pgMar w:left="240" w:top="604"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20"/>
          <w:szCs w:val="20"/>
          <w:color w:val="auto"/>
        </w:rPr>
        <w:t>Executed as of the date first written above.</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LENNOX INTERNATIONAL INC., as the Borrower</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Rick Pelini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Rick Pelini, Vice</w:t>
      </w:r>
    </w:p>
    <w:p>
      <w:pPr>
        <w:ind w:left="5040"/>
        <w:spacing w:after="0"/>
        <w:rPr>
          <w:sz w:val="20"/>
          <w:szCs w:val="20"/>
          <w:color w:val="auto"/>
        </w:rPr>
      </w:pPr>
      <w:r>
        <w:rPr>
          <w:rFonts w:ascii="Arial" w:cs="Arial" w:eastAsia="Arial" w:hAnsi="Arial"/>
          <w:sz w:val="20"/>
          <w:szCs w:val="20"/>
          <w:color w:val="auto"/>
        </w:rPr>
        <w:t>President and Treasurer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Signature Page</w:t>
      </w:r>
    </w:p>
    <w:p>
      <w:pPr>
        <w:sectPr>
          <w:pgSz w:w="11900" w:h="16838" w:orient="portrait"/>
          <w:cols w:equalWidth="0" w:num="1">
            <w:col w:w="10920"/>
          </w:cols>
          <w:pgMar w:left="240" w:top="595" w:right="739" w:bottom="1440" w:gutter="0" w:footer="0" w:header="0"/>
        </w:sectPr>
      </w:pPr>
    </w:p>
    <w:bookmarkStart w:id="113" w:name="page114"/>
    <w:bookmarkEnd w:id="113"/>
    <w:p>
      <w:pPr>
        <w:ind w:left="3900"/>
        <w:spacing w:after="0"/>
        <w:rPr>
          <w:sz w:val="20"/>
          <w:szCs w:val="20"/>
          <w:color w:val="auto"/>
        </w:rPr>
      </w:pPr>
      <w:r>
        <w:rPr>
          <w:rFonts w:ascii="Arial" w:cs="Arial" w:eastAsia="Arial" w:hAnsi="Arial"/>
          <w:sz w:val="20"/>
          <w:szCs w:val="20"/>
          <w:color w:val="auto"/>
        </w:rPr>
        <w:t>JPMORGAN CHASE BANK, N. 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individually as a Lender, an Issuing Bank, Swingline Lender and as the Administrative Agent</w:t>
      </w:r>
    </w:p>
    <w:p>
      <w:pPr>
        <w:spacing w:after="0" w:line="200" w:lineRule="exact"/>
        <w:rPr>
          <w:sz w:val="20"/>
          <w:szCs w:val="20"/>
          <w:color w:val="auto"/>
        </w:rPr>
      </w:pPr>
    </w:p>
    <w:p>
      <w:pPr>
        <w:spacing w:after="0" w:line="26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449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44970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Gregory T. Martin, Executive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Signature Page</w:t>
      </w:r>
    </w:p>
    <w:p>
      <w:pPr>
        <w:sectPr>
          <w:pgSz w:w="11900" w:h="16838" w:orient="portrait"/>
          <w:cols w:equalWidth="0" w:num="1">
            <w:col w:w="11300"/>
          </w:cols>
          <w:pgMar w:left="240" w:top="595" w:right="3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0"/>
          <w:szCs w:val="20"/>
          <w:color w:val="auto"/>
        </w:rPr>
        <w:t>Subsidiary Guarantor Consent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of the undersigned Subsidiary Guarantors: (i) consents and agrees to this Amendment; (ii) agrees that the Loan Documents to which it is a party shall remain in full force and effect and shall continue to be the legal, valid and binding obligation of such Subsidiary Guarantor enforceable against it in accordance with their respective terms; and (iii) agree that the obligations, indebtedness and liabilities of the Borrower arising under this Amendment are "Obligations" as defined in the Agreement and "Guaranteed Indebtedness" as defined in the Guaranty Agreement to which it is a party.</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ALLIED AIR ENTERPRISES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ADVANCED DISTRIBUTOR PRODUCTS LLC</w:t>
      </w:r>
    </w:p>
    <w:p>
      <w:pPr>
        <w:ind w:left="3900"/>
        <w:spacing w:after="0"/>
        <w:rPr>
          <w:sz w:val="20"/>
          <w:szCs w:val="20"/>
          <w:color w:val="auto"/>
        </w:rPr>
      </w:pPr>
      <w:r>
        <w:rPr>
          <w:rFonts w:ascii="Arial" w:cs="Arial" w:eastAsia="Arial" w:hAnsi="Arial"/>
          <w:sz w:val="20"/>
          <w:szCs w:val="20"/>
          <w:color w:val="auto"/>
        </w:rPr>
        <w:t>HEATCRAFT INC.</w:t>
      </w:r>
    </w:p>
    <w:p>
      <w:pPr>
        <w:ind w:left="3900"/>
        <w:spacing w:after="0"/>
        <w:rPr>
          <w:sz w:val="20"/>
          <w:szCs w:val="20"/>
          <w:color w:val="auto"/>
        </w:rPr>
      </w:pPr>
      <w:r>
        <w:rPr>
          <w:rFonts w:ascii="Arial" w:cs="Arial" w:eastAsia="Arial" w:hAnsi="Arial"/>
          <w:sz w:val="20"/>
          <w:szCs w:val="20"/>
          <w:color w:val="auto"/>
        </w:rPr>
        <w:t>HEATCRAFT REFRIGERATION PRODUCTS LLC</w:t>
      </w:r>
    </w:p>
    <w:p>
      <w:pPr>
        <w:ind w:left="3900"/>
        <w:spacing w:after="0"/>
        <w:rPr>
          <w:sz w:val="20"/>
          <w:szCs w:val="20"/>
          <w:color w:val="auto"/>
        </w:rPr>
      </w:pPr>
      <w:r>
        <w:rPr>
          <w:rFonts w:ascii="Arial" w:cs="Arial" w:eastAsia="Arial" w:hAnsi="Arial"/>
          <w:sz w:val="20"/>
          <w:szCs w:val="20"/>
          <w:color w:val="auto"/>
        </w:rPr>
        <w:t>LENNOX GLOBAL LTD.</w:t>
      </w:r>
    </w:p>
    <w:p>
      <w:pPr>
        <w:ind w:left="3900"/>
        <w:spacing w:after="0"/>
        <w:rPr>
          <w:sz w:val="20"/>
          <w:szCs w:val="20"/>
          <w:color w:val="auto"/>
        </w:rPr>
      </w:pPr>
      <w:r>
        <w:rPr>
          <w:rFonts w:ascii="Arial" w:cs="Arial" w:eastAsia="Arial" w:hAnsi="Arial"/>
          <w:sz w:val="20"/>
          <w:szCs w:val="20"/>
          <w:color w:val="auto"/>
        </w:rPr>
        <w:t>LENNOX INDUSTRIES INC.</w:t>
      </w:r>
    </w:p>
    <w:p>
      <w:pPr>
        <w:ind w:left="3900"/>
        <w:spacing w:after="0"/>
        <w:rPr>
          <w:sz w:val="20"/>
          <w:szCs w:val="20"/>
          <w:color w:val="auto"/>
        </w:rPr>
      </w:pPr>
      <w:r>
        <w:rPr>
          <w:rFonts w:ascii="Arial" w:cs="Arial" w:eastAsia="Arial" w:hAnsi="Arial"/>
          <w:sz w:val="20"/>
          <w:szCs w:val="20"/>
          <w:color w:val="auto"/>
        </w:rPr>
        <w:t>LGL AUSTRALIA (US) INC.</w:t>
      </w:r>
    </w:p>
    <w:p>
      <w:pPr>
        <w:ind w:left="3900"/>
        <w:spacing w:after="0"/>
        <w:rPr>
          <w:sz w:val="20"/>
          <w:szCs w:val="20"/>
          <w:color w:val="auto"/>
        </w:rPr>
      </w:pPr>
      <w:r>
        <w:rPr>
          <w:rFonts w:ascii="Arial" w:cs="Arial" w:eastAsia="Arial" w:hAnsi="Arial"/>
          <w:sz w:val="20"/>
          <w:szCs w:val="20"/>
          <w:color w:val="auto"/>
        </w:rPr>
        <w:t>LENNOX NATIONAL ACCOUNT SERVICES LLC</w:t>
      </w:r>
    </w:p>
    <w:p>
      <w:pPr>
        <w:ind w:left="3900"/>
        <w:spacing w:after="0"/>
        <w:tabs>
          <w:tab w:leader="none" w:pos="6660" w:val="left"/>
        </w:tabs>
        <w:rPr>
          <w:sz w:val="20"/>
          <w:szCs w:val="20"/>
          <w:color w:val="auto"/>
        </w:rPr>
      </w:pPr>
      <w:r>
        <w:rPr>
          <w:rFonts w:ascii="Arial" w:cs="Arial" w:eastAsia="Arial" w:hAnsi="Arial"/>
          <w:sz w:val="20"/>
          <w:szCs w:val="20"/>
          <w:color w:val="auto"/>
        </w:rPr>
        <w:t>LGL EUROPE HOLDING CO.</w:t>
      </w:r>
      <w:r>
        <w:rPr>
          <w:sz w:val="20"/>
          <w:szCs w:val="20"/>
          <w:color w:val="auto"/>
        </w:rPr>
        <w:tab/>
      </w:r>
      <w:r>
        <w:rPr>
          <w:rFonts w:ascii="Arial" w:cs="Arial" w:eastAsia="Arial" w:hAnsi="Arial"/>
          <w:sz w:val="18"/>
          <w:szCs w:val="18"/>
          <w:color w:val="auto"/>
        </w:rPr>
        <w:t>/s/ Rick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-24765</wp:posOffset>
            </wp:positionV>
            <wp:extent cx="838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Rick Pelini, Vice President and Treasurer for each Subsidiary Guarantor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SECOND AMENDMENT TO SIXTH AMENDED AND RESTATED CREDIT FACILITY AGREEMENT, Signature Page</w:t>
      </w:r>
    </w:p>
    <w:p>
      <w:pPr>
        <w:sectPr>
          <w:pgSz w:w="11900" w:h="16838" w:orient="portrait"/>
          <w:cols w:equalWidth="0" w:num="1">
            <w:col w:w="11420"/>
          </w:cols>
          <w:pgMar w:left="240" w:top="59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March 31, 2018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1)"/>
      <w:numFmt w:val="decimal"/>
      <w:start w:val="1"/>
    </w:lvl>
  </w:abstractNum>
  <w:abstractNum w:abstractNumId="2">
    <w:nsid w:val="5F5E7FD0"/>
    <w:multiLevelType w:val="hybridMultilevel"/>
    <w:lvl w:ilvl="0">
      <w:lvlJc w:val="left"/>
      <w:lvlText w:val="(%1)"/>
      <w:numFmt w:val="decimal"/>
      <w:start w:val="1"/>
    </w:lvl>
    <w:lvl w:ilvl="1">
      <w:lvlJc w:val="left"/>
      <w:lvlText w:val="(%2)"/>
      <w:numFmt w:val="decimal"/>
      <w:start w:val="3"/>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1."/>
      <w:numFmt w:val="decimal"/>
      <w:start w:val="11"/>
    </w:lvl>
  </w:abstractNum>
  <w:abstractNum w:abstractNumId="5">
    <w:nsid w:val="6B9476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1)"/>
      <w:numFmt w:val="decimal"/>
      <w:start w:val="1"/>
    </w:lvl>
  </w:abstractNum>
  <w:abstractNum w:abstractNumId="8">
    <w:nsid w:val="1EBA5D23"/>
    <w:multiLevelType w:val="hybridMultilevel"/>
    <w:lvl w:ilvl="0">
      <w:lvlJc w:val="left"/>
      <w:lvlText w:val="(%1)"/>
      <w:numFmt w:val="decimal"/>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1)"/>
      <w:numFmt w:val="decimal"/>
      <w:start w:val="3"/>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lowerRoman"/>
      <w:start w:val="10"/>
    </w:lvl>
  </w:abstractNum>
  <w:abstractNum w:abstractNumId="13">
    <w:nsid w:val="51D9C564"/>
    <w:multiLevelType w:val="hybridMultilevel"/>
    <w:lvl w:ilvl="0">
      <w:lvlJc w:val="left"/>
      <w:lvlText w:val="(%1)"/>
      <w:numFmt w:val="lowerLetter"/>
      <w:start w:val="1"/>
    </w:lvl>
  </w:abstractNum>
  <w:abstractNum w:abstractNumId="14">
    <w:nsid w:val="613EFDC5"/>
    <w:multiLevelType w:val="hybridMultilevel"/>
    <w:lvl w:ilvl="0">
      <w:lvlJc w:val="left"/>
      <w:lvlText w:val="(%1)"/>
      <w:numFmt w:val="lowerLetter"/>
      <w:start w:val="1"/>
    </w:lvl>
    <w:lvl w:ilvl="1">
      <w:lvlJc w:val="left"/>
      <w:lvlText w:val="(%2)"/>
      <w:numFmt w:val="lowerRoman"/>
      <w:start w:val="1"/>
    </w:lvl>
  </w:abstractNum>
  <w:abstractNum w:abstractNumId="15">
    <w:nsid w:val="BF72B14"/>
    <w:multiLevelType w:val="hybridMultilevel"/>
    <w:lvl w:ilvl="0">
      <w:lvlJc w:val="left"/>
      <w:lvlText w:val="(%1)"/>
      <w:numFmt w:val="lowerRoman"/>
      <w:start w:val="3"/>
    </w:lvl>
    <w:lvl w:ilvl="1">
      <w:lvlJc w:val="left"/>
      <w:lvlText w:val="(%2)"/>
      <w:numFmt w:val="upperLetter"/>
      <w:start w:val="1"/>
    </w:lvl>
  </w:abstractNum>
  <w:abstractNum w:abstractNumId="16">
    <w:nsid w:val="11447B73"/>
    <w:multiLevelType w:val="hybridMultilevel"/>
    <w:lvl w:ilvl="0">
      <w:lvlJc w:val="left"/>
      <w:lvlText w:val="(%1)"/>
      <w:numFmt w:val="lowerRoman"/>
      <w:start w:val="2"/>
    </w:lvl>
    <w:lvl w:ilvl="1">
      <w:lvlJc w:val="left"/>
      <w:lvlText w:val="(%2)"/>
      <w:numFmt w:val="upperLetter"/>
      <w:start w:val="2"/>
    </w:lvl>
  </w:abstractNum>
  <w:abstractNum w:abstractNumId="17">
    <w:nsid w:val="42963E5A"/>
    <w:multiLevelType w:val="hybridMultilevel"/>
    <w:lvl w:ilvl="0">
      <w:lvlJc w:val="left"/>
      <w:lvlText w:val="(%1)"/>
      <w:numFmt w:val="lowerRoman"/>
      <w:start w:val="4"/>
    </w:lvl>
    <w:lvl w:ilvl="1">
      <w:lvlJc w:val="left"/>
      <w:lvlText w:val="%2"/>
      <w:numFmt w:val="upperLetter"/>
      <w:start w:val="1"/>
    </w:lvl>
  </w:abstractNum>
  <w:abstractNum w:abstractNumId="18">
    <w:nsid w:val="A0382C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
    <w:nsid w:val="8F2B15E"/>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0">
    <w:nsid w:val="1A32234B"/>
    <w:multiLevelType w:val="hybridMultilevel"/>
    <w:lvl w:ilvl="0">
      <w:lvlJc w:val="left"/>
      <w:lvlText w:val="%1"/>
      <w:numFmt w:val="lowerLetter"/>
      <w:start w:val="1"/>
    </w:lvl>
    <w:lvl w:ilvl="1">
      <w:lvlJc w:val="left"/>
      <w:lvlText w:val="(%2)"/>
      <w:numFmt w:val="lowerRoman"/>
      <w:start w:val="4"/>
    </w:lvl>
  </w:abstractNum>
  <w:abstractNum w:abstractNumId="21">
    <w:nsid w:val="3B0FD379"/>
    <w:multiLevelType w:val="hybridMultilevel"/>
    <w:lvl w:ilvl="0">
      <w:lvlJc w:val="left"/>
      <w:lvlText w:val="(%1)"/>
      <w:numFmt w:val="lowerLetter"/>
      <w:start w:val="4"/>
    </w:lvl>
    <w:lvl w:ilvl="1">
      <w:lvlJc w:val="left"/>
      <w:lvlText w:val="%2"/>
      <w:numFmt w:val="lowerRoman"/>
      <w:start w:val="1"/>
    </w:lvl>
  </w:abstractNum>
  <w:abstractNum w:abstractNumId="22">
    <w:nsid w:val="68EB2F63"/>
    <w:multiLevelType w:val="hybridMultilevel"/>
    <w:lvl w:ilvl="0">
      <w:lvlJc w:val="left"/>
      <w:lvlText w:val="(%1)"/>
      <w:numFmt w:val="lowerLetter"/>
      <w:start w:val="1"/>
    </w:lvl>
  </w:abstractNum>
  <w:abstractNum w:abstractNumId="23">
    <w:nsid w:val="4962813B"/>
    <w:multiLevelType w:val="hybridMultilevel"/>
    <w:lvl w:ilvl="0">
      <w:lvlJc w:val="left"/>
      <w:lvlText w:val="(%1)"/>
      <w:numFmt w:val="lowerLetter"/>
      <w:start w:val="3"/>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1)"/>
      <w:numFmt w:val="lowerLetter"/>
      <w:start w:val="1"/>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1"/>
    </w:lvl>
    <w:lvl w:ilvl="1">
      <w:lvlJc w:val="left"/>
      <w:lvlText w:val="(%2)"/>
      <w:numFmt w:val="lowerRoman"/>
      <w:start w:val="1"/>
    </w:lvl>
  </w:abstractNum>
  <w:abstractNum w:abstractNumId="28">
    <w:nsid w:val="1A27709E"/>
    <w:multiLevelType w:val="hybridMultilevel"/>
    <w:lvl w:ilvl="0">
      <w:lvlJc w:val="left"/>
      <w:lvlText w:val="(%1)"/>
      <w:numFmt w:val="lowerLetter"/>
      <w:start w:val="3"/>
    </w:lvl>
    <w:lvl w:ilvl="1">
      <w:lvlJc w:val="left"/>
      <w:lvlText w:val="(%2)"/>
      <w:numFmt w:val="lowerLetter"/>
      <w:start w:val="9"/>
    </w:lvl>
  </w:abstractNum>
  <w:abstractNum w:abstractNumId="29">
    <w:nsid w:val="71EA1109"/>
    <w:multiLevelType w:val="hybridMultilevel"/>
    <w:lvl w:ilvl="0">
      <w:lvlJc w:val="left"/>
      <w:lvlText w:val="%1"/>
      <w:numFmt w:val="upperLetter"/>
      <w:start w:val="1"/>
    </w:lvl>
    <w:lvl w:ilvl="1">
      <w:lvlJc w:val="left"/>
      <w:lvlText w:val="(%2)"/>
      <w:numFmt w:val="lowerRoman"/>
      <w:start w:val="2"/>
    </w:lvl>
  </w:abstractNum>
  <w:abstractNum w:abstractNumId="30">
    <w:nsid w:val="100F59DC"/>
    <w:multiLevelType w:val="hybridMultilevel"/>
    <w:lvl w:ilvl="0">
      <w:lvlJc w:val="left"/>
      <w:lvlText w:val="(%1)"/>
      <w:numFmt w:val="upperLetter"/>
      <w:start w:val="5"/>
    </w:lvl>
    <w:lvl w:ilvl="1">
      <w:lvlJc w:val="left"/>
      <w:lvlText w:val="(%2)"/>
      <w:numFmt w:val="lowerRoman"/>
      <w:start w:val="5"/>
    </w:lvl>
  </w:abstractNum>
  <w:abstractNum w:abstractNumId="31">
    <w:nsid w:val="7FB7E0AA"/>
    <w:multiLevelType w:val="hybridMultilevel"/>
    <w:lvl w:ilvl="0">
      <w:lvlJc w:val="left"/>
      <w:lvlText w:val="(%1)"/>
      <w:numFmt w:val="lowerLetter"/>
      <w:start w:val="4"/>
    </w:lvl>
    <w:lvl w:ilvl="1">
      <w:lvlJc w:val="left"/>
      <w:lvlText w:val="(%2)"/>
      <w:numFmt w:val="lowerRoman"/>
      <w:start w:val="1"/>
    </w:lvl>
  </w:abstractNum>
  <w:abstractNum w:abstractNumId="32">
    <w:nsid w:val="6EB5BD4"/>
    <w:multiLevelType w:val="hybridMultilevel"/>
    <w:lvl w:ilvl="0">
      <w:lvlJc w:val="left"/>
      <w:lvlText w:val="(%1)"/>
      <w:numFmt w:val="lowerRoman"/>
      <w:start w:val="6"/>
    </w:lvl>
  </w:abstractNum>
  <w:abstractNum w:abstractNumId="33">
    <w:nsid w:val="6F6DD9AC"/>
    <w:multiLevelType w:val="hybridMultilevel"/>
    <w:lvl w:ilvl="0">
      <w:lvlJc w:val="left"/>
      <w:lvlText w:val="(%1)"/>
      <w:numFmt w:val="lowerLetter"/>
      <w:start w:val="5"/>
    </w:lvl>
  </w:abstractNum>
  <w:abstractNum w:abstractNumId="34">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
    <w:nsid w:val="885E1B"/>
    <w:multiLevelType w:val="hybridMultilevel"/>
    <w:lvl w:ilvl="0">
      <w:lvlJc w:val="left"/>
      <w:lvlText w:val="(%1)"/>
      <w:numFmt w:val="upperLetter"/>
      <w:start w:val="1"/>
    </w:lvl>
  </w:abstractNum>
  <w:abstractNum w:abstractNumId="36">
    <w:nsid w:val="76272110"/>
    <w:multiLevelType w:val="hybridMultilevel"/>
    <w:lvl w:ilvl="0">
      <w:lvlJc w:val="left"/>
      <w:lvlText w:val="(%1)"/>
      <w:numFmt w:val="lowerLetter"/>
      <w:start w:val="2"/>
    </w:lvl>
    <w:lvl w:ilvl="1">
      <w:lvlJc w:val="left"/>
      <w:lvlText w:val="(%2)"/>
      <w:numFmt w:val="lowerLetter"/>
      <w:start w:val="9"/>
    </w:lvl>
  </w:abstractNum>
  <w:abstractNum w:abstractNumId="37">
    <w:nsid w:val="4C04A8AF"/>
    <w:multiLevelType w:val="hybridMultilevel"/>
    <w:lvl w:ilvl="0">
      <w:lvlJc w:val="left"/>
      <w:lvlText w:val="(%1)"/>
      <w:numFmt w:val="lowerRoman"/>
      <w:start w:val="2"/>
    </w:lvl>
  </w:abstractNum>
  <w:abstractNum w:abstractNumId="38">
    <w:nsid w:val="1716703B"/>
    <w:multiLevelType w:val="hybridMultilevel"/>
    <w:lvl w:ilvl="0">
      <w:lvlJc w:val="left"/>
      <w:lvlText w:val="(%1)"/>
      <w:numFmt w:val="upperLetter"/>
      <w:start w:val="1"/>
    </w:lvl>
  </w:abstractNum>
  <w:abstractNum w:abstractNumId="39">
    <w:nsid w:val="14E17E33"/>
    <w:multiLevelType w:val="hybridMultilevel"/>
    <w:lvl w:ilvl="0">
      <w:lvlJc w:val="left"/>
      <w:lvlText w:val="(%1)"/>
      <w:numFmt w:val="lowerLetter"/>
      <w:start w:val="1"/>
    </w:lvl>
    <w:lvl w:ilvl="1">
      <w:lvlJc w:val="left"/>
      <w:lvlText w:val="(%2)"/>
      <w:numFmt w:val="lowerRoman"/>
      <w:start w:val="1"/>
    </w:lvl>
  </w:abstractNum>
  <w:abstractNum w:abstractNumId="40">
    <w:nsid w:val="3222E7CD"/>
    <w:multiLevelType w:val="hybridMultilevel"/>
    <w:lvl w:ilvl="0">
      <w:lvlJc w:val="left"/>
      <w:lvlText w:val="(%1)"/>
      <w:numFmt w:val="lowerLetter"/>
      <w:start w:val="1"/>
    </w:lvl>
    <w:lvl w:ilvl="1">
      <w:lvlJc w:val="left"/>
      <w:lvlText w:val="(%2)"/>
      <w:numFmt w:val="upperLetter"/>
      <w:start w:val="1"/>
    </w:lvl>
  </w:abstractNum>
  <w:abstractNum w:abstractNumId="41">
    <w:nsid w:val="74DE0EE3"/>
    <w:multiLevelType w:val="hybridMultilevel"/>
    <w:lvl w:ilvl="0">
      <w:lvlJc w:val="left"/>
      <w:lvlText w:val="(%1)"/>
      <w:numFmt w:val="upperLetter"/>
      <w:start w:val="1"/>
    </w:lvl>
  </w:abstractNum>
  <w:abstractNum w:abstractNumId="42">
    <w:nsid w:val="68EBC550"/>
    <w:multiLevelType w:val="hybridMultilevel"/>
    <w:lvl w:ilvl="0">
      <w:lvlJc w:val="left"/>
      <w:lvlText w:val="(%1)"/>
      <w:numFmt w:val="lowerLetter"/>
      <w:start w:val="2"/>
    </w:lvl>
  </w:abstractNum>
  <w:abstractNum w:abstractNumId="43">
    <w:nsid w:val="2DF6D648"/>
    <w:multiLevelType w:val="hybridMultilevel"/>
    <w:lvl w:ilvl="0">
      <w:lvlJc w:val="left"/>
      <w:lvlText w:val="(%1)"/>
      <w:numFmt w:val="lowerLetter"/>
      <w:start w:val="1"/>
    </w:lvl>
    <w:lvl w:ilvl="1">
      <w:lvlJc w:val="left"/>
      <w:lvlText w:val="(%2)"/>
      <w:numFmt w:val="lowerRoman"/>
      <w:start w:val="1"/>
    </w:lvl>
  </w:abstractNum>
  <w:abstractNum w:abstractNumId="44">
    <w:nsid w:val="46B7D447"/>
    <w:multiLevelType w:val="hybridMultilevel"/>
    <w:lvl w:ilvl="0">
      <w:lvlJc w:val="left"/>
      <w:lvlText w:val="%1"/>
      <w:numFmt w:val="lowerLetter"/>
      <w:start w:val="1"/>
    </w:lvl>
    <w:lvl w:ilvl="1">
      <w:lvlJc w:val="left"/>
      <w:lvlText w:val="(%2)"/>
      <w:numFmt w:val="lowerRoman"/>
      <w:start w:val="9"/>
    </w:lvl>
  </w:abstractNum>
  <w:abstractNum w:abstractNumId="45">
    <w:nsid w:val="4A2AC315"/>
    <w:multiLevelType w:val="hybridMultilevel"/>
    <w:lvl w:ilvl="0">
      <w:lvlJc w:val="left"/>
      <w:lvlText w:val="(%1)"/>
      <w:numFmt w:val="lowerLetter"/>
      <w:start w:val="2"/>
    </w:lvl>
    <w:lvl w:ilvl="1">
      <w:lvlJc w:val="left"/>
      <w:lvlText w:val="%2"/>
      <w:numFmt w:val="lowerRoman"/>
      <w:start w:val="1"/>
    </w:lvl>
  </w:abstractNum>
  <w:abstractNum w:abstractNumId="46">
    <w:nsid w:val="39EE015C"/>
    <w:multiLevelType w:val="hybridMultilevel"/>
    <w:lvl w:ilvl="0">
      <w:lvlJc w:val="left"/>
      <w:lvlText w:val="(%1)"/>
      <w:numFmt w:val="lowerLetter"/>
      <w:start w:val="1"/>
    </w:lvl>
  </w:abstractNum>
  <w:abstractNum w:abstractNumId="47">
    <w:nsid w:val="57FC4FBB"/>
    <w:multiLevelType w:val="hybridMultilevel"/>
    <w:lvl w:ilvl="0">
      <w:lvlJc w:val="left"/>
      <w:lvlText w:val="%1"/>
      <w:numFmt w:val="lowerLetter"/>
      <w:start w:val="1"/>
    </w:lvl>
    <w:lvl w:ilvl="1">
      <w:lvlJc w:val="left"/>
      <w:lvlText w:val="(%2)"/>
      <w:numFmt w:val="lowerLetter"/>
      <w:start w:val="1"/>
    </w:lvl>
  </w:abstractNum>
  <w:abstractNum w:abstractNumId="48">
    <w:nsid w:val="CC1016F"/>
    <w:multiLevelType w:val="hybridMultilevel"/>
    <w:lvl w:ilvl="0">
      <w:lvlJc w:val="left"/>
      <w:lvlText w:val="(%1)"/>
      <w:numFmt w:val="lowerLetter"/>
      <w:start w:val="35"/>
    </w:lvl>
    <w:lvl w:ilvl="1">
      <w:lvlJc w:val="left"/>
      <w:lvlText w:val="(%2)"/>
      <w:numFmt w:val="lowerLetter"/>
      <w:start w:val="6"/>
    </w:lvl>
  </w:abstractNum>
  <w:abstractNum w:abstractNumId="49">
    <w:nsid w:val="43F18422"/>
    <w:multiLevelType w:val="hybridMultilevel"/>
    <w:lvl w:ilvl="0">
      <w:lvlJc w:val="left"/>
      <w:lvlText w:val="(%1)"/>
      <w:numFmt w:val="lowerLetter"/>
      <w:start w:val="9"/>
    </w:lvl>
  </w:abstractNum>
  <w:abstractNum w:abstractNumId="50">
    <w:nsid w:val="60EF0119"/>
    <w:multiLevelType w:val="hybridMultilevel"/>
    <w:lvl w:ilvl="0">
      <w:lvlJc w:val="left"/>
      <w:lvlText w:val="(%1)"/>
      <w:numFmt w:val="lowerLetter"/>
      <w:start w:val="15"/>
    </w:lvl>
  </w:abstractNum>
  <w:abstractNum w:abstractNumId="51">
    <w:nsid w:val="26F324BA"/>
    <w:multiLevelType w:val="hybridMultilevel"/>
    <w:lvl w:ilvl="0">
      <w:lvlJc w:val="left"/>
      <w:lvlText w:val="(%1)"/>
      <w:numFmt w:val="lowerLetter"/>
      <w:start w:val="27"/>
    </w:lvl>
  </w:abstractNum>
  <w:abstractNum w:abstractNumId="52">
    <w:nsid w:val="7F01579B"/>
    <w:multiLevelType w:val="hybridMultilevel"/>
    <w:lvl w:ilvl="0">
      <w:lvlJc w:val="left"/>
      <w:lvlText w:val="(%1)"/>
      <w:numFmt w:val="lowerRoman"/>
      <w:start w:val="2"/>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1)"/>
      <w:numFmt w:val="lowerLetter"/>
      <w:start w:val="8"/>
    </w:lvl>
  </w:abstractNum>
  <w:abstractNum w:abstractNumId="55">
    <w:nsid w:val="5FB8370B"/>
    <w:multiLevelType w:val="hybridMultilevel"/>
    <w:lvl w:ilvl="0">
      <w:lvlJc w:val="left"/>
      <w:lvlText w:val="(%1)"/>
      <w:numFmt w:val="lowerLetter"/>
      <w:start w:val="1"/>
    </w:lvl>
  </w:abstractNum>
  <w:abstractNum w:abstractNumId="56">
    <w:nsid w:val="50801EE1"/>
    <w:multiLevelType w:val="hybridMultilevel"/>
    <w:lvl w:ilvl="0">
      <w:lvlJc w:val="left"/>
      <w:lvlText w:val="(%1)"/>
      <w:numFmt w:val="lowerLetter"/>
      <w:start w:val="7"/>
    </w:lvl>
  </w:abstractNum>
  <w:abstractNum w:abstractNumId="57">
    <w:nsid w:val="488AC1A"/>
    <w:multiLevelType w:val="hybridMultilevel"/>
    <w:lvl w:ilvl="0">
      <w:lvlJc w:val="left"/>
      <w:lvlText w:val="(%1)"/>
      <w:numFmt w:val="lowerLetter"/>
      <w:start w:val="1"/>
    </w:lvl>
  </w:abstractNum>
  <w:abstractNum w:abstractNumId="58">
    <w:nsid w:val="5FB8011C"/>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59">
    <w:nsid w:val="6AA78F7F"/>
    <w:multiLevelType w:val="hybridMultilevel"/>
    <w:lvl w:ilvl="0">
      <w:lvlJc w:val="left"/>
      <w:lvlText w:val="(%1)"/>
      <w:numFmt w:val="upperLetter"/>
      <w:start w:val="2"/>
    </w:lvl>
    <w:lvl w:ilvl="1">
      <w:lvlJc w:val="left"/>
      <w:lvlText w:val="(%2)"/>
      <w:numFmt w:val="lowerLetter"/>
      <w:start w:val="12"/>
    </w:lvl>
    <w:lvl w:ilvl="2">
      <w:lvlJc w:val="left"/>
      <w:lvlText w:val="(%3)"/>
      <w:numFmt w:val="lowerRoman"/>
      <w:start w:val="1"/>
    </w:lvl>
  </w:abstractNum>
  <w:abstractNum w:abstractNumId="60">
    <w:nsid w:val="7672BD23"/>
    <w:multiLevelType w:val="hybridMultilevel"/>
    <w:lvl w:ilvl="0">
      <w:lvlJc w:val="left"/>
      <w:lvlText w:val="(%1)"/>
      <w:numFmt w:val="lowerLetter"/>
      <w:start w:val="13"/>
    </w:lvl>
  </w:abstractNum>
  <w:abstractNum w:abstractNumId="61">
    <w:nsid w:val="6FC75AF8"/>
    <w:multiLevelType w:val="hybridMultilevel"/>
    <w:lvl w:ilvl="0">
      <w:lvlJc w:val="left"/>
      <w:lvlText w:val="%1"/>
      <w:numFmt w:val="lowerLetter"/>
      <w:start w:val="1"/>
    </w:lvl>
    <w:lvl w:ilvl="1">
      <w:lvlJc w:val="left"/>
      <w:lvlText w:val="(%2)"/>
      <w:numFmt w:val="lowerLetter"/>
      <w:start w:val="1"/>
    </w:lvl>
  </w:abstractNum>
  <w:abstractNum w:abstractNumId="62">
    <w:nsid w:val="6A5F7029"/>
    <w:multiLevelType w:val="hybridMultilevel"/>
    <w:lvl w:ilvl="0">
      <w:lvlJc w:val="left"/>
      <w:lvlText w:val="(%1)"/>
      <w:numFmt w:val="lowerLetter"/>
      <w:start w:val="61"/>
    </w:lvl>
    <w:lvl w:ilvl="1">
      <w:lvlJc w:val="left"/>
      <w:lvlText w:val="(%2)"/>
      <w:numFmt w:val="lowerLetter"/>
      <w:start w:val="3"/>
    </w:lvl>
  </w:abstractNum>
  <w:abstractNum w:abstractNumId="63">
    <w:nsid w:val="7D5E18F8"/>
    <w:multiLevelType w:val="hybridMultilevel"/>
    <w:lvl w:ilvl="0">
      <w:lvlJc w:val="left"/>
      <w:lvlText w:val="(%1)"/>
      <w:numFmt w:val="lowerLetter"/>
      <w:start w:val="10"/>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3"/>
    </w:lvl>
  </w:abstractNum>
  <w:abstractNum w:abstractNumId="66">
    <w:nsid w:val="7DE67713"/>
    <w:multiLevelType w:val="hybridMultilevel"/>
    <w:lvl w:ilvl="0">
      <w:lvlJc w:val="left"/>
      <w:lvlText w:val="%1"/>
      <w:numFmt w:val="lowerLetter"/>
      <w:start w:val="1"/>
    </w:lvl>
    <w:lvl w:ilvl="1">
      <w:lvlJc w:val="left"/>
      <w:lvlText w:val="(%2)"/>
      <w:numFmt w:val="lowerLetter"/>
      <w:start w:val="1"/>
    </w:lvl>
  </w:abstractNum>
  <w:abstractNum w:abstractNumId="67">
    <w:nsid w:val="555C55B5"/>
    <w:multiLevelType w:val="hybridMultilevel"/>
    <w:lvl w:ilvl="0">
      <w:lvlJc w:val="left"/>
      <w:lvlText w:val="(%1)"/>
      <w:numFmt w:val="lowerLetter"/>
      <w:start w:val="9"/>
    </w:lvl>
    <w:lvl w:ilvl="1">
      <w:lvlJc w:val="left"/>
      <w:lvlText w:val="(%2)"/>
      <w:numFmt w:val="lowerLetter"/>
      <w:start w:val="6"/>
    </w:lvl>
  </w:abstractNum>
  <w:abstractNum w:abstractNumId="68">
    <w:nsid w:val="3FA62ACA"/>
    <w:multiLevelType w:val="hybridMultilevel"/>
    <w:lvl w:ilvl="0">
      <w:lvlJc w:val="left"/>
      <w:lvlText w:val="%1"/>
      <w:numFmt w:val="lowerLetter"/>
      <w:start w:val="1"/>
    </w:lvl>
    <w:lvl w:ilvl="1">
      <w:lvlJc w:val="left"/>
      <w:lvlText w:val="(%2)"/>
      <w:numFmt w:val="lowerLetter"/>
      <w:start w:val="1"/>
    </w:lvl>
  </w:abstractNum>
  <w:abstractNum w:abstractNumId="69">
    <w:nsid w:val="14FCE74E"/>
    <w:multiLevelType w:val="hybridMultilevel"/>
    <w:lvl w:ilvl="0">
      <w:lvlJc w:val="left"/>
      <w:lvlText w:val="(%1)"/>
      <w:numFmt w:val="lowerLetter"/>
      <w:start w:val="35"/>
    </w:lvl>
    <w:lvl w:ilvl="1">
      <w:lvlJc w:val="left"/>
      <w:lvlText w:val="(%2)"/>
      <w:numFmt w:val="lowerLetter"/>
      <w:start w:val="2"/>
    </w:lvl>
  </w:abstractNum>
  <w:abstractNum w:abstractNumId="70">
    <w:nsid w:val="6A3DD3E8"/>
    <w:multiLevelType w:val="hybridMultilevel"/>
    <w:lvl w:ilvl="0">
      <w:lvlJc w:val="left"/>
      <w:lvlText w:val="(%1)"/>
      <w:numFmt w:val="lowerLetter"/>
      <w:start w:val="1"/>
    </w:lvl>
    <w:lvl w:ilvl="1">
      <w:lvlJc w:val="left"/>
      <w:lvlText w:val="(%2)"/>
      <w:numFmt w:val="lowerRoman"/>
      <w:start w:val="1"/>
    </w:lvl>
  </w:abstractNum>
  <w:abstractNum w:abstractNumId="71">
    <w:nsid w:val="71C91298"/>
    <w:multiLevelType w:val="hybridMultilevel"/>
    <w:lvl w:ilvl="0">
      <w:lvlJc w:val="left"/>
      <w:lvlText w:val="(%1)"/>
      <w:numFmt w:val="upperLetter"/>
      <w:start w:val="1"/>
    </w:lvl>
    <w:lvl w:ilvl="1">
      <w:lvlJc w:val="left"/>
      <w:lvlText w:val="(%2)"/>
      <w:numFmt w:val="lowerRoman"/>
      <w:start w:val="4"/>
    </w:lvl>
  </w:abstractNum>
  <w:abstractNum w:abstractNumId="72">
    <w:nsid w:val="9DAF632"/>
    <w:multiLevelType w:val="hybridMultilevel"/>
    <w:lvl w:ilvl="0">
      <w:lvlJc w:val="left"/>
      <w:lvlText w:val="(%1)"/>
      <w:numFmt w:val="lowerLetter"/>
      <w:start w:val="1"/>
    </w:lvl>
  </w:abstractNum>
  <w:abstractNum w:abstractNumId="73">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1FBFE8E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5">
    <w:nsid w:val="5092CA79"/>
    <w:multiLevelType w:val="hybridMultilevel"/>
    <w:lvl w:ilvl="0">
      <w:lvlJc w:val="left"/>
      <w:lvlText w:val="(%1)"/>
      <w:numFmt w:val="lowerLetter"/>
      <w:start w:val="3"/>
    </w:lvl>
  </w:abstractNum>
  <w:abstractNum w:abstractNumId="76">
    <w:nsid w:val="1D545C4D"/>
    <w:multiLevelType w:val="hybridMultilevel"/>
    <w:lvl w:ilvl="0">
      <w:lvlJc w:val="left"/>
      <w:lvlText w:val="(%1)"/>
      <w:numFmt w:val="lowerLetter"/>
      <w:start w:val="1"/>
    </w:lvl>
  </w:abstractNum>
  <w:abstractNum w:abstractNumId="77">
    <w:nsid w:val="59ADEA3D"/>
    <w:multiLevelType w:val="hybridMultilevel"/>
    <w:lvl w:ilvl="0">
      <w:lvlJc w:val="left"/>
      <w:lvlText w:val="(%1)"/>
      <w:numFmt w:val="lowerLetter"/>
      <w:start w:val="4"/>
    </w:lvl>
  </w:abstractNum>
  <w:abstractNum w:abstractNumId="78">
    <w:nsid w:val="288F1A34"/>
    <w:multiLevelType w:val="hybridMultilevel"/>
    <w:lvl w:ilvl="0">
      <w:lvlJc w:val="left"/>
      <w:lvlText w:val="(%1)"/>
      <w:numFmt w:val="lowerLetter"/>
      <w:start w:val="18"/>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1"/>
    </w:lvl>
  </w:abstractNum>
  <w:abstractNum w:abstractNumId="81">
    <w:nsid w:val="97E1B4E"/>
    <w:multiLevelType w:val="hybridMultilevel"/>
    <w:lvl w:ilvl="0">
      <w:lvlJc w:val="left"/>
      <w:lvlText w:val="(%1)"/>
      <w:numFmt w:val="lowerLetter"/>
      <w:start w:val="1"/>
    </w:lvl>
  </w:abstractNum>
  <w:abstractNum w:abstractNumId="82">
    <w:nsid w:val="51088277"/>
    <w:multiLevelType w:val="hybridMultilevel"/>
    <w:lvl w:ilvl="0">
      <w:lvlJc w:val="left"/>
      <w:lvlText w:val="%1"/>
      <w:numFmt w:val="lowerLetter"/>
      <w:start w:val="1"/>
    </w:lvl>
    <w:lvl w:ilvl="1">
      <w:lvlJc w:val="left"/>
      <w:lvlText w:val="(%2)"/>
      <w:numFmt w:val="lowerLetter"/>
      <w:start w:val="3"/>
    </w:lvl>
  </w:abstractNum>
  <w:abstractNum w:abstractNumId="83">
    <w:nsid w:val="1CA0C5FA"/>
    <w:multiLevelType w:val="hybridMultilevel"/>
    <w:lvl w:ilvl="0">
      <w:lvlJc w:val="left"/>
      <w:lvlText w:val="(%1)"/>
      <w:numFmt w:val="lowerLetter"/>
      <w:start w:val="24"/>
    </w:lvl>
    <w:lvl w:ilvl="1">
      <w:lvlJc w:val="left"/>
      <w:lvlText w:val="%2"/>
      <w:numFmt w:val="lowerLetter"/>
      <w:start w:val="1"/>
    </w:lvl>
  </w:abstractNum>
  <w:abstractNum w:abstractNumId="84">
    <w:nsid w:val="53584BCB"/>
    <w:multiLevelType w:val="hybridMultilevel"/>
    <w:lvl w:ilvl="0">
      <w:lvlJc w:val="left"/>
      <w:lvlText w:val="(%1)"/>
      <w:numFmt w:val="lowerLetter"/>
      <w:start w:val="61"/>
    </w:lvl>
    <w:lvl w:ilvl="1">
      <w:lvlJc w:val="left"/>
      <w:lvlText w:val="(%2)"/>
      <w:numFmt w:val="lowerLetter"/>
      <w:start w:val="4"/>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23D86AA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88">
    <w:nsid w:val="45E6D486"/>
    <w:multiLevelType w:val="hybridMultilevel"/>
    <w:lvl w:ilvl="0">
      <w:lvlJc w:val="left"/>
      <w:lvlText w:val="%1"/>
      <w:numFmt w:val="lowerLetter"/>
      <w:start w:val="1"/>
    </w:lvl>
    <w:lvl w:ilvl="1">
      <w:lvlJc w:val="left"/>
      <w:lvlText w:val="(%2)"/>
      <w:numFmt w:val="lowerRoman"/>
      <w:start w:val="12"/>
    </w:lvl>
  </w:abstractNum>
  <w:abstractNum w:abstractNumId="89">
    <w:nsid w:val="5C10FE21"/>
    <w:multiLevelType w:val="hybridMultilevel"/>
    <w:lvl w:ilvl="0">
      <w:lvlJc w:val="left"/>
      <w:lvlText w:val="(%1)"/>
      <w:numFmt w:val="lowerLetter"/>
      <w:start w:val="2"/>
    </w:lvl>
    <w:lvl w:ilvl="1">
      <w:lvlJc w:val="left"/>
      <w:lvlText w:val="%2"/>
      <w:numFmt w:val="lowerRoman"/>
      <w:start w:val="1"/>
    </w:lvl>
  </w:abstractNum>
  <w:abstractNum w:abstractNumId="90">
    <w:nsid w:val="E7FFA2B"/>
    <w:multiLevelType w:val="hybridMultilevel"/>
    <w:lvl w:ilvl="0">
      <w:lvlJc w:val="left"/>
      <w:lvlText w:val="(%1)"/>
      <w:numFmt w:val="lowerLetter"/>
      <w:start w:val="1"/>
    </w:lvl>
    <w:lvl w:ilvl="1">
      <w:lvlJc w:val="left"/>
      <w:lvlText w:val="(%2)"/>
      <w:numFmt w:val="lowerRoman"/>
      <w:start w:val="1"/>
    </w:lvl>
  </w:abstractNum>
  <w:abstractNum w:abstractNumId="91">
    <w:nsid w:val="3C5991AA"/>
    <w:multiLevelType w:val="hybridMultilevel"/>
    <w:lvl w:ilvl="0">
      <w:lvlJc w:val="left"/>
      <w:lvlText w:val="(%1)"/>
      <w:numFmt w:val="lowerLetter"/>
      <w:start w:val="3"/>
    </w:lvl>
  </w:abstractNum>
  <w:abstractNum w:abstractNumId="92">
    <w:nsid w:val="4BD8591A"/>
    <w:multiLevelType w:val="hybridMultilevel"/>
    <w:lvl w:ilvl="0">
      <w:lvlJc w:val="left"/>
      <w:lvlText w:val="(%1)"/>
      <w:numFmt w:val="lowerLetter"/>
      <w:start w:val="1"/>
    </w:lvl>
    <w:lvl w:ilvl="1">
      <w:lvlJc w:val="left"/>
      <w:lvlText w:val="(%2)"/>
      <w:numFmt w:val="lowerRoman"/>
      <w:start w:val="1"/>
    </w:lvl>
  </w:abstractNum>
  <w:abstractNum w:abstractNumId="93">
    <w:nsid w:val="78DF6A55"/>
    <w:multiLevelType w:val="hybridMultilevel"/>
    <w:lvl w:ilvl="0">
      <w:lvlJc w:val="left"/>
      <w:lvlText w:val="(%1)"/>
      <w:numFmt w:val="lowerLetter"/>
      <w:start w:val="2"/>
    </w:lvl>
    <w:lvl w:ilvl="1">
      <w:lvlJc w:val="left"/>
      <w:lvlText w:val="(%2)"/>
      <w:numFmt w:val="lowerRoman"/>
      <w:start w:val="1"/>
    </w:lvl>
  </w:abstractNum>
  <w:abstractNum w:abstractNumId="94">
    <w:nsid w:val="39B7AAA2"/>
    <w:multiLevelType w:val="hybridMultilevel"/>
    <w:lvl w:ilvl="0">
      <w:lvlJc w:val="left"/>
      <w:lvlText w:val="(%1)"/>
      <w:numFmt w:val="lowerLetter"/>
      <w:start w:val="3"/>
    </w:lvl>
    <w:lvl w:ilvl="1">
      <w:lvlJc w:val="left"/>
      <w:lvlText w:val="(%2)"/>
      <w:numFmt w:val="lowerRoman"/>
      <w:start w:val="1"/>
    </w:lvl>
  </w:abstractNum>
  <w:abstractNum w:abstractNumId="95">
    <w:nsid w:val="2B0D8DBE"/>
    <w:multiLevelType w:val="hybridMultilevel"/>
    <w:lvl w:ilvl="0">
      <w:lvlJc w:val="left"/>
      <w:lvlText w:val="(%1)"/>
      <w:numFmt w:val="lowerLetter"/>
      <w:start w:val="4"/>
    </w:lvl>
  </w:abstractNum>
  <w:abstractNum w:abstractNumId="96">
    <w:nsid w:val="6C80EC70"/>
    <w:multiLevelType w:val="hybridMultilevel"/>
    <w:lvl w:ilvl="0">
      <w:lvlJc w:val="left"/>
      <w:lvlText w:val="(%1)"/>
      <w:numFmt w:val="lowerLetter"/>
      <w:start w:val="1"/>
    </w:lvl>
  </w:abstractNum>
  <w:abstractNum w:abstractNumId="97">
    <w:nsid w:val="379E21B5"/>
    <w:multiLevelType w:val="hybridMultilevel"/>
    <w:lvl w:ilvl="0">
      <w:lvlJc w:val="left"/>
      <w:lvlText w:val="(%1)"/>
      <w:numFmt w:val="lowerLetter"/>
      <w:start w:val="2"/>
    </w:lvl>
  </w:abstractNum>
  <w:abstractNum w:abstractNumId="98">
    <w:nsid w:val="69E373"/>
    <w:multiLevelType w:val="hybridMultilevel"/>
    <w:lvl w:ilvl="0">
      <w:lvlJc w:val="left"/>
      <w:lvlText w:val="(%1)"/>
      <w:numFmt w:val="upperLetter"/>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1)"/>
      <w:numFmt w:val="lowerRoman"/>
      <w:start w:val="1"/>
    </w:lvl>
  </w:abstractNum>
  <w:abstractNum w:abstractNumId="101">
    <w:nsid w:val="6AA7B75C"/>
    <w:multiLevelType w:val="hybridMultilevel"/>
    <w:lvl w:ilvl="0">
      <w:lvlJc w:val="left"/>
      <w:lvlText w:val="(%1)"/>
      <w:numFmt w:val="lowerRoman"/>
      <w:start w:val="2"/>
    </w:lvl>
  </w:abstractNum>
  <w:abstractNum w:abstractNumId="102">
    <w:nsid w:val="1DF029D3"/>
    <w:multiLevelType w:val="hybridMultilevel"/>
    <w:lvl w:ilvl="0">
      <w:lvlJc w:val="left"/>
      <w:lvlText w:val="(%1)"/>
      <w:numFmt w:val="lowerRoman"/>
      <w:start w:val="1"/>
    </w:lvl>
  </w:abstractNum>
  <w:abstractNum w:abstractNumId="103">
    <w:nsid w:val="5675FF36"/>
    <w:multiLevelType w:val="hybridMultilevel"/>
    <w:lvl w:ilvl="0">
      <w:lvlJc w:val="left"/>
      <w:lvlText w:val="%1"/>
      <w:numFmt w:val="lowerRoman"/>
      <w:start w:val="1"/>
    </w:lvl>
    <w:lvl w:ilvl="1">
      <w:lvlJc w:val="left"/>
      <w:lvlText w:val="(%2)"/>
      <w:numFmt w:val="lowerRoman"/>
      <w:start w:val="3"/>
    </w:lvl>
  </w:abstractNum>
  <w:abstractNum w:abstractNumId="104">
    <w:nsid w:val="3DD15094"/>
    <w:multiLevelType w:val="hybridMultilevel"/>
    <w:lvl w:ilvl="0">
      <w:lvlJc w:val="left"/>
      <w:lvlText w:val="(%1)"/>
      <w:numFmt w:val="lowerRoman"/>
      <w:start w:val="14"/>
    </w:lvl>
    <w:lvl w:ilvl="1">
      <w:lvlJc w:val="left"/>
      <w:lvlText w:val="%2"/>
      <w:numFmt w:val="lowerRoman"/>
      <w:start w:val="1"/>
    </w:lvl>
  </w:abstractNum>
  <w:abstractNum w:abstractNumId="105">
    <w:nsid w:val="3DB012B3"/>
    <w:multiLevelType w:val="hybridMultilevel"/>
    <w:lvl w:ilvl="0">
      <w:lvlJc w:val="left"/>
      <w:lvlText w:val="%1"/>
      <w:numFmt w:val="upperLetter"/>
      <w:start w:val="1"/>
    </w:lvl>
    <w:lvl w:ilvl="1">
      <w:lvlJc w:val="left"/>
      <w:lvlText w:val="(%2)"/>
      <w:numFmt w:val="lowerRoman"/>
      <w:start w:val="15"/>
    </w:lvl>
  </w:abstractNum>
  <w:abstractNum w:abstractNumId="106">
    <w:nsid w:val="2708C9AF"/>
    <w:multiLevelType w:val="hybridMultilevel"/>
    <w:lvl w:ilvl="0">
      <w:lvlJc w:val="left"/>
      <w:lvlText w:val="(%1)"/>
      <w:numFmt w:val="upperLetter"/>
      <w:start w:val="3"/>
    </w:lvl>
    <w:lvl w:ilvl="1">
      <w:lvlJc w:val="left"/>
      <w:lvlText w:val="%2"/>
      <w:numFmt w:val="lowerRoman"/>
      <w:start w:val="1"/>
    </w:lvl>
  </w:abstractNum>
  <w:abstractNum w:abstractNumId="107">
    <w:nsid w:val="5B25ACE2"/>
    <w:multiLevelType w:val="hybridMultilevel"/>
    <w:lvl w:ilvl="0">
      <w:lvlJc w:val="left"/>
      <w:lvlText w:val="(%1)"/>
      <w:numFmt w:val="upperLetter"/>
      <w:start w:val="7"/>
    </w:lvl>
    <w:lvl w:ilvl="1">
      <w:lvlJc w:val="left"/>
      <w:lvlText w:val="(%2)"/>
      <w:numFmt w:val="lowerRoman"/>
      <w:start w:val="16"/>
    </w:lvl>
  </w:abstractNum>
  <w:abstractNum w:abstractNumId="108">
    <w:nsid w:val="175DFCF0"/>
    <w:multiLevelType w:val="hybridMultilevel"/>
    <w:lvl w:ilvl="0">
      <w:lvlJc w:val="left"/>
      <w:lvlText w:val="(%1)"/>
      <w:numFmt w:val="lowerRoman"/>
      <w:start w:val="1"/>
    </w:lvl>
  </w:abstractNum>
  <w:abstractNum w:abstractNumId="109">
    <w:nsid w:val="4F97E3E4"/>
    <w:multiLevelType w:val="hybridMultilevel"/>
    <w:lvl w:ilvl="0">
      <w:lvlJc w:val="left"/>
      <w:lvlText w:val="(%1)"/>
      <w:numFmt w:val="lowerRoman"/>
      <w:start w:val="1"/>
    </w:lvl>
  </w:abstractNum>
  <w:abstractNum w:abstractNumId="110">
    <w:nsid w:val="53B0A9E"/>
    <w:multiLevelType w:val="hybridMultilevel"/>
    <w:lvl w:ilvl="0">
      <w:lvlJc w:val="left"/>
      <w:lvlText w:val="(%1)"/>
      <w:numFmt w:val="lowerRoman"/>
      <w:start w:val="1"/>
    </w:lvl>
  </w:abstractNum>
  <w:abstractNum w:abstractNumId="111">
    <w:nsid w:val="34FD6B4F"/>
    <w:multiLevelType w:val="hybridMultilevel"/>
    <w:lvl w:ilvl="0">
      <w:lvlJc w:val="left"/>
      <w:lvlText w:val="(%1)"/>
      <w:numFmt w:val="lowerRoman"/>
      <w:start w:val="1"/>
    </w:lvl>
  </w:abstractNum>
  <w:abstractNum w:abstractNumId="112">
    <w:nsid w:val="5915FF32"/>
    <w:multiLevelType w:val="hybridMultilevel"/>
    <w:lvl w:ilvl="0">
      <w:lvlJc w:val="left"/>
      <w:lvlText w:val="(%1)"/>
      <w:numFmt w:val="lowerRoman"/>
      <w:start w:val="1"/>
    </w:lvl>
  </w:abstractNum>
  <w:abstractNum w:abstractNumId="113">
    <w:nsid w:val="56438D15"/>
    <w:multiLevelType w:val="hybridMultilevel"/>
    <w:lvl w:ilvl="0">
      <w:lvlJc w:val="left"/>
      <w:lvlText w:val="(%1)"/>
      <w:numFmt w:val="lowerRoman"/>
      <w:start w:val="1"/>
    </w:lvl>
  </w:abstractNum>
  <w:abstractNum w:abstractNumId="114">
    <w:nsid w:val="519E3149"/>
    <w:multiLevelType w:val="hybridMultilevel"/>
    <w:lvl w:ilvl="0">
      <w:lvlJc w:val="left"/>
      <w:lvlText w:val="(%1)"/>
      <w:numFmt w:val="lowerRoman"/>
      <w:start w:val="1"/>
    </w:lvl>
  </w:abstractNum>
  <w:abstractNum w:abstractNumId="115">
    <w:nsid w:val="2C6E4AFD"/>
    <w:multiLevelType w:val="hybridMultilevel"/>
    <w:lvl w:ilvl="0">
      <w:lvlJc w:val="left"/>
      <w:lvlText w:val="(%1)"/>
      <w:numFmt w:val="lowerRoman"/>
      <w:start w:val="2"/>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upperLetter"/>
      <w:start w:val="3"/>
    </w:lvl>
  </w:abstractNum>
  <w:abstractNum w:abstractNumId="118">
    <w:nsid w:val="5046B5A9"/>
    <w:multiLevelType w:val="hybridMultilevel"/>
    <w:lvl w:ilvl="0">
      <w:lvlJc w:val="left"/>
      <w:lvlText w:val="(%1)"/>
      <w:numFmt w:val="upperLetter"/>
      <w:start w:val="2"/>
    </w:lvl>
  </w:abstractNum>
  <w:abstractNum w:abstractNumId="119">
    <w:nsid w:val="5D888A08"/>
    <w:multiLevelType w:val="hybridMultilevel"/>
    <w:lvl w:ilvl="0">
      <w:lvlJc w:val="left"/>
      <w:lvlText w:val="(%1)"/>
      <w:numFmt w:val="lowerRoman"/>
      <w:start w:val="1"/>
    </w:lvl>
    <w:lvl w:ilvl="1">
      <w:lvlJc w:val="left"/>
      <w:lvlText w:val="(%2)"/>
      <w:numFmt w:val="upperLetter"/>
      <w:start w:val="1"/>
    </w:lvl>
  </w:abstractNum>
  <w:abstractNum w:abstractNumId="120">
    <w:nsid w:val="2A082C70"/>
    <w:multiLevelType w:val="hybridMultilevel"/>
    <w:lvl w:ilvl="0">
      <w:lvlJc w:val="left"/>
      <w:lvlText w:val="(%1)"/>
      <w:numFmt w:val="lowerRoman"/>
      <w:start w:val="2"/>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Roman"/>
      <w:start w:val="1"/>
    </w:lvl>
  </w:abstractNum>
  <w:abstractNum w:abstractNumId="124">
    <w:nsid w:val="57A61A29"/>
    <w:multiLevelType w:val="hybridMultilevel"/>
    <w:lvl w:ilvl="0">
      <w:lvlJc w:val="left"/>
      <w:lvlText w:val="(%1)"/>
      <w:numFmt w:val="upperLetter"/>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decimal"/>
      <w:start w:val="2"/>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lvl w:ilvl="1">
      <w:lvlJc w:val="left"/>
      <w:lvlText w:val="(%2)"/>
      <w:numFmt w:val="lowerLetter"/>
      <w:start w:val="1"/>
    </w:lvl>
  </w:abstractNum>
  <w:abstractNum w:abstractNumId="130">
    <w:nsid w:val="704E1DD5"/>
    <w:multiLevelType w:val="hybridMultilevel"/>
    <w:lvl w:ilvl="0">
      <w:lvlJc w:val="left"/>
      <w:lvlText w:val="(%1)"/>
      <w:numFmt w:val="lowerLetter"/>
      <w:start w:val="35"/>
    </w:lvl>
    <w:lvl w:ilvl="1">
      <w:lvlJc w:val="left"/>
      <w:lvlText w:val="%2"/>
      <w:numFmt w:val="lowerLetter"/>
      <w:start w:val="1"/>
    </w:lvl>
  </w:abstractNum>
  <w:abstractNum w:abstractNumId="131">
    <w:nsid w:val="57D2F10E"/>
    <w:multiLevelType w:val="hybridMultilevel"/>
    <w:lvl w:ilvl="0">
      <w:lvlJc w:val="left"/>
      <w:lvlText w:val="(%1)"/>
      <w:numFmt w:val="lowerLetter"/>
      <w:start w:val="1"/>
    </w:lvl>
  </w:abstractNum>
  <w:abstractNum w:abstractNumId="132">
    <w:nsid w:val="BFFAE18"/>
    <w:multiLevelType w:val="hybridMultilevel"/>
    <w:lvl w:ilvl="0">
      <w:lvlJc w:val="left"/>
      <w:lvlText w:val="(%1)"/>
      <w:numFmt w:val="lowerLetter"/>
      <w:start w:val="6"/>
    </w:lvl>
  </w:abstractNum>
  <w:abstractNum w:abstractNumId="133">
    <w:nsid w:val="E3E47A8"/>
    <w:multiLevelType w:val="hybridMultilevel"/>
    <w:lvl w:ilvl="0">
      <w:lvlJc w:val="left"/>
      <w:lvlText w:val="(%1)"/>
      <w:numFmt w:val="decimal"/>
      <w:start w:val="3"/>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19" Type="http://schemas.openxmlformats.org/officeDocument/2006/relationships/hyperlink" Target="http://www.sec.gov/Archives/edgar/data/1069202/000119312513474576/d644537dex31.htm" TargetMode="External"/><Relationship Id="rId20" Type="http://schemas.openxmlformats.org/officeDocument/2006/relationships/hyperlink" Target="http://www.sec.gov/Archives/edgar/data/1017609/000095012310042399/d72548exv4w3.htm" TargetMode="External"/><Relationship Id="rId21" Type="http://schemas.openxmlformats.org/officeDocument/2006/relationships/hyperlink" Target="http://www.sec.gov/Archives/edgar/data/1017609/000095012310042399/d72548exv4w11.htm" TargetMode="External"/><Relationship Id="rId22" Type="http://schemas.openxmlformats.org/officeDocument/2006/relationships/hyperlink" Target="http://www.sec.gov/Archives/edgar/data/1069202/000095012311039069/d81114exv4w4.htm" TargetMode="External"/><Relationship Id="rId23" Type="http://schemas.openxmlformats.org/officeDocument/2006/relationships/hyperlink" Target="http://www.sec.gov/Archives/edgar/data/1069202/000106920214000002/lii-ex45_20131231x10k.htm" TargetMode="External"/><Relationship Id="rId24" Type="http://schemas.openxmlformats.org/officeDocument/2006/relationships/hyperlink" Target="http://www.sec.gov/Archives/edgar/data/1069202/000106920216000024/ex46fifthsupplementalinden.htm" TargetMode="External"/><Relationship Id="rId25" Type="http://schemas.openxmlformats.org/officeDocument/2006/relationships/hyperlink" Target="http://www.sec.gov/Archives/edgar/data/1069202/000119312516758285/d28419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2019-12-28T23:05:36Z</dcterms:created>
  <dcterms:modified xsi:type="dcterms:W3CDTF">2019-12-28T23:05:36Z</dcterms:modified>
</cp:coreProperties>
</file>