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March 31, 2026</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29"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0" w:right="339" w:bottom="1440" w:gutter="0" w:footer="0" w:header="0"/>
        </w:sectPr>
      </w:pPr>
    </w:p>
    <w:p>
      <w:pPr>
        <w:spacing w:after="0" w:line="24"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9"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80" w:space="720"/>
            <w:col w:w="1420" w:space="720"/>
            <w:col w:w="4000"/>
          </w:cols>
          <w:pgMar w:left="320" w:top="1420" w:right="339" w:bottom="1440" w:gutter="0" w:footer="0" w:header="0"/>
          <w:type w:val="continuous"/>
        </w:sectPr>
      </w:pPr>
    </w:p>
    <w:p>
      <w:pPr>
        <w:jc w:val="both"/>
        <w:ind w:firstLine="240"/>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6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0" w:lineRule="exact"/>
        <w:rPr>
          <w:sz w:val="24"/>
          <w:szCs w:val="24"/>
          <w:color w:val="auto"/>
        </w:rPr>
      </w:pPr>
    </w:p>
    <w:p>
      <w:pPr>
        <w:ind w:firstLine="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left="240" w:right="250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22, 2026, the number of shares outstanding of the registrant’s common stock, par value $0.01 per share, was 34,799,968.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812800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7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80" w:type="dxa"/>
            <w:vAlign w:val="bottom"/>
            <w:shd w:val="clear" w:color="auto" w:fill="CCEEFF"/>
          </w:tcPr>
          <w:p>
            <w:pPr>
              <w:spacing w:after="0"/>
              <w:rPr>
                <w:sz w:val="13"/>
                <w:szCs w:val="13"/>
                <w:color w:val="auto"/>
              </w:rPr>
            </w:pPr>
          </w:p>
        </w:tc>
        <w:tc>
          <w:tcPr>
            <w:tcW w:w="9540" w:type="dxa"/>
            <w:vAlign w:val="bottom"/>
            <w:gridSpan w:val="20"/>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FF"/>
              </w:rPr>
              <w:t>Financial Information</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40" w:type="dxa"/>
            <w:vAlign w:val="bottom"/>
            <w:gridSpan w:val="20"/>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Consolidated Balance Sheets - March 31, 2026 (Unaudited) and December 31, 2025</w:t>
            </w:r>
          </w:p>
        </w:tc>
        <w:tc>
          <w:tcPr>
            <w:tcW w:w="3940" w:type="dxa"/>
            <w:vAlign w:val="bottom"/>
            <w:gridSpan w:val="6"/>
            <w:shd w:val="clear" w:color="auto" w:fill="CCEEFF"/>
          </w:tcPr>
          <w:p>
            <w:pPr>
              <w:spacing w:after="0"/>
              <w:rPr>
                <w:sz w:val="16"/>
                <w:szCs w:val="16"/>
                <w:color w:val="auto"/>
              </w:rPr>
            </w:pP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340" w:type="dxa"/>
            <w:vAlign w:val="bottom"/>
            <w:shd w:val="clear" w:color="auto" w:fill="CCEEFF"/>
          </w:tcPr>
          <w:p>
            <w:pPr>
              <w:spacing w:after="0"/>
              <w:rPr>
                <w:sz w:val="16"/>
                <w:szCs w:val="16"/>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Months Ended March 31, 2026 and 2025</w:t>
            </w: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Months Ended March 31, 2026 and 2025</w:t>
            </w: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340" w:type="dxa"/>
            <w:vAlign w:val="bottom"/>
            <w:shd w:val="clear" w:color="auto" w:fill="CCEEFF"/>
          </w:tcPr>
          <w:p>
            <w:pPr>
              <w:spacing w:after="0"/>
              <w:rPr>
                <w:sz w:val="16"/>
                <w:szCs w:val="16"/>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(Unaudited) - Three Months Ended March 31, 2026 and 2025</w:t>
            </w:r>
          </w:p>
        </w:tc>
        <w:tc>
          <w:tcPr>
            <w:tcW w:w="2020" w:type="dxa"/>
            <w:vAlign w:val="bottom"/>
          </w:tcPr>
          <w:p>
            <w:pPr>
              <w:spacing w:after="0"/>
              <w:rPr>
                <w:sz w:val="16"/>
                <w:szCs w:val="16"/>
                <w:color w:val="auto"/>
              </w:rPr>
            </w:pP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Three Months Ended March 31, 2026 and 2025</w:t>
            </w:r>
          </w:p>
        </w:tc>
        <w:tc>
          <w:tcPr>
            <w:tcW w:w="480" w:type="dxa"/>
            <w:vAlign w:val="bottom"/>
            <w:gridSpan w:val="4"/>
            <w:shd w:val="clear" w:color="auto" w:fill="CCEEFF"/>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5</w:t>
            </w:r>
          </w:p>
        </w:tc>
        <w:tc>
          <w:tcPr>
            <w:tcW w:w="340" w:type="dxa"/>
            <w:vAlign w:val="bottom"/>
            <w:shd w:val="clear" w:color="auto" w:fill="CCEEFF"/>
          </w:tcPr>
          <w:p>
            <w:pPr>
              <w:spacing w:after="0"/>
              <w:rPr>
                <w:sz w:val="16"/>
                <w:szCs w:val="16"/>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2800" w:type="dxa"/>
            <w:vAlign w:val="bottom"/>
            <w:gridSpan w:val="3"/>
          </w:tcPr>
          <w:p>
            <w:pPr>
              <w:spacing w:after="0"/>
              <w:rPr>
                <w:sz w:val="16"/>
                <w:szCs w:val="16"/>
                <w:color w:val="auto"/>
              </w:rPr>
            </w:pPr>
          </w:p>
        </w:tc>
        <w:tc>
          <w:tcPr>
            <w:tcW w:w="480" w:type="dxa"/>
            <w:vAlign w:val="bottom"/>
            <w:gridSpan w:val="4"/>
          </w:tcPr>
          <w:p>
            <w:pPr>
              <w:jc w:val="center"/>
              <w:ind w:left="23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320" w:type="dxa"/>
            <w:vAlign w:val="bottom"/>
            <w:gridSpan w:val="5"/>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7"/>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460" w:type="dxa"/>
            <w:vAlign w:val="bottom"/>
            <w:gridSpan w:val="10"/>
            <w:shd w:val="clear" w:color="auto" w:fill="CCEEFF"/>
          </w:tcPr>
          <w:p>
            <w:pPr>
              <w:spacing w:after="0"/>
              <w:rPr>
                <w:sz w:val="17"/>
                <w:szCs w:val="17"/>
                <w:color w:val="auto"/>
              </w:rPr>
            </w:pP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26</w:t>
            </w:r>
          </w:p>
        </w:tc>
      </w:tr>
      <w:tr>
        <w:trPr>
          <w:trHeight w:val="173"/>
        </w:trPr>
        <w:tc>
          <w:tcPr>
            <w:tcW w:w="7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Part II</w:t>
            </w:r>
          </w:p>
        </w:tc>
        <w:tc>
          <w:tcPr>
            <w:tcW w:w="80" w:type="dxa"/>
            <w:vAlign w:val="bottom"/>
            <w:tcBorders>
              <w:top w:val="single" w:sz="8" w:color="CCEEFF"/>
            </w:tcBorders>
          </w:tcPr>
          <w:p>
            <w:pPr>
              <w:spacing w:after="0"/>
              <w:rPr>
                <w:sz w:val="15"/>
                <w:szCs w:val="15"/>
                <w:color w:val="auto"/>
              </w:rPr>
            </w:pPr>
          </w:p>
        </w:tc>
        <w:tc>
          <w:tcPr>
            <w:tcW w:w="2080" w:type="dxa"/>
            <w:vAlign w:val="bottom"/>
            <w:tcBorders>
              <w:top w:val="single" w:sz="8" w:color="0000FF"/>
            </w:tcBorders>
            <w:gridSpan w:val="10"/>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460" w:type="dxa"/>
            <w:vAlign w:val="bottom"/>
            <w:tcBorders>
              <w:top w:val="single" w:sz="8" w:color="CCEEFF"/>
            </w:tcBorders>
            <w:gridSpan w:val="10"/>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7860" w:type="dxa"/>
            <w:vAlign w:val="bottom"/>
            <w:gridSpan w:val="12"/>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8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180" w:type="dxa"/>
            <w:vAlign w:val="bottom"/>
            <w:gridSpan w:val="8"/>
          </w:tcPr>
          <w:p>
            <w:pPr>
              <w:spacing w:after="0"/>
              <w:rPr>
                <w:sz w:val="16"/>
                <w:szCs w:val="16"/>
                <w:color w:val="auto"/>
              </w:rPr>
            </w:pPr>
          </w:p>
        </w:tc>
        <w:tc>
          <w:tcPr>
            <w:tcW w:w="820" w:type="dxa"/>
            <w:vAlign w:val="bottom"/>
            <w:gridSpan w:val="5"/>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7"/>
        </w:trPr>
        <w:tc>
          <w:tcPr>
            <w:tcW w:w="7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0000FF"/>
              </w:rPr>
              <w:t>Item 6.</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820" w:type="dxa"/>
            <w:vAlign w:val="bottom"/>
            <w:gridSpan w:val="5"/>
            <w:shd w:val="clear" w:color="auto" w:fill="CCEEFF"/>
          </w:tcPr>
          <w:p>
            <w:pPr>
              <w:jc w:val="center"/>
              <w:ind w:right="20"/>
              <w:spacing w:after="0" w:line="187" w:lineRule="exact"/>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80" w:top="11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2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Pr>
          <w:p>
            <w:pPr>
              <w:spacing w:after="0"/>
              <w:rPr>
                <w:sz w:val="18"/>
                <w:szCs w:val="18"/>
                <w:color w:val="auto"/>
              </w:rPr>
            </w:pPr>
          </w:p>
        </w:tc>
        <w:tc>
          <w:tcPr>
            <w:tcW w:w="18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and notes receivable, net of allowances of $9.1 and $8.5 in 2026 and 2025, respectively</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1,152.6</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0" w:type="dxa"/>
            <w:vAlign w:val="bottom"/>
          </w:tcPr>
          <w:p>
            <w:pPr>
              <w:spacing w:after="0"/>
              <w:rPr>
                <w:sz w:val="1"/>
                <w:szCs w:val="1"/>
                <w:color w:val="auto"/>
              </w:rPr>
            </w:pP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1,903.8</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165"/>
        </w:trPr>
        <w:tc>
          <w:tcPr>
            <w:tcW w:w="714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$1,064.3 and $1,043.9 in 2026 and</w:t>
            </w:r>
          </w:p>
        </w:tc>
        <w:tc>
          <w:tcPr>
            <w:tcW w:w="22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917.6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887.2</w:t>
            </w:r>
          </w:p>
        </w:tc>
        <w:tc>
          <w:tcPr>
            <w:tcW w:w="0" w:type="dxa"/>
            <w:vAlign w:val="bottom"/>
          </w:tcPr>
          <w:p>
            <w:pPr>
              <w:spacing w:after="0"/>
              <w:rPr>
                <w:sz w:val="1"/>
                <w:szCs w:val="1"/>
                <w:color w:val="auto"/>
              </w:rPr>
            </w:pPr>
          </w:p>
        </w:tc>
      </w:tr>
      <w:tr>
        <w:trPr>
          <w:trHeight w:val="220"/>
        </w:trPr>
        <w:tc>
          <w:tcPr>
            <w:tcW w:w="7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2025, respectively</w:t>
            </w:r>
          </w:p>
        </w:tc>
        <w:tc>
          <w:tcPr>
            <w:tcW w:w="2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 of accumulated amortization of $42.4 and $38.3 in 2026 and 2025, respectively</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0" w:type="dxa"/>
            <w:vAlign w:val="bottom"/>
          </w:tcPr>
          <w:p>
            <w:pPr>
              <w:spacing w:after="0"/>
              <w:rPr>
                <w:sz w:val="1"/>
                <w:szCs w:val="1"/>
                <w:color w:val="auto"/>
              </w:rPr>
            </w:pPr>
          </w:p>
        </w:tc>
      </w:tr>
      <w:tr>
        <w:trPr>
          <w:trHeight w:val="224"/>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4,292.7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4,081.8</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7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1,191.8</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1,144.1</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3,078.8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2,918.7</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2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1,243.0</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4,963.0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4,891.1</w:t>
            </w:r>
          </w:p>
        </w:tc>
        <w:tc>
          <w:tcPr>
            <w:tcW w:w="0" w:type="dxa"/>
            <w:vAlign w:val="bottom"/>
          </w:tcPr>
          <w:p>
            <w:pPr>
              <w:spacing w:after="0"/>
              <w:rPr>
                <w:sz w:val="1"/>
                <w:szCs w:val="1"/>
                <w:color w:val="auto"/>
              </w:rPr>
            </w:pP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stock, at cost, 52,360,280 shares and 52,374,147 shares for 2026 and 2025, 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(4,951.7)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(4,923.4)</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1,213.9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1,163.1</w:t>
            </w:r>
          </w:p>
        </w:tc>
        <w:tc>
          <w:tcPr>
            <w:tcW w:w="0" w:type="dxa"/>
            <w:vAlign w:val="bottom"/>
          </w:tcPr>
          <w:p>
            <w:pPr>
              <w:spacing w:after="0"/>
              <w:rPr>
                <w:sz w:val="1"/>
                <w:szCs w:val="1"/>
                <w:color w:val="auto"/>
              </w:rPr>
            </w:pPr>
          </w:p>
        </w:tc>
      </w:tr>
      <w:tr>
        <w:trPr>
          <w:trHeight w:val="24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4,292.7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4,081.8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w:t>
            </w:r>
          </w:p>
        </w:tc>
      </w:tr>
      <w:tr>
        <w:trPr>
          <w:trHeight w:val="208"/>
        </w:trPr>
        <w:tc>
          <w:tcPr>
            <w:tcW w:w="8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1,135.1</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1,072.6</w:t>
            </w:r>
          </w:p>
        </w:tc>
      </w:tr>
      <w:tr>
        <w:trPr>
          <w:trHeight w:val="22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20"/>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1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and other expenses, net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(income) from equity method investments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r>
      <w:tr>
        <w:trPr>
          <w:trHeight w:val="22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settlements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5"/>
        </w:trPr>
        <w:tc>
          <w:tcPr>
            <w:tcW w:w="8220" w:type="dxa"/>
            <w:vAlign w:val="bottom"/>
            <w:tcBorders>
              <w:bottom w:val="single" w:sz="8" w:color="CCEEFF"/>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b w:val="1"/>
                <w:bCs w:val="1"/>
                <w:i w:val="1"/>
                <w:iCs w:val="1"/>
                <w:color w:val="auto"/>
              </w:rPr>
              <w:t>Earnings per share – Basic</w:t>
            </w:r>
            <w:r>
              <w:rPr>
                <w:rFonts w:ascii="Times New Roman" w:cs="Times New Roman" w:eastAsia="Times New Roman" w:hAnsi="Times New Roman"/>
                <w:sz w:val="20"/>
                <w:szCs w:val="20"/>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5"/>
        </w:trPr>
        <w:tc>
          <w:tcPr>
            <w:tcW w:w="8220" w:type="dxa"/>
            <w:vAlign w:val="bottom"/>
            <w:tcBorders>
              <w:bottom w:val="single" w:sz="8" w:color="CCEEFF"/>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b w:val="1"/>
                <w:bCs w:val="1"/>
                <w:i w:val="1"/>
                <w:iCs w:val="1"/>
                <w:color w:val="auto"/>
              </w:rPr>
              <w:t>Earnings per share – Diluted</w:t>
            </w:r>
            <w:r>
              <w:rPr>
                <w:rFonts w:ascii="Times New Roman" w:cs="Times New Roman" w:eastAsia="Times New Roman" w:hAnsi="Times New Roman"/>
                <w:sz w:val="20"/>
                <w:szCs w:val="20"/>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 - 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 - Diluted</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Amounts may not recalculate due to rounding.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40" w:type="dxa"/>
            <w:vAlign w:val="bottom"/>
          </w:tcPr>
          <w:p>
            <w:pPr>
              <w:spacing w:after="0"/>
              <w:rPr>
                <w:sz w:val="16"/>
                <w:szCs w:val="16"/>
                <w:color w:val="auto"/>
              </w:rPr>
            </w:pPr>
          </w:p>
        </w:tc>
        <w:tc>
          <w:tcPr>
            <w:tcW w:w="218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0" w:type="dxa"/>
            <w:vAlign w:val="bottom"/>
          </w:tcPr>
          <w:p>
            <w:pPr>
              <w:spacing w:after="0"/>
              <w:rPr>
                <w:sz w:val="1"/>
                <w:szCs w:val="1"/>
                <w:color w:val="auto"/>
              </w:rPr>
            </w:pPr>
          </w:p>
        </w:tc>
      </w:tr>
      <w:tr>
        <w:trPr>
          <w:trHeight w:val="212"/>
        </w:trPr>
        <w:tc>
          <w:tcPr>
            <w:tcW w:w="86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7"/>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7"/>
        </w:trPr>
        <w:tc>
          <w:tcPr>
            <w:tcW w:w="8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into earnings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2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60"/>
          </w:cols>
          <w:pgMar w:left="460" w:top="878" w:right="47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 and 2025</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640" w:type="dxa"/>
            <w:vAlign w:val="bottom"/>
            <w:gridSpan w:val="5"/>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jc w:val="center"/>
              <w:ind w:right="200"/>
              <w:spacing w:after="0" w:line="160" w:lineRule="exact"/>
              <w:rPr>
                <w:sz w:val="20"/>
                <w:szCs w:val="20"/>
                <w:color w:val="auto"/>
              </w:rPr>
            </w:pPr>
            <w:r>
              <w:rPr>
                <w:rFonts w:ascii="Times New Roman" w:cs="Times New Roman" w:eastAsia="Times New Roman" w:hAnsi="Times New Roman"/>
                <w:sz w:val="15"/>
                <w:szCs w:val="15"/>
                <w:b w:val="1"/>
                <w:bCs w:val="1"/>
                <w:color w:val="auto"/>
                <w:w w:val="97"/>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5"/>
            <w:vMerge w:val="restart"/>
          </w:tcPr>
          <w:p>
            <w:pPr>
              <w:jc w:val="center"/>
              <w:ind w:right="100"/>
              <w:spacing w:after="0" w:line="160"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2026)</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3"/>
                <w:szCs w:val="3"/>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1,243.0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4,891.1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(48.5)</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(4,923.4)</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$1.30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ind w:left="220"/>
              <w:spacing w:after="0" w:line="147" w:lineRule="exact"/>
              <w:rPr>
                <w:sz w:val="20"/>
                <w:szCs w:val="20"/>
                <w:color w:val="auto"/>
              </w:rPr>
            </w:pPr>
            <w:r>
              <w:rPr>
                <w:rFonts w:ascii="Times New Roman" w:cs="Times New Roman" w:eastAsia="Times New Roman" w:hAnsi="Times New Roman"/>
                <w:sz w:val="15"/>
                <w:szCs w:val="15"/>
                <w:color w:val="auto"/>
              </w:rPr>
              <w:t>Purchase of common stock under Employee Stock Purchase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Program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2026</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1,249.7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4,963.0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52.4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(4,951.7)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7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8"/>
                <w:szCs w:val="8"/>
                <w:color w:val="auto"/>
              </w:rPr>
            </w:pPr>
          </w:p>
        </w:tc>
        <w:tc>
          <w:tcPr>
            <w:tcW w:w="108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Pr>
          <w:p>
            <w:pPr>
              <w:spacing w:after="0"/>
              <w:rPr>
                <w:sz w:val="8"/>
                <w:szCs w:val="8"/>
                <w:color w:val="auto"/>
              </w:rPr>
            </w:pPr>
          </w:p>
        </w:tc>
        <w:tc>
          <w:tcPr>
            <w:tcW w:w="170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0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2025)</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1,213.3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4,262.7</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(93.7)</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(4,421.1)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962.1</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129.6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$1.15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(97.7)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(97.7)</w:t>
            </w:r>
          </w:p>
        </w:tc>
        <w:tc>
          <w:tcPr>
            <w:tcW w:w="0" w:type="dxa"/>
            <w:vAlign w:val="bottom"/>
          </w:tcPr>
          <w:p>
            <w:pPr>
              <w:spacing w:after="0"/>
              <w:rPr>
                <w:sz w:val="1"/>
                <w:szCs w:val="1"/>
                <w:color w:val="auto"/>
              </w:rPr>
            </w:pPr>
          </w:p>
        </w:tc>
      </w:tr>
      <w:tr>
        <w:trPr>
          <w:trHeight w:val="19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1,219.0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4,351.5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(80.6)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(4,517.1)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973.7</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84"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25"/>
        </w:trPr>
        <w:tc>
          <w:tcPr>
            <w:tcW w:w="7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w:t>
            </w:r>
          </w:p>
        </w:tc>
      </w:tr>
      <w:tr>
        <w:trPr>
          <w:trHeight w:val="231"/>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Loss (income) from equity method investments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Unrealized losses (gains), net on derivative contracts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r>
      <w:tr>
        <w:trPr>
          <w:trHeight w:val="223"/>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31"/>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3"/>
        </w:trPr>
        <w:tc>
          <w:tcPr>
            <w:tcW w:w="7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(35.8)</w:t>
            </w:r>
          </w:p>
        </w:tc>
      </w:tr>
      <w:tr>
        <w:trPr>
          <w:trHeight w:val="225"/>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31"/>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(Purchases of) proceeds from investments and other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(23.5)</w:t>
            </w:r>
          </w:p>
        </w:tc>
      </w:tr>
      <w:tr>
        <w:trPr>
          <w:trHeight w:val="225"/>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debt arrangements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1"/>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r>
      <w:tr>
        <w:trPr>
          <w:trHeight w:val="223"/>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31"/>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18"/>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(141.2)</w:t>
            </w:r>
          </w:p>
        </w:tc>
      </w:tr>
      <w:tr>
        <w:trPr>
          <w:trHeight w:val="22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cash equivalents and restricted cash equivalents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217.2</w:t>
            </w:r>
          </w:p>
        </w:tc>
      </w:tr>
      <w:tr>
        <w:trPr>
          <w:trHeight w:val="45"/>
        </w:trPr>
        <w:tc>
          <w:tcPr>
            <w:tcW w:w="7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1"/>
        </w:trPr>
        <w:tc>
          <w:tcPr>
            <w:tcW w:w="79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The accompanying unaudited Consolidated Balance Sheet as of March 31, 2026 and the accompanying unaudited Consolidated Statements of Operations, Comprehensive Income, Stockholders' Equity, and Cash Flows for the three months ended March 31, 2026 and 2025 should be read in conjunction with our audited consolidated financial statements and footnotes included in our Annual Report on Form 10-K for the year ended December 31, 2025.</w:t>
      </w:r>
    </w:p>
    <w:p>
      <w:pPr>
        <w:spacing w:after="0" w:line="18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unaudited consolidated financial statements for all comparable prior periods presented have been retrospectively adjusted to reflect the prior-year change in method of accounting for certain inventories from last-in-first-out ("LIFO") to first-in, first-out ("FIFO").</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0"/>
        <w:spacing w:after="0" w:line="27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21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69"/>
        </w:trPr>
        <w:tc>
          <w:tcPr>
            <w:tcW w:w="1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i w:val="1"/>
                <w:iCs w:val="1"/>
                <w:color w:val="auto"/>
                <w:w w:val="99"/>
              </w:rPr>
              <w:t>Home Comfort Solutions</w:t>
            </w:r>
          </w:p>
        </w:tc>
        <w:tc>
          <w:tcPr>
            <w:tcW w:w="10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2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Residential Replacement;</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Parts and Supplies;</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spacing w:after="0"/>
              <w:rPr>
                <w:sz w:val="20"/>
                <w:szCs w:val="20"/>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heating, air conditioning and refrigeration</w:t>
            </w:r>
          </w:p>
        </w:tc>
        <w:tc>
          <w:tcPr>
            <w:tcW w:w="28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Products include rooftop packaged units, variable</w:t>
            </w:r>
          </w:p>
        </w:tc>
        <w:tc>
          <w:tcPr>
            <w:tcW w:w="2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Commercial Parts and Supplies;</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refrigerant flow systems, heat pumps, air cooled condensing</w:t>
            </w:r>
          </w:p>
        </w:tc>
        <w:tc>
          <w:tcPr>
            <w:tcW w:w="2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units, air handlers, unit coolers, and process chillers. Services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include installation, energy monitoring, service and</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2"/>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and HVAC recycling.</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interest and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for the periods presented.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chief operating decision maker uses segment profit or loss from operations, excluding certain items, to allocate resources (including employees, financial, or capital resources) for each segment predominantly in the annual budget and forecasting process. The chief operating decision maker considers budget-to-actual variances in segment profit or loss on a monthly basis when evaluating segment performance and making decisions about allocating resources to the segments.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chief operating decision maker is Alok Maskara, Chief Executive Officer.</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Key financial information for each segment is shown below (in millions):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Home Comfort</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Business Climate</w:t>
            </w:r>
          </w:p>
        </w:tc>
        <w:tc>
          <w:tcPr>
            <w:tcW w:w="2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4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28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2026</w:t>
            </w:r>
          </w:p>
        </w:tc>
        <w:tc>
          <w:tcPr>
            <w:tcW w:w="2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0" w:type="dxa"/>
            <w:vAlign w:val="bottom"/>
          </w:tcPr>
          <w:p>
            <w:pPr>
              <w:spacing w:after="0"/>
              <w:rPr>
                <w:sz w:val="1"/>
                <w:szCs w:val="1"/>
                <w:color w:val="auto"/>
              </w:rPr>
            </w:pP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3"/>
                <w:szCs w:val="23"/>
                <w:color w:val="auto"/>
                <w:vertAlign w:val="superscript"/>
              </w:rPr>
              <w:t>(2)</w:t>
            </w:r>
          </w:p>
        </w:tc>
        <w:tc>
          <w:tcPr>
            <w:tcW w:w="2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0"/>
        </w:trPr>
        <w:tc>
          <w:tcPr>
            <w:tcW w:w="410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(3)</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160"/>
        </w:trPr>
        <w:tc>
          <w:tcPr>
            <w:tcW w:w="4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27"/>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2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8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(3)</w:t>
            </w:r>
          </w:p>
        </w:tc>
        <w:tc>
          <w:tcPr>
            <w:tcW w:w="2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24"/>
                <w:szCs w:val="24"/>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786"/>
        </w:trPr>
        <w:tc>
          <w:tcPr>
            <w:tcW w:w="4100" w:type="dxa"/>
            <w:vAlign w:val="bottom"/>
          </w:tcPr>
          <w:p>
            <w:pPr>
              <w:spacing w:after="0"/>
              <w:rPr>
                <w:sz w:val="24"/>
                <w:szCs w:val="24"/>
                <w:color w:val="auto"/>
              </w:rPr>
            </w:pPr>
          </w:p>
        </w:tc>
        <w:tc>
          <w:tcPr>
            <w:tcW w:w="248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9" w:name="page10"/>
    <w:bookmarkEnd w:id="9"/>
    <w:p>
      <w:pPr>
        <w:ind w:left="400" w:hanging="153"/>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a consolidated basis, no revenue from transactions with a single customer were 10% or greater of our consolidated net sales for any of the periods presented.</w:t>
      </w:r>
    </w:p>
    <w:p>
      <w:pPr>
        <w:spacing w:after="0" w:line="208" w:lineRule="exact"/>
        <w:rPr>
          <w:rFonts w:ascii="Times New Roman" w:cs="Times New Roman" w:eastAsia="Times New Roman" w:hAnsi="Times New Roman"/>
          <w:sz w:val="19"/>
          <w:szCs w:val="19"/>
          <w:color w:val="auto"/>
          <w:vertAlign w:val="superscript"/>
        </w:rPr>
      </w:pPr>
    </w:p>
    <w:p>
      <w:pPr>
        <w:ind w:left="400" w:hanging="153"/>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(income) expense is primarily comprised of income from equity method investments and (gains) losses and other expenses, net.</w:t>
      </w:r>
    </w:p>
    <w:p>
      <w:pPr>
        <w:spacing w:after="0" w:line="217" w:lineRule="exact"/>
        <w:rPr>
          <w:rFonts w:ascii="Times New Roman" w:cs="Times New Roman" w:eastAsia="Times New Roman" w:hAnsi="Times New Roman"/>
          <w:sz w:val="19"/>
          <w:szCs w:val="19"/>
          <w:color w:val="auto"/>
          <w:vertAlign w:val="superscript"/>
        </w:rPr>
      </w:pPr>
    </w:p>
    <w:p>
      <w:pPr>
        <w:ind w:left="400" w:hanging="153"/>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segment profit (loss) as a segment's operating income (loss) included in the accompanying Consolidated Statements of Operations, excluding:</w:t>
      </w:r>
    </w:p>
    <w:p>
      <w:pPr>
        <w:ind w:left="640" w:hanging="233"/>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charges, and</w:t>
      </w:r>
    </w:p>
    <w:p>
      <w:pPr>
        <w:spacing w:after="0" w:line="6"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(gain) on sale from previous dispositions.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reconciliations  of  segment  profit  to  Operating  income  and  Net</w:t>
            </w:r>
          </w:p>
        </w:tc>
        <w:tc>
          <w:tcPr>
            <w:tcW w:w="41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income  before  income  taxes  are  presented  below</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millions):</w:t>
            </w:r>
          </w:p>
        </w:tc>
      </w:tr>
      <w:tr>
        <w:trPr>
          <w:trHeight w:val="26"/>
        </w:trPr>
        <w:tc>
          <w:tcPr>
            <w:tcW w:w="5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r>
      <w:tr>
        <w:trPr>
          <w:trHeight w:val="160"/>
        </w:trPr>
        <w:tc>
          <w:tcPr>
            <w:tcW w:w="586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2560" w:type="dxa"/>
            <w:vAlign w:val="bottom"/>
            <w:gridSpan w:val="5"/>
            <w:shd w:val="clear" w:color="auto" w:fill="CCEEFF"/>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the Three Months Ended March</w:t>
            </w:r>
          </w:p>
        </w:tc>
      </w:tr>
      <w:tr>
        <w:trPr>
          <w:trHeight w:val="212"/>
        </w:trPr>
        <w:tc>
          <w:tcPr>
            <w:tcW w:w="58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31,</w:t>
            </w:r>
          </w:p>
        </w:tc>
        <w:tc>
          <w:tcPr>
            <w:tcW w:w="800" w:type="dxa"/>
            <w:vAlign w:val="bottom"/>
            <w:tcBorders>
              <w:bottom w:val="single" w:sz="8" w:color="auto"/>
            </w:tcBorders>
            <w:shd w:val="clear" w:color="auto" w:fill="CCEEFF"/>
          </w:tcPr>
          <w:p>
            <w:pPr>
              <w:spacing w:after="0"/>
              <w:rPr>
                <w:sz w:val="18"/>
                <w:szCs w:val="18"/>
                <w:color w:val="auto"/>
              </w:rPr>
            </w:pPr>
          </w:p>
        </w:tc>
      </w:tr>
      <w:tr>
        <w:trPr>
          <w:trHeight w:val="207"/>
        </w:trPr>
        <w:tc>
          <w:tcPr>
            <w:tcW w:w="586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58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Total segment profit</w:t>
            </w:r>
            <w:r>
              <w:rPr>
                <w:rFonts w:ascii="Times New Roman" w:cs="Times New Roman" w:eastAsia="Times New Roman" w:hAnsi="Times New Roman"/>
                <w:sz w:val="23"/>
                <w:szCs w:val="23"/>
                <w:b w:val="1"/>
                <w:bCs w:val="1"/>
                <w:color w:val="auto"/>
                <w:vertAlign w:val="superscript"/>
              </w:rPr>
              <w:t>(1)</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8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3"/>
                <w:szCs w:val="23"/>
                <w:color w:val="auto"/>
                <w:vertAlign w:val="superscript"/>
              </w:rPr>
              <w:t>(2)</w:t>
            </w: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income before income taxes: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7"/>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4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2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153"/>
        <w:spacing w:after="0"/>
        <w:tabs>
          <w:tab w:leader="none" w:pos="4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segment profit as a segment's operating income (loss) included in the accompanying Consolidated Statements of Operations, excluding:</w:t>
      </w:r>
    </w:p>
    <w:p>
      <w:pPr>
        <w:ind w:left="640" w:hanging="233"/>
        <w:spacing w:after="0"/>
        <w:tabs>
          <w:tab w:leader="none" w:pos="6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charges, and</w:t>
      </w:r>
    </w:p>
    <w:p>
      <w:pPr>
        <w:spacing w:after="0" w:line="2"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(gain) on sale from previous dispositions.</w:t>
      </w:r>
    </w:p>
    <w:p>
      <w:pPr>
        <w:spacing w:after="0" w:line="6" w:lineRule="exact"/>
        <w:rPr>
          <w:rFonts w:ascii="Times New Roman" w:cs="Times New Roman" w:eastAsia="Times New Roman" w:hAnsi="Times New Roman"/>
          <w:sz w:val="16"/>
          <w:szCs w:val="16"/>
          <w:color w:val="auto"/>
        </w:rPr>
      </w:pPr>
    </w:p>
    <w:p>
      <w:pPr>
        <w:ind w:left="400" w:hanging="153"/>
        <w:spacing w:after="0"/>
        <w:tabs>
          <w:tab w:leader="none" w:pos="387"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Corporate and other expenses include unallocated corporate costs related to corporate administrative functions such as tax, treasury, accounting, internal audit, legal and human resources.</w:t>
      </w: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by segment are shown below (in millions)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16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r>
      <w:tr>
        <w:trPr>
          <w:trHeight w:val="220"/>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from reportable segments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w:t>
            </w:r>
          </w:p>
        </w:tc>
        <w:tc>
          <w:tcPr>
            <w:tcW w:w="16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3,717.4</w:t>
            </w:r>
          </w:p>
        </w:tc>
      </w:tr>
      <w:tr>
        <w:trPr>
          <w:trHeight w:val="227"/>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20"/>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4,081.8</w:t>
            </w: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assets in the Corporate and Other primarily consist of cash, property, plant and equipment, short-term investments, and deferred tax assets. Assets recorded in the operating segments represent those assets directly associated with those segments.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0"/>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 from reportable segments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1"/>
        </w:trPr>
        <w:tc>
          <w:tcPr>
            <w:tcW w:w="8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0"/>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 from reportable segments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The income from equity method investments is shown below (in millions):</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8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Equity Method Investments: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income from equity method investments from reportable segments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(loss) income from equity method investments</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 as of:</w:t>
      </w: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r>
      <w:tr>
        <w:trPr>
          <w:trHeight w:val="22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8"/>
        </w:trPr>
        <w:tc>
          <w:tcPr>
            <w:tcW w:w="83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117.2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r>
      <w:tr>
        <w:trPr>
          <w:trHeight w:val="267"/>
        </w:trPr>
        <w:tc>
          <w:tcPr>
            <w:tcW w:w="8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r>
      <w:tr>
        <w:trPr>
          <w:trHeight w:val="22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8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2"/>
        </w:trPr>
        <w:tc>
          <w:tcPr>
            <w:tcW w:w="8380" w:type="dxa"/>
            <w:vAlign w:val="bottom"/>
            <w:tcBorders>
              <w:bottom w:val="single" w:sz="8" w:color="CCEEFF"/>
            </w:tcBorders>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Earnings per share – Basic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2"/>
        </w:trPr>
        <w:tc>
          <w:tcPr>
            <w:tcW w:w="8380" w:type="dxa"/>
            <w:vAlign w:val="bottom"/>
            <w:tcBorders>
              <w:bottom w:val="single" w:sz="8" w:color="CCEEFF"/>
            </w:tcBorders>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Earnings per share – Diluted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0" w:hanging="153"/>
        <w:spacing w:after="0"/>
        <w:tabs>
          <w:tab w:leader="none" w:pos="4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may not recalculate due to rounding.</w:t>
      </w:r>
    </w:p>
    <w:p>
      <w:pPr>
        <w:spacing w:after="0" w:line="214" w:lineRule="exact"/>
        <w:rPr>
          <w:sz w:val="20"/>
          <w:szCs w:val="20"/>
          <w:color w:val="auto"/>
        </w:rPr>
      </w:pPr>
    </w:p>
    <w:p>
      <w:pPr>
        <w:jc w:val="both"/>
        <w:ind w:firstLine="160"/>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material stock appreciation rights or restricted stock units outstanding that were not included in the diluted earnings per share calculation as the assumed exercise of such rights would have been anti-dilutive.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of a lease under ASC 842 and therefore are accounted for under ASC 842.</w:t>
      </w:r>
    </w:p>
    <w:p>
      <w:pPr>
        <w:spacing w:after="0" w:line="20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2" w:name="page13"/>
    <w:bookmarkEnd w:id="12"/>
    <w:p>
      <w:pPr>
        <w:jc w:val="both"/>
        <w:spacing w:after="0" w:line="277" w:lineRule="auto"/>
        <w:rPr>
          <w:sz w:val="20"/>
          <w:szCs w:val="20"/>
          <w:color w:val="auto"/>
        </w:rPr>
      </w:pPr>
      <w:r>
        <w:rPr>
          <w:rFonts w:ascii="Times New Roman" w:cs="Times New Roman" w:eastAsia="Times New Roman" w:hAnsi="Times New Roman"/>
          <w:sz w:val="18"/>
          <w:szCs w:val="18"/>
          <w:color w:val="auto"/>
        </w:rPr>
        <w:t>estimate our specific incremental borrowing rates over various periods (ranging from 1-year through 30-years), a comparable market yield curve consistent with our credit quality was calibrated to our publicly outstanding debt instruments.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84% of our right-of-use assets and lease liabilities relate to our leases of real estate with the remaining amounts primarily relating to our leases of IT equipment, fleet vehicles and manufacturing and distribution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Liabilities for estimated product warranty costs are included in the following captions on the accompanying Consolidated Balance Sheets (in millions)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45"/>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9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for the three months ended March 31, 2026 were as follows (in millions):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2025</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March 31, 2026</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r>
      <w:tr>
        <w:trPr>
          <w:trHeight w:val="20"/>
        </w:trPr>
        <w:tc>
          <w:tcPr>
            <w:tcW w:w="7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Class Action</w:t>
      </w:r>
    </w:p>
    <w:p>
      <w:pPr>
        <w:spacing w:after="0" w:line="249"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On March 20, 2026, seven HVAC equipment manufacturers (and certain of their affiliated companies), including the Company, were named as defendants in a complaint filed in the U.S. District Court for the Eastern District of Michigan on behalf of a putative class that alleges violations of Section 1 of the Sherman Antitrust Act of 1890, as amended, and certain state laws. Additional class action complaints were filed in April 2026 in the same court, based on similar allegations. The cases were consolidated under the caption In re HVAC Equipment Antitrust Litigation, No. 2:26-cv-10949 (E.D. Mich.).</w:t>
      </w:r>
    </w:p>
    <w:p>
      <w:pPr>
        <w:spacing w:after="0" w:line="215"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The complaints allege that the defendants conspired to fix, raise, maintain, and/or stabilize prices of HVAC equipment. The alleged class is defined as including all persons who purchased HVAC equipment in the U.S. during the period from January 1, 2020 to the present which was manufactured by one or more defendants for end use in a residential or commercial building. The complaints seek to recover an unspecified amount of damages, injunctive relief, and attorneys’ fees on behalf of the putative class.</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disputes these allegations and plans to vigorously defend itself. At this stage of the antitrust litigation, the Company cannot reasonably estimate the range of possible loss, if any, or the timing, outcome, or consequence of this litigation. An adverse outcome in this litigation could have a material adverse impact on the Company’s business, financial position, results of operations,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other claims and lawsuits incidental to the operation of our businesses. Insurance coverages are maintained and estimated costs are recorded for such claims and lawsuits, including costs to settle other claims and lawsuits, based on experience involving similar matters and specific facts known.</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3" w:name="page14"/>
    <w:bookmarkEnd w:id="13"/>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Board of Directors has authorized a total of $5.0 billion to repurchase shares of our common stock (collectively referred to as the "Share Repurchase Plans"), including a $1.0 billion share repurchase authorization in May 2025.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we might otherwise be precluded from doing so under insider trading laws or self-imposed trading restrictions. The Share Repurchase Plans do not require the repurchase of a specific number of shares and may be terminated at any time. As of March 31, 2026, $989.5 million was available for repurchase under the Share Repurchase Plans.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three months ended March 31, 2026, we repurchased 39,000 shares, at an aggregate cost, inclusive of fees, of $20.0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66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7"/>
            <w:shd w:val="clear" w:color="auto" w:fill="CCEEFF"/>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 2026</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70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60" w:type="dxa"/>
            <w:vAlign w:val="bottom"/>
          </w:tcPr>
          <w:p>
            <w:pPr>
              <w:spacing w:after="0"/>
              <w:rPr>
                <w:sz w:val="13"/>
                <w:szCs w:val="13"/>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70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0" w:type="dxa"/>
            <w:vAlign w:val="bottom"/>
          </w:tcPr>
          <w:p>
            <w:pPr>
              <w:spacing w:after="0"/>
              <w:rPr>
                <w:sz w:val="1"/>
                <w:szCs w:val="1"/>
                <w:color w:val="auto"/>
              </w:rPr>
            </w:pPr>
          </w:p>
        </w:tc>
      </w:tr>
      <w:tr>
        <w:trPr>
          <w:trHeight w:val="227"/>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gridSpan w:val="7"/>
            <w:shd w:val="clear" w:color="auto" w:fill="CCEEFF"/>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 2025</w:t>
            </w:r>
          </w:p>
        </w:tc>
        <w:tc>
          <w:tcPr>
            <w:tcW w:w="0" w:type="dxa"/>
            <w:vAlign w:val="bottom"/>
          </w:tcPr>
          <w:p>
            <w:pPr>
              <w:spacing w:after="0"/>
              <w:rPr>
                <w:sz w:val="1"/>
                <w:szCs w:val="1"/>
                <w:color w:val="auto"/>
              </w:rPr>
            </w:pPr>
          </w:p>
        </w:tc>
      </w:tr>
      <w:tr>
        <w:trPr>
          <w:trHeight w:val="155"/>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7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60" w:type="dxa"/>
            <w:vAlign w:val="bottom"/>
          </w:tcPr>
          <w:p>
            <w:pPr>
              <w:spacing w:after="0"/>
              <w:rPr>
                <w:sz w:val="13"/>
                <w:szCs w:val="13"/>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70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0" w:type="dxa"/>
            <w:vAlign w:val="bottom"/>
          </w:tcPr>
          <w:p>
            <w:pPr>
              <w:spacing w:after="0"/>
              <w:rPr>
                <w:sz w:val="1"/>
                <w:szCs w:val="1"/>
                <w:color w:val="auto"/>
              </w:rPr>
            </w:pPr>
          </w:p>
        </w:tc>
      </w:tr>
      <w:tr>
        <w:trPr>
          <w:trHeight w:val="227"/>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351.2</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2026 and 2025, direct sales represented 75% and 73% of revenues, respectively, and sales to independent distributors represented the remainder. Given the nature of our business, customer product orders are fulfilled at a point in time and not over a period of time.</w:t>
      </w:r>
    </w:p>
    <w:p>
      <w:pPr>
        <w:spacing w:after="0" w:line="20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Building Climate Solutions </w:t>
      </w:r>
      <w:r>
        <w:rPr>
          <w:rFonts w:ascii="Times New Roman" w:cs="Times New Roman" w:eastAsia="Times New Roman" w:hAnsi="Times New Roman"/>
          <w:sz w:val="18"/>
          <w:szCs w:val="18"/>
          <w:color w:val="auto"/>
        </w:rPr>
        <w:t>- In North America, we manufacture and sell unitary heating and cooling equipment used in light commercial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We also provide installation, service and preventive maintenance for HVAC national account customers in the United States and Canada; manufacture curb, curb adapters, drop box diffusers;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jc w:val="both"/>
        <w:spacing w:after="0" w:line="257" w:lineRule="auto"/>
        <w:rPr>
          <w:sz w:val="20"/>
          <w:szCs w:val="20"/>
          <w:color w:val="auto"/>
        </w:rPr>
      </w:pPr>
      <w:r>
        <w:rPr>
          <w:rFonts w:ascii="Times New Roman" w:cs="Times New Roman" w:eastAsia="Times New Roman" w:hAnsi="Times New Roman"/>
          <w:sz w:val="18"/>
          <w:szCs w:val="18"/>
          <w:color w:val="auto"/>
        </w:rPr>
        <w:t>offer HVAC recycling and salvage services; and focus on multi-family HVAC replacement for expired mechanical assets. Revenue related to service contracts is recognized as the services are performed under the contract based on the relative fair value of the services provided. For the three months ended March 31, 2026 and 2025, equipment sales represented 83% and 79% of revenues, respectively, and the remainder of our revenue was generated from our service business.</w:t>
      </w:r>
    </w:p>
    <w:p>
      <w:pPr>
        <w:spacing w:after="0" w:line="204" w:lineRule="exact"/>
        <w:rPr>
          <w:sz w:val="20"/>
          <w:szCs w:val="20"/>
          <w:color w:val="auto"/>
        </w:rPr>
      </w:pPr>
    </w:p>
    <w:p>
      <w:pPr>
        <w:jc w:val="both"/>
        <w:ind w:firstLine="2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520" w:type="dxa"/>
            <w:vAlign w:val="bottom"/>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2026 and 2025, we recognized revenue of $0.6 million and $2.3 million related to our contract liabilities at January 1, 2026 and 2025, respectively. Impairment losses recognized in our receivables and contract assets were de minimis in 2026 and 2025.</w:t>
      </w:r>
    </w:p>
    <w:p>
      <w:pPr>
        <w:spacing w:after="0" w:line="185" w:lineRule="exact"/>
        <w:rPr>
          <w:sz w:val="20"/>
          <w:szCs w:val="20"/>
          <w:color w:val="auto"/>
        </w:rPr>
      </w:pPr>
    </w:p>
    <w:p>
      <w:pPr>
        <w:ind w:right="8400" w:firstLine="7"/>
        <w:spacing w:after="0" w:line="260" w:lineRule="auto"/>
        <w:tabs>
          <w:tab w:leader="none" w:pos="1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spacing w:after="0" w:line="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71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Raw materials and parts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1,152.6</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400" w:hanging="153"/>
        <w:spacing w:after="0"/>
        <w:tabs>
          <w:tab w:leader="none" w:pos="4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Raw materials and parts includes materials for production and finished goods parts held for sale.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2026, in total and by segment, are summarized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3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r>
      <w:tr>
        <w:trPr>
          <w:trHeight w:val="213"/>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Pr>
          <w:p>
            <w:pPr>
              <w:spacing w:after="0"/>
              <w:rPr>
                <w:sz w:val="18"/>
                <w:szCs w:val="18"/>
                <w:color w:val="auto"/>
              </w:rPr>
            </w:pPr>
          </w:p>
        </w:tc>
        <w:tc>
          <w:tcPr>
            <w:tcW w:w="166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16"/>
                <w:szCs w:val="16"/>
                <w:b w:val="1"/>
                <w:bCs w:val="1"/>
                <w:color w:val="auto"/>
              </w:rPr>
              <w:t>Adjustment</w:t>
            </w:r>
            <w:r>
              <w:rPr>
                <w:rFonts w:ascii="Times New Roman" w:cs="Times New Roman" w:eastAsia="Times New Roman" w:hAnsi="Times New Roman"/>
                <w:sz w:val="20"/>
                <w:szCs w:val="20"/>
                <w:b w:val="1"/>
                <w:bCs w:val="1"/>
                <w:color w:val="auto"/>
                <w:vertAlign w:val="superscript"/>
              </w:rPr>
              <w:t>(1)</w:t>
            </w:r>
          </w:p>
        </w:tc>
        <w:tc>
          <w:tcPr>
            <w:tcW w:w="420" w:type="dxa"/>
            <w:vAlign w:val="bottom"/>
          </w:tcPr>
          <w:p>
            <w:pPr>
              <w:spacing w:after="0"/>
              <w:rPr>
                <w:sz w:val="18"/>
                <w:szCs w:val="18"/>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7"/>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800" w:hanging="153"/>
        <w:spacing w:after="0"/>
        <w:tabs>
          <w:tab w:leader="none" w:pos="80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discussed in Note 13, an update to our purchase price allocation of Duro Dyne and Supco resulted in a $6.5 million increase in goodwill.</w:t>
      </w:r>
    </w:p>
    <w:p>
      <w:pPr>
        <w:spacing w:after="0" w:line="22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three months ended March 31, 2026 or in any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 w:name="page16"/>
    <w:bookmarkEnd w:id="15"/>
    <w:p>
      <w:pPr>
        <w:jc w:val="both"/>
        <w:spacing w:after="0" w:line="277" w:lineRule="auto"/>
        <w:rPr>
          <w:sz w:val="20"/>
          <w:szCs w:val="20"/>
          <w:color w:val="auto"/>
        </w:rPr>
      </w:pPr>
      <w:r>
        <w:rPr>
          <w:rFonts w:ascii="Times New Roman" w:cs="Times New Roman" w:eastAsia="Times New Roman" w:hAnsi="Times New Roman"/>
          <w:sz w:val="18"/>
          <w:szCs w:val="18"/>
          <w:color w:val="auto"/>
        </w:rPr>
        <w:t>lower percentages are hedged at future dates. This strategy allows for protection against near-term price volatility while allowing us to adjust to market price movements over time.</w:t>
      </w:r>
    </w:p>
    <w:p>
      <w:pPr>
        <w:spacing w:after="0" w:line="187"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may bear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September 2027.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 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net on unsettled contracts</w:t>
            </w:r>
          </w:p>
        </w:tc>
        <w:tc>
          <w:tcPr>
            <w:tcW w:w="1520" w:type="dxa"/>
            <w:vAlign w:val="bottom"/>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5"/>
        </w:trPr>
        <w:tc>
          <w:tcPr>
            <w:tcW w:w="7160" w:type="dxa"/>
            <w:vAlign w:val="bottom"/>
            <w:tcBorders>
              <w:bottom w:val="single" w:sz="8" w:color="CCEEFF"/>
            </w:tcBorders>
            <w:shd w:val="clear" w:color="auto" w:fill="CCEEFF"/>
          </w:tcPr>
          <w:p>
            <w:pPr>
              <w:ind w:left="220"/>
              <w:spacing w:after="0" w:line="220" w:lineRule="exact"/>
              <w:rPr>
                <w:sz w:val="20"/>
                <w:szCs w:val="20"/>
                <w:color w:val="auto"/>
              </w:rPr>
            </w:pPr>
            <w:r>
              <w:rPr>
                <w:rFonts w:ascii="Times New Roman" w:cs="Times New Roman" w:eastAsia="Times New Roman" w:hAnsi="Times New Roman"/>
                <w:sz w:val="18"/>
                <w:szCs w:val="18"/>
                <w:color w:val="auto"/>
              </w:rPr>
              <w:t xml:space="preserve">Unrealized (gains) losses, net included in AOCL, net of tax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480" w:hanging="153"/>
        <w:spacing w:after="0" w:line="235" w:lineRule="auto"/>
        <w:tabs>
          <w:tab w:leader="none" w:pos="48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Assuming commodity prices and foreign currency exchange rates remain constant, we expect to reclassify $17.8 million of derivative gain as of March 31, 2026 into earnings within the next 12 months.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p>
      <w:pPr>
        <w:spacing w:after="0" w:line="10"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548"/>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granted in February 2026 were as follows:</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920" w:type="dxa"/>
            <w:vAlign w:val="bottom"/>
          </w:tcPr>
          <w:p>
            <w:pPr>
              <w:spacing w:after="0"/>
              <w:rPr>
                <w:sz w:val="24"/>
                <w:szCs w:val="24"/>
                <w:color w:val="auto"/>
              </w:rPr>
            </w:pPr>
          </w:p>
        </w:tc>
        <w:tc>
          <w:tcPr>
            <w:tcW w:w="274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Grant Date Fair</w:t>
            </w: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940" w:type="dxa"/>
            <w:vAlign w:val="bottom"/>
            <w:gridSpan w:val="4"/>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22"/>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2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474.95</w:t>
            </w:r>
          </w:p>
        </w:tc>
        <w:tc>
          <w:tcPr>
            <w:tcW w:w="0" w:type="dxa"/>
            <w:vAlign w:val="bottom"/>
          </w:tcPr>
          <w:p>
            <w:pPr>
              <w:spacing w:after="0"/>
              <w:rPr>
                <w:sz w:val="1"/>
                <w:szCs w:val="1"/>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160" w:type="dxa"/>
            <w:vAlign w:val="bottom"/>
          </w:tcPr>
          <w:p>
            <w:pPr>
              <w:spacing w:after="0"/>
              <w:rPr>
                <w:sz w:val="19"/>
                <w:szCs w:val="19"/>
                <w:color w:val="auto"/>
              </w:rPr>
            </w:pP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474.95</w:t>
            </w:r>
          </w:p>
        </w:tc>
        <w:tc>
          <w:tcPr>
            <w:tcW w:w="0" w:type="dxa"/>
            <w:vAlign w:val="bottom"/>
          </w:tcPr>
          <w:p>
            <w:pPr>
              <w:spacing w:after="0"/>
              <w:rPr>
                <w:sz w:val="1"/>
                <w:szCs w:val="1"/>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0"/>
        </w:trPr>
        <w:tc>
          <w:tcPr>
            <w:tcW w:w="83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8"/>
              </w:rPr>
              <w:t>(1.8)</w:t>
            </w:r>
          </w:p>
        </w:tc>
      </w:tr>
      <w:tr>
        <w:trPr>
          <w:trHeight w:val="22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12"/>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March 31, 2026, we had approximately $5.2 million in total gross unrecognized tax benefits. If recognized, $5.2 million would be recorded through the Consolidated Statements of Operations.</w:t>
      </w:r>
    </w:p>
    <w:p>
      <w:pPr>
        <w:spacing w:after="0" w:line="176" w:lineRule="exact"/>
        <w:rPr>
          <w:sz w:val="20"/>
          <w:szCs w:val="20"/>
          <w:color w:val="auto"/>
        </w:rPr>
      </w:pPr>
    </w:p>
    <w:p>
      <w:pPr>
        <w:ind w:right="60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20.2% for the three months ended March 31, 2026 compared to 19.4% for the three months ended March 31, 2025. The increase in rate is primarily due to income in higher tax jurisdictions.</w:t>
      </w:r>
    </w:p>
    <w:p>
      <w:pPr>
        <w:spacing w:after="0" w:line="20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currently under a limited scope audit by the Internal Revenue Service for our 2021 and 2022 tax years. There are also ongoing U.S. state and local audits and other foreign audits covering fiscal years 2019 through 2024. We are generally no longer subject to U.S. federal, state and local, or non-U.S. income tax examinations by taxing authorities for years prior to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0"/>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1,388.4</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utilize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7" w:name="page18"/>
    <w:bookmarkEnd w:id="17"/>
    <w:p>
      <w:pPr>
        <w:jc w:val="both"/>
        <w:ind w:right="120"/>
        <w:spacing w:after="0" w:line="277" w:lineRule="auto"/>
        <w:rPr>
          <w:sz w:val="20"/>
          <w:szCs w:val="20"/>
          <w:color w:val="auto"/>
        </w:rPr>
      </w:pPr>
      <w:r>
        <w:rPr>
          <w:rFonts w:ascii="Times New Roman" w:cs="Times New Roman" w:eastAsia="Times New Roman" w:hAnsi="Times New Roman"/>
          <w:sz w:val="18"/>
          <w:szCs w:val="18"/>
          <w:color w:val="auto"/>
        </w:rPr>
        <w:t>purposes. Our revolving credit facility serves as a liquidity backstop for the repayment of CP Notes outstanding under the Program. There were $361.0 million CP Notes outstanding under the Program as of March 31, 2026.</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Program was as follows as of:</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4200" w:type="dxa"/>
            <w:vAlign w:val="bottom"/>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9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42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4.20 %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49" w:lineRule="exact"/>
        <w:rPr>
          <w:sz w:val="20"/>
          <w:szCs w:val="20"/>
          <w:color w:val="auto"/>
        </w:rPr>
      </w:pPr>
    </w:p>
    <w:p>
      <w:pPr>
        <w:jc w:val="both"/>
        <w:ind w:right="100" w:firstLine="240"/>
        <w:spacing w:after="0"/>
        <w:rPr>
          <w:sz w:val="20"/>
          <w:szCs w:val="20"/>
          <w:color w:val="auto"/>
        </w:rPr>
      </w:pPr>
      <w:r>
        <w:rPr>
          <w:rFonts w:ascii="Times New Roman" w:cs="Times New Roman" w:eastAsia="Times New Roman" w:hAnsi="Times New Roman"/>
          <w:sz w:val="18"/>
          <w:szCs w:val="18"/>
          <w:color w:val="auto"/>
        </w:rPr>
        <w:t>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Credit Agreement (as defined below). The Term Credit Agreement matures on October 16, 2027. Loans under the Term Credit Agreement bear interest at our election at a rate per annum equal to (i) a forward-looking term rate based on the secured overnight financing rate for the applicable interest period ("Term SOFR"), plus an applicable margin ranging between 0.90% and 1.025% per annum depending on our long-term unsecured debt rating, or (ii) the highest of the Wells Fargo Bank, National Association prime rate, the Federal Funds rate plus 0.50%, and Term SOFR for a one month tenor in effect on such day plus 1.00%, plus an applicable margin ranging between 0.00% and 0.025% per annum depending on our long-term unsecured debt rating.</w:t>
      </w:r>
    </w:p>
    <w:p>
      <w:pPr>
        <w:spacing w:after="0" w:line="212"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The Term Credit Agreement contains customary covenants and events of default that are substantially similar to the existing covenants and events of default in our Credit Agreement.</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21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right="100" w:firstLine="240"/>
        <w:spacing w:after="0" w:line="251" w:lineRule="auto"/>
        <w:rPr>
          <w:sz w:val="20"/>
          <w:szCs w:val="20"/>
          <w:color w:val="auto"/>
        </w:rPr>
      </w:pPr>
      <w:r>
        <w:rPr>
          <w:rFonts w:ascii="Times New Roman" w:cs="Times New Roman" w:eastAsia="Times New Roman" w:hAnsi="Times New Roman"/>
          <w:sz w:val="18"/>
          <w:szCs w:val="18"/>
          <w:color w:val="auto"/>
        </w:rPr>
        <w:t>On May 9, 2025, we entered into an Amendment and Restatement Agreement (the "Credit Agreement") to our existing unsecured revolving credit facility with JPMorgan Chase Bank, N.A., as administrative agent, and the other lenders party thereto. The Credit Agreement decreased our total revolving commitments from $1.1 billion to $1.0 billion with an option to increase the revolving commitments by up to $350 million at our request, subject to the terms and conditions of the Credit Agreement. The Credit Agreement also extended the maturity date of the revolving commitments from July 2026 to May 2030. We had no outstanding borrowings and no amounts committed to standby letters of credit as of March 31, 2026. Subject to covenant limitations, $639.0 million was available for future borrowings after taking into consideration outstanding borrowings under our Program. Availability under the Credit Agreement is reduced by borrowings under the Program. The Credit Agreement includes a subfacility for swingline loans up to $65.0 million. Maturity of the Credit Agreement may be extended by the lenders pursuant to two one-year extension options that we may request under the Credit Agreement.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Credit Agreement was as follows as of:</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8580" w:type="dxa"/>
            <w:vAlign w:val="bottom"/>
          </w:tcPr>
          <w:p>
            <w:pPr>
              <w:ind w:left="74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00" w:type="dxa"/>
            <w:vAlign w:val="bottom"/>
          </w:tcPr>
          <w:p>
            <w:pPr>
              <w:spacing w:after="0"/>
              <w:rPr>
                <w:sz w:val="18"/>
                <w:szCs w:val="18"/>
                <w:color w:val="auto"/>
              </w:rPr>
            </w:pPr>
          </w:p>
        </w:tc>
        <w:tc>
          <w:tcPr>
            <w:tcW w:w="18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jc w:val="both"/>
        <w:ind w:right="100" w:firstLine="240"/>
        <w:spacing w:after="0" w:line="254" w:lineRule="auto"/>
        <w:rPr>
          <w:sz w:val="20"/>
          <w:szCs w:val="20"/>
          <w:color w:val="auto"/>
        </w:rPr>
      </w:pPr>
      <w:r>
        <w:rPr>
          <w:rFonts w:ascii="Times New Roman" w:cs="Times New Roman" w:eastAsia="Times New Roman" w:hAnsi="Times New Roman"/>
          <w:sz w:val="18"/>
          <w:szCs w:val="18"/>
          <w:color w:val="auto"/>
        </w:rPr>
        <w:t>The Credit Agreement and the Term Credit Agreement (the "Credit Facilities") are guaranteed by certain of our subsidiaries (the "Guarantor Subsidiaries") and contain customary covenants applicable to us and our subsidiaries including limitations on indebtedness, liens, dividends, stock repurchases, mergers, and sales of all or substantially all of our assets. In addition, the Credit Facilities each contain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12"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Our Credit Facilities contain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Facilities could occur if: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sectPr>
      </w:pPr>
    </w:p>
    <w:bookmarkStart w:id="18" w:name="page19"/>
    <w:bookmarkEnd w:id="18"/>
    <w:p>
      <w:pPr>
        <w:ind w:left="640" w:hanging="31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5" w:lineRule="exact"/>
        <w:rPr>
          <w:rFonts w:ascii="Times New Roman" w:cs="Times New Roman" w:eastAsia="Times New Roman" w:hAnsi="Times New Roman"/>
          <w:sz w:val="16"/>
          <w:szCs w:val="16"/>
          <w:color w:val="auto"/>
        </w:rPr>
      </w:pPr>
    </w:p>
    <w:p>
      <w:pPr>
        <w:jc w:val="both"/>
        <w:ind w:left="640" w:hanging="313"/>
        <w:spacing w:after="0" w:line="25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Facilities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Facilities (except for a bankruptcy event of default, in which case such amounts will automatically become due and payable and the lenders’ commitments will automatically terminate).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20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Cash Flow Hedges: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Cost of goods sold; Losses and other expenses,</w:t>
            </w:r>
          </w:p>
        </w:tc>
        <w:tc>
          <w:tcPr>
            <w:tcW w:w="0" w:type="dxa"/>
            <w:vAlign w:val="bottom"/>
          </w:tcPr>
          <w:p>
            <w:pPr>
              <w:spacing w:after="0"/>
              <w:rPr>
                <w:sz w:val="1"/>
                <w:szCs w:val="1"/>
                <w:color w:val="auto"/>
              </w:rPr>
            </w:pPr>
          </w:p>
        </w:tc>
      </w:tr>
      <w:tr>
        <w:trPr>
          <w:trHeight w:val="2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three months ended March 31, 2026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Share of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0" w:type="dxa"/>
            <w:vAlign w:val="bottom"/>
          </w:tcPr>
          <w:p>
            <w:pPr>
              <w:spacing w:after="0"/>
              <w:rPr>
                <w:sz w:val="1"/>
                <w:szCs w:val="1"/>
                <w:color w:val="auto"/>
              </w:rPr>
            </w:pPr>
          </w:p>
        </w:tc>
      </w:tr>
      <w:tr>
        <w:trPr>
          <w:trHeight w:val="173"/>
        </w:trPr>
        <w:tc>
          <w:tcPr>
            <w:tcW w:w="40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March 31, 2026 were the same as those used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Facilities and CP Notes in Long-term debt also approximates fair value due to its variable-rate characteristics.</w:t>
      </w:r>
    </w:p>
    <w:p>
      <w:pPr>
        <w:spacing w:after="0" w:line="203"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74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Prior Year Acquisition: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October 2025, we completed the acquisition of Duro Dyne and Supco, a robust portfolio of HVAC parts and supplies that complement our existing residential and commercial offerings. Under the terms of the purchase agreement, a final working capital adjustment was completed in the first quarter of 2026. This working capital adjustment resulted in a $2.3 million increase in the purchase price. Additionally, during the first quarter of 2026 we made certain purchase price adjustments. The following table details the purchase price adjustments that were made during the first quarter of 2026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7"/>
        </w:trPr>
        <w:tc>
          <w:tcPr>
            <w:tcW w:w="568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Intangible assets acquired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2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400" w:hanging="153"/>
        <w:spacing w:after="0" w:line="263" w:lineRule="auto"/>
        <w:tabs>
          <w:tab w:leader="none" w:pos="4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intangible assets acquired were estimated using the income approach through a discounted cash flow analysis. The estimates are based on inputs that are not observable in the market, and therefore represent non-recurring Level 3 inputs.</w:t>
      </w:r>
    </w:p>
    <w:p>
      <w:pPr>
        <w:spacing w:after="0" w:line="19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substantially completed the purchase price allocation for the acquisition of Duro Dyne and Supco. While management believes the allocation reflects its best estimates as of March 31, 2026, the purchase price allocation remains subject to adjustment as additional information becomes available during the measurement period, which may extend up to one year from the acquisition date in accordance with ASC 805.</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(the "Exchange Act"),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2025,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For more detailed information regarding our reportable segments, see Note 2 in the Notes to the Consolidated Financial Statements.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and tariffs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Results for the first quarter of 2026 were mixed as our Home Comfort Solutions segment faced volume headwinds driven by market softness. Overall our net sales increased 6% and our segment profit was relatively flat as compared to prior year. For our Home Comfort Solutions segment, net sales decreased 10% and segment profit decreased $37 million. For our Building Climate Solutions segment, net sales increased 38% and segment profit increased $37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$1,135 million in the first quarter of 2026 reflected a 6% increase as compared to the same period in 2025.</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first quarter of 2026 decreased $5 million to $163 million as lower sales volumes and higher product costs were partially offset by favorable mix and price.</w:t>
      </w: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of 2026 was $117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$3.35 per share in the first quarter of 2026 as compared to $3.63 per share in the same period in 2025.</w:t>
      </w:r>
    </w:p>
    <w:p>
      <w:pPr>
        <w:spacing w:after="0" w:line="6" w:lineRule="exact"/>
        <w:rPr>
          <w:rFonts w:ascii="Times New Roman" w:cs="Times New Roman" w:eastAsia="Times New Roman" w:hAnsi="Times New Roman"/>
          <w:sz w:val="18"/>
          <w:szCs w:val="18"/>
          <w:color w:val="auto"/>
        </w:rPr>
      </w:pPr>
    </w:p>
    <w:p>
      <w:pPr>
        <w:ind w:left="640" w:right="20" w:hanging="313"/>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we returned $45 million to shareholders through dividend payments and repurchased $20 million of common stock through our share repurchase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Throughout 2025, the U.S. government implemented new tariff measures under various authorities, including the International Emergency Economic Powers Act ("IEEPA") and Section 232 of the Trade Expansion Act of 1962 (“Section 232”).</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February 2026, the U.S. Supreme Court ruled against tariffs imposed under IEEPA. The ruling did not address refunds of tariffs paid, nor did it repeal Section 232 tariffs on steel and aluminum. Following this ruling, the U.S. presidential administration imposed a temporary surcharge, known as Section 122, which applies a 10 percent global tariff on most imported products. These tariffs apply broadly to manufactured goods and component parts. Section 232 tariffs on steel and aluminum also continued to evolve, with modifications implemented in April 2026. The Company is evaluating the potential impact of all tariff actions on future material costs and sourcing decisions.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1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for the first quarter of 2026 increased 6% as compared to the same period in 2025 primarily due to a 9% increase from favorable mix and price and a 5% increase in sales volumes from completed acquisitions, which were partially offset by an 8% decrease in sales volumes.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Gross profit margins in the first quarter of 2026 decreased 90 basis points ("bps") to 30.9% as compared to 31.8% in the same period in 2025. Gross margins decreased 300 bps from higher product costs, primarily related to inflationary impacts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18"/>
          <w:szCs w:val="18"/>
          <w:color w:val="auto"/>
        </w:rPr>
        <w:t>factory under absorption, and 40 bps from higher freight and distribution inflation and investments, which were partially offset by 250 bps from favorable mix and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$14 million to $185 million in the first quarter of 2026 as compared to $171 million in the same period in 2025, primarily attributable to higher discretionary and employee-related costs and the acquisition of Duro Dyne and Supco in the fourth quarter of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losses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first quarter of 2026 and 2025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520" w:type="dxa"/>
            <w:vAlign w:val="bottom"/>
            <w:tcBorders>
              <w:bottom w:val="single" w:sz="8" w:color="auto"/>
            </w:tcBorders>
          </w:tcPr>
          <w:p>
            <w:pPr>
              <w:spacing w:after="0"/>
              <w:rPr>
                <w:sz w:val="18"/>
                <w:szCs w:val="18"/>
                <w:color w:val="auto"/>
              </w:rPr>
            </w:pPr>
          </w:p>
        </w:tc>
      </w:tr>
      <w:tr>
        <w:trPr>
          <w:trHeight w:val="208"/>
        </w:trPr>
        <w:tc>
          <w:tcPr>
            <w:tcW w:w="7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w:t>
            </w: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380" w:type="dxa"/>
            <w:vAlign w:val="bottom"/>
          </w:tcPr>
          <w:p>
            <w:pPr>
              <w:spacing w:after="0"/>
              <w:rPr>
                <w:sz w:val="19"/>
                <w:szCs w:val="19"/>
                <w:color w:val="auto"/>
              </w:rPr>
            </w:pPr>
          </w:p>
        </w:tc>
        <w:tc>
          <w:tcPr>
            <w:tcW w:w="6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2.1</w:t>
            </w:r>
          </w:p>
        </w:tc>
      </w:tr>
      <w:tr>
        <w:trPr>
          <w:trHeight w:val="22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de minimis in the first quarter of 2026, consistent with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increased to $15 million in the first quarter of 2026 from $6 million in the same period in 2025 primarily due to increased borrowings on our commercial paper facility and our term loan agreement entered into in October of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20.2% for the first quarter of 2026 as compared to 19.4% in the same period in 2025. The increase in rate is primarily due to income in higher tax jurisdictions.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2026 Compared to First Quarter of 2025 -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first quarter of 2026 and 2025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382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1"/>
        </w:trPr>
        <w:tc>
          <w:tcPr>
            <w:tcW w:w="43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721.4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6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decreased 10% in the first quarter of 2026 as compared to the same period in 2025 primarily due to a 21% decrease in sales volumes, which was partially offset by a 9% increase from favorable mix and price and a 2% increase in sales volumes from completed acquisitions.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in the first quarter of 2026 decreased $37 million as compared to the same period in 2025, primarily due to lower sales volumes, resulting in a $56 million profit headwind, $23 million in product cost inflation and lower factory absorption, and $1 million in other costs. These impacts were partially offset by a $41 million benefit from favorable mix and price and $2 million from completed acquisitions.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first quarter of 2026 and 2025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60" w:type="dxa"/>
            <w:vAlign w:val="bottom"/>
          </w:tcPr>
          <w:p>
            <w:pPr>
              <w:spacing w:after="0"/>
              <w:rPr>
                <w:sz w:val="18"/>
                <w:szCs w:val="18"/>
                <w:color w:val="auto"/>
              </w:rPr>
            </w:pPr>
          </w:p>
        </w:tc>
        <w:tc>
          <w:tcPr>
            <w:tcW w:w="380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485.1</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38% in the first quarter of 2026 as compared to the same period in 2025 primarily due to a 17% increase in sales volumes, a 12% increase in sales volumes from completed acquisitions, and 9% from favorable mix and price.</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in the first quarter of 2026 increased $37 million as compared to the same period in 2025 primarily due to $24 million profit benefit from higher sales volumes and $22 million increase in favorable mix and price, and $7 million profit benefit from sales volumes from completed acquisitions, which were partially offset by $8 million in product cost inflation and lower factory absorption, and $8 million from other costs.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three months ended March 31, 2026 and 2025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00" w:type="dxa"/>
            <w:vAlign w:val="bottom"/>
            <w:tcBorders>
              <w:bottom w:val="single" w:sz="8" w:color="auto"/>
            </w:tcBorders>
          </w:tcPr>
          <w:p>
            <w:pPr>
              <w:spacing w:after="0"/>
              <w:rPr>
                <w:sz w:val="18"/>
                <w:szCs w:val="18"/>
                <w:color w:val="auto"/>
              </w:rPr>
            </w:pPr>
          </w:p>
        </w:tc>
      </w:tr>
      <w:tr>
        <w:trPr>
          <w:trHeight w:val="210"/>
        </w:trPr>
        <w:tc>
          <w:tcPr>
            <w:tcW w:w="71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shd w:val="clear" w:color="auto" w:fill="CCEEFF"/>
          </w:tcPr>
          <w:p>
            <w:pPr>
              <w:spacing w:after="0"/>
              <w:rPr>
                <w:sz w:val="18"/>
                <w:szCs w:val="18"/>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40" w:type="dxa"/>
            <w:vAlign w:val="bottom"/>
          </w:tcPr>
          <w:p>
            <w:pPr>
              <w:jc w:val="right"/>
              <w:ind w:right="11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5"/>
              </w:rPr>
              <w:t>16.1</w:t>
            </w:r>
          </w:p>
        </w:tc>
        <w:tc>
          <w:tcPr>
            <w:tcW w:w="120" w:type="dxa"/>
            <w:vAlign w:val="bottom"/>
          </w:tcPr>
          <w:p>
            <w:pPr>
              <w:spacing w:after="0"/>
              <w:rPr>
                <w:sz w:val="19"/>
                <w:szCs w:val="19"/>
                <w:color w:val="auto"/>
              </w:rPr>
            </w:pPr>
          </w:p>
        </w:tc>
        <w:tc>
          <w:tcPr>
            <w:tcW w:w="138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(56.6)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2"/>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40" w:type="dxa"/>
            <w:vAlign w:val="bottom"/>
          </w:tcPr>
          <w:p>
            <w:pPr>
              <w:spacing w:after="0"/>
              <w:rPr>
                <w:sz w:val="20"/>
                <w:szCs w:val="20"/>
                <w:color w:val="auto"/>
              </w:rPr>
            </w:pPr>
          </w:p>
        </w:tc>
        <w:tc>
          <w:tcPr>
            <w:tcW w:w="6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5"/>
              </w:rPr>
              <w:t>57.1</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r>
    </w:tbl>
    <w:p>
      <w:pPr>
        <w:spacing w:after="0" w:line="308"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Operating Activities - </w:t>
      </w:r>
      <w:r>
        <w:rPr>
          <w:rFonts w:ascii="Times New Roman" w:cs="Times New Roman" w:eastAsia="Times New Roman" w:hAnsi="Times New Roman"/>
          <w:sz w:val="18"/>
          <w:szCs w:val="18"/>
          <w:color w:val="auto"/>
        </w:rPr>
        <w:t>The change in net cash provided by operating activities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net cash used in operating activities for the same period in 2025 is primarily due to favorable working capital changes.</w:t>
      </w:r>
    </w:p>
    <w:p>
      <w:pPr>
        <w:spacing w:after="0" w:line="186"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$56 million for the three months ended March 31, 2026 compared to $26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2025. The increase in capital expenditures was primarily related to land and building purchases.</w:t>
      </w:r>
    </w:p>
    <w:p>
      <w:pPr>
        <w:spacing w:after="0" w:line="186"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 </w:t>
      </w:r>
      <w:r>
        <w:rPr>
          <w:rFonts w:ascii="Times New Roman" w:cs="Times New Roman" w:eastAsia="Times New Roman" w:hAnsi="Times New Roman"/>
          <w:sz w:val="18"/>
          <w:szCs w:val="18"/>
          <w:color w:val="auto"/>
        </w:rPr>
        <w:t>Net cash provided by financing activities for the three months ended March 31, 2026 increased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 million as compared to $141 million used in during the same period of 2025. The change was primarily due to changes in net borrowings and repayments of long-term debt and repurchases of common stock through our share repurchase program. We repurchased $20 million of shares for the three months ended March 31, 2026 and returned $45 million to shareholders through dividend payments.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March 31, 2026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Outstanding Borrowings</w:t>
            </w:r>
          </w:p>
        </w:tc>
      </w:tr>
      <w:tr>
        <w:trPr>
          <w:trHeight w:val="236"/>
        </w:trPr>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0"/>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0"/>
        </w:trPr>
        <w:tc>
          <w:tcPr>
            <w:tcW w:w="9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w:t>
            </w:r>
          </w:p>
        </w:tc>
      </w:tr>
      <w:tr>
        <w:trPr>
          <w:trHeight w:val="245"/>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We utilize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are $361.0 million CP Notes outstanding under the Program as of March 31,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color w:val="auto"/>
        </w:rPr>
        <w:t>On May 9, 2025, we entered into an Amendment and Restatement Agreement (the "Credit Agreement") to our existing unsecured revolving credit facility with JPMorgan Chase Bank, N.A., as administrative agent, and the other lenders party thereto. The Credit Agreement decreased our total revolving commitments from $1.1 billion to $1.0 billion with an option to increase the revolving commitments by up to $350 million at our request, subject to the terms and conditions of the Credit Agreement. The Credit Agreement also extended the maturity date of the revolving commitments from July 2026 to May 2030. We had no outstanding borrowings and no amounts committed to standby letters of credit as of March 31, 2026. Subject to covenant limitations, $639.0 million was available for future borrowings after taking into consideration outstanding borrowings under our Program. Availability under the Credit Agreement is reduced by borrowings under the Program. The Credit Agreement includes a subfacility for swingline loans up to $65.0 million. Maturity of the Credit Agreement may be extended by the lenders pursuant to two one-year extension options that we may request under the Credit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49"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7"/>
          <w:szCs w:val="17"/>
          <w:color w:val="auto"/>
        </w:rPr>
        <w:t>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Credit Agreement. The Term Credit Agreement matures on October 16, 2027. Loans under the Term Credit Agreement bear interest at our election at a rate per annum equal to (i) a forward-looking term rate based on the secured overnight financing rate for the applicable interest period ("Term SOFR"), plus an applicable margin ranging between 0.90% and 1.025% per annum depending on our long-term unsecured debt rating, or (ii) the highest of the Wells Fargo Bank, National Association prime rate, the Federal Funds rate plus 0.50%, and Term SOFR for a one month tenor in effect on such day plus 1.00%, plus an applicable margin ranging between 0.00% and 0.025% per annum depending on our long-term unsecured debt rating.</w:t>
      </w:r>
    </w:p>
    <w:p>
      <w:pPr>
        <w:spacing w:after="0" w:line="19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Term Credit Agreement contains customary covenants and events of default that are substantially similar to the existing covenants and events of default in our Credit Agreement.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56% at March 31, 2026, as compared to 54% at December 31, 2025.</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March 31, 2026, our senior credit ratings were Baa1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believe our cash and cash equivalents of $48.2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$48.2 million as of March 31, 2026 was $19.3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("Parent") and are unconditionally guaranteed by the Guarantor Subsidiaries (and together with Lennox International Inc., the “Obligor Group”). The Guarantor Subsidiaries are 100% owned and consolidated, all guarantees are full and unconditional, and all guarantees are joint and several.</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March 31, 2026 and December 31, 2025 and for the three months ended March 31, 2026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320" w:type="dxa"/>
            <w:vAlign w:val="bottom"/>
          </w:tcPr>
          <w:p>
            <w:pPr>
              <w:spacing w:after="0"/>
              <w:rPr>
                <w:sz w:val="18"/>
                <w:szCs w:val="18"/>
                <w:color w:val="auto"/>
              </w:rPr>
            </w:pPr>
          </w:p>
        </w:tc>
        <w:tc>
          <w:tcPr>
            <w:tcW w:w="2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non-Guarantor Subsidiaries</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54"/>
        </w:trPr>
        <w:tc>
          <w:tcPr>
            <w:tcW w:w="6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gridSpan w:val="2"/>
          </w:tcPr>
          <w:p>
            <w:pPr>
              <w:spacing w:after="0"/>
              <w:rPr>
                <w:sz w:val="22"/>
                <w:szCs w:val="22"/>
                <w:color w:val="auto"/>
              </w:rPr>
            </w:pPr>
          </w:p>
        </w:tc>
      </w:tr>
      <w:tr>
        <w:trPr>
          <w:trHeight w:val="160"/>
        </w:trPr>
        <w:tc>
          <w:tcPr>
            <w:tcW w:w="6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2380" w:type="dxa"/>
            <w:vAlign w:val="bottom"/>
            <w:gridSpan w:val="2"/>
            <w:shd w:val="clear" w:color="auto" w:fill="CCEEFF"/>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r>
      <w:tr>
        <w:trPr>
          <w:trHeight w:val="213"/>
        </w:trPr>
        <w:tc>
          <w:tcPr>
            <w:tcW w:w="6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5,113.8</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w:t>
            </w:r>
          </w:p>
        </w:tc>
      </w:tr>
      <w:tr>
        <w:trPr>
          <w:trHeight w:val="23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2025. Our exposure to market risk has not changed materially since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2026,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8" w:name="page29"/>
    <w:bookmarkEnd w:id="28"/>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Class Actions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March 20, 2026, seven HVAC equipment manufacturers (and certain of their affiliated companies), including the Company, were named as defendants in a complaint filed in the U.S. District Court for the Eastern District of Michigan on behalf of a putative class that alleges violations of Section 1 of the Sherman Antitrust Act of 1890, as amended, and certain state laws. Additional class action complaints were filed in April 2026 in the same court, based on similar allegations. The cases were consolidated under the caption In re HVAC Equipment Antitrust Litigation, No. 2:26-cv-10949 (E.D. Mich.).</w:t>
      </w:r>
    </w:p>
    <w:p>
      <w:pPr>
        <w:spacing w:after="0" w:line="208"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The complaints allege that the defendants conspired to fix, raise, maintain, and/or stabilize prices of HVAC equipment. The alleged class is defined as including all persons who purchased HVAC equipment in the U.S. during the period from January 1, 2020 to the present which was manufactured by one or more defendants for end use in a residential or commercial building. The complaints seek to recover an unspecified amount of damages, injunctive relief, and attorneys’ fees on behalf of the putative class.</w:t>
      </w:r>
    </w:p>
    <w:p>
      <w:pPr>
        <w:spacing w:after="0" w:line="215"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The Company disputes these allegations and plans to vigorously defend itself. At this stage of the antitrust litigation, the Company cannot reasonably estimate the range of possible loss, if any, or the timing, outcome, or consequence of this litigation. An adverse outcome in this litigation could have a material adverse impact on the Company’s business, financial position, results of operations, or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Claims</w:t>
      </w:r>
    </w:p>
    <w:p>
      <w:pPr>
        <w:spacing w:after="0" w:line="251"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We are involved in a number of other claims and lawsuits incidental to the operation of our businesses. Where appropriate, insurance coverages are maintained and estimated costs are recorded for such claims and lawsuits. It is management's opinion that none of these other claims or lawsuits will have a material adverse effect, individually or in the aggregate, on our financial position, results of operations or cash flows.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2025, which could materially affect our business, financial condition or results of operations. There have been no material changes to our risk factors from those disclosed in our Annual Report on Form 10-K for the year ended December 31, 2025.</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first quarter of 2026, we purchased shares of our common stock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6"/>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530.88</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552.69</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490.41</w:t>
            </w:r>
          </w:p>
        </w:tc>
        <w:tc>
          <w:tcPr>
            <w:tcW w:w="2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left="400" w:hanging="153"/>
        <w:spacing w:after="0" w:line="597" w:lineRule="auto"/>
        <w:tabs>
          <w:tab w:leader="none" w:pos="403"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Since the inception of the Company’s share repurchase program in 2008, the Board has authorized share repurchases in an amount not to exceed $5.0 billion (the "Share Repurchase Plans"). The Share Repurchase Plans do not have an expiration date. See Note 5 in the Notes to the Consolidated Financial Statements for further details.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Sivasankaran Somasundaram, a director, adopted a non-Rule 10b5-1 trading arrangement on February 11, 2026, pursuant to which he elected to receive all of his director retainer to be paid between July 1, 2026 and June 30, 2027 in shares of the Company's common stock. The amount of shares to be awarded will be determined based on the closing price of the Company's common stock on the second Friday of each quarter during the payment period. This trading plan was entered into during an open insider trading window and is intended to satisfy the affirmative defense of Rule 10b5-1(c) under the Exchange Act and the Company's policies regarding transactions in the Company's securities.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20"/>
            <w:shd w:val="clear" w:color="auto" w:fill="CCEEFF"/>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3">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20"/>
          </w:tcPr>
          <w:p>
            <w:pPr>
              <w:spacing w:after="0" w:line="187"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20"/>
            <w:shd w:val="clear" w:color="auto" w:fill="CCEEFF"/>
          </w:tcPr>
          <w:p>
            <w:pPr>
              <w:spacing w:after="0" w:line="187"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20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520" w:type="dxa"/>
            <w:vAlign w:val="bottom"/>
            <w:tcBorders>
              <w:top w:val="single" w:sz="8" w:color="0000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20" w:type="dxa"/>
            <w:vAlign w:val="bottom"/>
            <w:gridSpan w:val="20"/>
          </w:tcPr>
          <w:p>
            <w:pPr>
              <w:spacing w:after="0" w:line="187"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20" w:type="dxa"/>
            <w:vAlign w:val="bottom"/>
            <w:gridSpan w:val="20"/>
            <w:shd w:val="clear" w:color="auto" w:fill="CCEEFF"/>
          </w:tcPr>
          <w:p>
            <w:pPr>
              <w:spacing w:after="0" w:line="187"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herein by reference).</w:t>
              </w:r>
            </w:hyperlink>
          </w:p>
        </w:tc>
        <w:tc>
          <w:tcPr>
            <w:tcW w:w="872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4.4</w:t>
            </w:r>
          </w:p>
        </w:tc>
        <w:tc>
          <w:tcPr>
            <w:tcW w:w="10220" w:type="dxa"/>
            <w:vAlign w:val="bottom"/>
            <w:gridSpan w:val="20"/>
          </w:tcPr>
          <w:p>
            <w:pPr>
              <w:spacing w:after="0" w:line="187"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60" w:type="dxa"/>
            <w:vAlign w:val="bottom"/>
            <w:gridSpan w:val="17"/>
          </w:tcPr>
          <w:p>
            <w:pPr>
              <w:spacing w:after="0" w:line="16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February 15, 2022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20" w:type="dxa"/>
            <w:vAlign w:val="bottom"/>
            <w:gridSpan w:val="20"/>
            <w:shd w:val="clear" w:color="auto" w:fill="CCEEFF"/>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shd w:val="clear" w:color="auto" w:fill="CCEE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8"/>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10220" w:type="dxa"/>
            <w:vAlign w:val="bottom"/>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0000FF"/>
            </w:tcBorders>
            <w:gridSpan w:val="18"/>
            <w:shd w:val="clear" w:color="auto" w:fill="CCEEFF"/>
          </w:tcPr>
          <w:p>
            <w:pPr>
              <w:spacing w:after="0" w:line="16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by reference).</w:t>
              </w:r>
            </w:hyperlink>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20" w:type="dxa"/>
            <w:vAlign w:val="bottom"/>
            <w:gridSpan w:val="20"/>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53"/>
        </w:trPr>
        <w:tc>
          <w:tcPr>
            <w:tcW w:w="92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incorporated herein by reference).</w:t>
              </w:r>
            </w:hyperlink>
          </w:p>
        </w:tc>
        <w:tc>
          <w:tcPr>
            <w:tcW w:w="140" w:type="dxa"/>
            <w:vAlign w:val="bottom"/>
          </w:tcPr>
          <w:p>
            <w:pPr>
              <w:spacing w:after="0"/>
              <w:rPr>
                <w:sz w:val="13"/>
                <w:szCs w:val="13"/>
                <w:color w:val="auto"/>
              </w:rPr>
            </w:pPr>
          </w:p>
        </w:tc>
        <w:tc>
          <w:tcPr>
            <w:tcW w:w="360" w:type="dxa"/>
            <w:vAlign w:val="bottom"/>
            <w:gridSpan w:val="10"/>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20" w:type="dxa"/>
            <w:vAlign w:val="bottom"/>
            <w:gridSpan w:val="20"/>
            <w:shd w:val="clear" w:color="auto" w:fill="CCEEFF"/>
          </w:tcPr>
          <w:p>
            <w:pPr>
              <w:spacing w:after="0" w:line="187"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List of Guarantor Subsidiaries (filed as Exhibit 22.1 to LII’s Quarterly Report on Form 10-Q filed on October 22, 2025 and incorporated herein</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by reference).</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20"/>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2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20"/>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and the principal financial officer pursuant to 18 U.S.C. Section 1350 (furnished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-3175</wp:posOffset>
            </wp:positionV>
            <wp:extent cx="7044055"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ind w:left="1160" w:hanging="89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31" w:name="page32"/>
    <w:bookmarkEnd w:id="3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00"/>
          </w:cols>
          <w:pgMar w:left="320" w:top="1118" w:right="11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3"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200" w:hanging="313"/>
        <w:spacing w:after="0" w:line="262" w:lineRule="auto"/>
        <w:tabs>
          <w:tab w:leader="none" w:pos="9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100" w:hanging="313"/>
        <w:spacing w:after="0" w:line="277" w:lineRule="auto"/>
        <w:tabs>
          <w:tab w:leader="none" w:pos="9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40" w:hanging="313"/>
        <w:spacing w:after="0" w:line="277"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3"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60" w:hanging="633"/>
        <w:spacing w:after="0" w:line="262" w:lineRule="auto"/>
        <w:tabs>
          <w:tab w:leader="none" w:pos="12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600" w:hanging="633"/>
        <w:spacing w:after="0" w:line="307" w:lineRule="auto"/>
        <w:tabs>
          <w:tab w:leader="none" w:pos="127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March 31, 2026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972"/>
    </w:lvl>
  </w:abstractNum>
  <w:abstractNum w:abstractNumId="3">
    <w:nsid w:val="1F16E9E8"/>
    <w:multiLevelType w:val="hybridMultilevel"/>
    <w:lvl w:ilvl="0">
      <w:lvlJc w:val="left"/>
      <w:lvlText w:val="(%1)"/>
      <w:numFmt w:val="decimal"/>
      <w:start w:val="1"/>
    </w:lvl>
    <w:lvl w:ilvl="1">
      <w:lvlJc w:val="left"/>
      <w:lvlText w:val="•"/>
      <w:numFmt w:val="bullet"/>
      <w:start w:val="1"/>
    </w:lvl>
  </w:abstractNum>
  <w:abstractNum w:abstractNumId="4">
    <w:nsid w:val="1190CDE7"/>
    <w:multiLevelType w:val="hybridMultilevel"/>
    <w:lvl w:ilvl="0">
      <w:lvlJc w:val="left"/>
      <w:lvlText w:val="(%1)"/>
      <w:numFmt w:val="decimal"/>
      <w:start w:val="1"/>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43" Type="http://schemas.openxmlformats.org/officeDocument/2006/relationships/hyperlink" Target="https://www.sec.gov/Archives/edgar/data/1069202/000162828023004257/lii-ex31_20221231x10k.htm" TargetMode="External"/><Relationship Id="rId44" Type="http://schemas.openxmlformats.org/officeDocument/2006/relationships/hyperlink" Target="https://www.sec.gov/Archives/edgar/data/1069202/000162828023004257/lii-ex32_20221231x10k.htm" TargetMode="External"/><Relationship Id="rId45" Type="http://schemas.openxmlformats.org/officeDocument/2006/relationships/hyperlink" Target="https://www.sec.gov/Archives/edgar/data/1017609/000095012310042399/d72548exv4w3.htm" TargetMode="External"/><Relationship Id="rId46" Type="http://schemas.openxmlformats.org/officeDocument/2006/relationships/hyperlink" Target="https://www.sec.gov/Archives/edgar/data/1069202/000119312520203588/d22651dex42.htm" TargetMode="External"/><Relationship Id="rId47" Type="http://schemas.openxmlformats.org/officeDocument/2006/relationships/hyperlink" Target="https://www.sec.gov/Archives/edgar/data/1069202/000162828022002664/lii-ex47_20211231x10k.htm" TargetMode="External"/><Relationship Id="rId48" Type="http://schemas.openxmlformats.org/officeDocument/2006/relationships/hyperlink" Target="https://www.sec.gov/Archives/edgar/data/1069202/000162828023032385/exhibit42eleventhsupplemen.htm" TargetMode="External"/><Relationship Id="rId49" Type="http://schemas.openxmlformats.org/officeDocument/2006/relationships/hyperlink" Target="https://www.sec.gov/Archives/edgar/data/1069202/000106920225000048/lii-ex221_202593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2026-04-29T14:09:50Z</dcterms:created>
  <dcterms:modified xsi:type="dcterms:W3CDTF">2026-04-29T14:09:50Z</dcterms:modified>
</cp:coreProperties>
</file>