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001-15149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42-0991521</w:t>
      </w:r>
    </w:p>
    <w:p>
      <w:pPr>
        <w:spacing w:after="0" w:line="40" w:lineRule="exact"/>
        <w:rPr>
          <w:sz w:val="24"/>
          <w:szCs w:val="24"/>
          <w:color w:val="auto"/>
        </w:rPr>
      </w:pPr>
    </w:p>
    <w:p>
      <w:pPr>
        <w:sectPr>
          <w:pgSz w:w="11900" w:h="16838" w:orient="portrait"/>
          <w:cols w:equalWidth="0" w:num="3">
            <w:col w:w="4620" w:space="720"/>
            <w:col w:w="2660" w:space="720"/>
            <w:col w:w="2360"/>
          </w:cols>
          <w:pgMar w:left="320" w:top="999" w:right="49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8" w:lineRule="exact"/>
        <w:rPr>
          <w:sz w:val="24"/>
          <w:szCs w:val="24"/>
          <w:color w:val="auto"/>
        </w:rPr>
      </w:pPr>
    </w:p>
    <w:p>
      <w:pPr>
        <w:sectPr>
          <w:pgSz w:w="11900" w:h="16838" w:orient="portrait"/>
          <w:cols w:equalWidth="0" w:num="3">
            <w:col w:w="4520" w:space="720"/>
            <w:col w:w="2520" w:space="720"/>
            <w:col w:w="2600"/>
          </w:cols>
          <w:pgMar w:left="320" w:top="99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2140 LAKE PARK BLVD.,</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RICHARDSON, Texas 75080</w:t>
      </w:r>
    </w:p>
    <w:p>
      <w:pPr>
        <w:sectPr>
          <w:pgSz w:w="11900" w:h="16838" w:orient="portrait"/>
          <w:cols w:equalWidth="0" w:num="1">
            <w:col w:w="11080"/>
          </w:cols>
          <w:pgMar w:left="320" w:top="999" w:right="499" w:bottom="1440" w:gutter="0" w:footer="0" w:header="0"/>
          <w:type w:val="continuous"/>
        </w:sectPr>
      </w:pPr>
    </w:p>
    <w:p>
      <w:pPr>
        <w:spacing w:after="0" w:line="2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972</w:t>
      </w:r>
      <w:r>
        <w:rPr>
          <w:rFonts w:ascii="Times New Roman" w:cs="Times New Roman" w:eastAsia="Times New Roman" w:hAnsi="Times New Roman"/>
          <w:sz w:val="18"/>
          <w:szCs w:val="18"/>
          <w:b w:val="1"/>
          <w:bCs w:val="1"/>
          <w:color w:val="auto"/>
        </w:rPr>
        <w:t>)497-5000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8"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3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252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vMerge w:val="restart"/>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25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0" w:type="dxa"/>
            <w:vAlign w:val="bottom"/>
          </w:tcPr>
          <w:p>
            <w:pPr>
              <w:spacing w:after="0"/>
              <w:rPr>
                <w:sz w:val="1"/>
                <w:szCs w:val="1"/>
                <w:color w:val="auto"/>
              </w:rPr>
            </w:pPr>
          </w:p>
        </w:tc>
      </w:tr>
      <w:tr>
        <w:trPr>
          <w:trHeight w:val="243"/>
        </w:trPr>
        <w:tc>
          <w:tcPr>
            <w:tcW w:w="43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72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LII</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27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47" w:lineRule="exact"/>
        <w:rPr>
          <w:sz w:val="20"/>
          <w:szCs w:val="20"/>
          <w:color w:val="auto"/>
        </w:rPr>
      </w:pPr>
    </w:p>
    <w:p>
      <w:pPr>
        <w:ind w:right="360" w:firstLine="405"/>
        <w:spacing w:after="0" w:line="255" w:lineRule="auto"/>
        <w:rPr>
          <w:sz w:val="20"/>
          <w:szCs w:val="20"/>
          <w:color w:val="auto"/>
        </w:rPr>
      </w:pPr>
      <w:r>
        <w:rPr>
          <w:rFonts w:ascii="Times New Roman" w:cs="Times New Roman" w:eastAsia="Times New Roman" w:hAnsi="Times New Roman"/>
          <w:sz w:val="20"/>
          <w:szCs w:val="20"/>
          <w:color w:val="auto"/>
        </w:rPr>
        <w:t>On October 28, 2026, Lennox International Inc. (the “Company”) issued a press release announcing its financial results for the third quarter of 2026. A copy of the press release is furnished as Exhibit 99.1 to this report.</w:t>
      </w:r>
    </w:p>
    <w:p>
      <w:pPr>
        <w:spacing w:after="0" w:line="19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3"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(d)</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EXHIBIT</w:t>
      </w:r>
    </w:p>
    <w:p>
      <w:pPr>
        <w:ind w:left="260"/>
        <w:spacing w:after="0"/>
        <w:tabs>
          <w:tab w:leader="none" w:pos="1660" w:val="left"/>
        </w:tabs>
        <w:rPr>
          <w:sz w:val="20"/>
          <w:szCs w:val="20"/>
          <w:color w:val="auto"/>
        </w:rPr>
      </w:pPr>
      <w:r>
        <w:rPr>
          <w:rFonts w:ascii="Times New Roman" w:cs="Times New Roman" w:eastAsia="Times New Roman" w:hAnsi="Times New Roman"/>
          <w:sz w:val="20"/>
          <w:szCs w:val="20"/>
          <w:b w:val="1"/>
          <w:bCs w:val="1"/>
          <w:u w:val="single" w:color="auto"/>
          <w:color w:val="auto"/>
        </w:rPr>
        <w:t>NUMBER</w:t>
      </w:r>
      <w:r>
        <w:rPr>
          <w:sz w:val="20"/>
          <w:szCs w:val="20"/>
          <w:color w:val="auto"/>
        </w:rPr>
        <w:tab/>
      </w:r>
      <w:r>
        <w:rPr>
          <w:rFonts w:ascii="Times New Roman" w:cs="Times New Roman" w:eastAsia="Times New Roman" w:hAnsi="Times New Roman"/>
          <w:sz w:val="20"/>
          <w:szCs w:val="20"/>
          <w:b w:val="1"/>
          <w:bCs w:val="1"/>
          <w:u w:val="single" w:color="auto"/>
          <w:color w:val="auto"/>
        </w:rPr>
        <w:t>DESCRIPTION</w:t>
      </w:r>
    </w:p>
    <w:p>
      <w:pPr>
        <w:spacing w:after="0" w:line="99" w:lineRule="exact"/>
        <w:rPr>
          <w:sz w:val="20"/>
          <w:szCs w:val="20"/>
          <w:color w:val="auto"/>
        </w:rPr>
      </w:pPr>
    </w:p>
    <w:p>
      <w:pPr>
        <w:ind w:left="260"/>
        <w:spacing w:after="0"/>
        <w:tabs>
          <w:tab w:leader="none" w:pos="166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October 28, 2026 (furnished herewith).</w:t>
      </w:r>
      <w:r>
        <w:rPr>
          <w:rFonts w:ascii="Times New Roman" w:cs="Times New Roman" w:eastAsia="Times New Roman" w:hAnsi="Times New Roman"/>
          <w:sz w:val="19"/>
          <w:szCs w:val="19"/>
          <w:color w:val="000000"/>
        </w:rPr>
        <w:t>*</w:t>
      </w:r>
    </w:p>
    <w:p>
      <w:pPr>
        <w:spacing w:after="0" w:line="54" w:lineRule="exact"/>
        <w:rPr>
          <w:sz w:val="20"/>
          <w:szCs w:val="20"/>
          <w:color w:val="auto"/>
        </w:rPr>
      </w:pPr>
    </w:p>
    <w:p>
      <w:pPr>
        <w:ind w:left="1680" w:hanging="1411"/>
        <w:spacing w:after="0"/>
        <w:tabs>
          <w:tab w:leader="none" w:pos="16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Inline XBRL for the cover page of this Current Report on Form 8-K.</w:t>
      </w:r>
    </w:p>
    <w:p>
      <w:pPr>
        <w:spacing w:after="0" w:line="148"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information contained in Item 2.02 and Exhibit 99.1 of this report is being “furnished” with the Securities and Exchange Commission</w:t>
      </w:r>
    </w:p>
    <w:p>
      <w:pPr>
        <w:spacing w:after="0" w:line="6" w:lineRule="exact"/>
        <w:rPr>
          <w:rFonts w:ascii="Times New Roman" w:cs="Times New Roman" w:eastAsia="Times New Roman" w:hAnsi="Times New Roman"/>
          <w:sz w:val="20"/>
          <w:szCs w:val="20"/>
          <w:color w:val="auto"/>
        </w:rPr>
      </w:pPr>
    </w:p>
    <w:p>
      <w:pPr>
        <w:ind w:left="240"/>
        <w:spacing w:after="0" w:line="2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shall not be deemed “filed” for purposes of Section 18 of the Securities Exchange Act of 1934, as amended, or otherwise subject to the liabilities under that section. Furthermore,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2"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Date: October 28, 2026</w:t>
      </w:r>
    </w:p>
    <w:p>
      <w:pPr>
        <w:spacing w:after="0" w:line="121" w:lineRule="exact"/>
        <w:rPr>
          <w:sz w:val="20"/>
          <w:szCs w:val="20"/>
          <w:color w:val="auto"/>
        </w:rPr>
      </w:pPr>
    </w:p>
    <w:tbl>
      <w:tblPr>
        <w:tblLayout w:type="fixed"/>
        <w:tblInd w:w="596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Jennifer S. Perry</w:t>
            </w: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Jennifer S. Perry</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Assistant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3111500"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Lennox Reports 2026 Third Quarter Earnings Results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rPr>
          <w:sz w:val="20"/>
          <w:szCs w:val="20"/>
          <w:color w:val="auto"/>
        </w:rPr>
      </w:pPr>
      <w:r>
        <w:rPr>
          <w:rFonts w:ascii="Arial" w:cs="Arial" w:eastAsia="Arial" w:hAnsi="Arial"/>
          <w:sz w:val="16"/>
          <w:szCs w:val="16"/>
          <w:color w:val="auto"/>
        </w:rPr>
        <w:t>(All comparisons are year-over-year, unless otherwise noted)</w:t>
      </w:r>
    </w:p>
    <w:p>
      <w:pPr>
        <w:spacing w:after="0" w:line="2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$1.6 billion, up 10%</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Operating Income of $312 million – Total segment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$323 million, down 2%</w:t>
      </w:r>
    </w:p>
    <w:p>
      <w:pPr>
        <w:spacing w:after="0" w:line="4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diluted EPS of $6.41 – Adjusted diluted EPS of $6.84, down 7%</w:t>
      </w:r>
    </w:p>
    <w:p>
      <w:pPr>
        <w:spacing w:after="0" w:line="49"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Updated full year adjusted EPS guidance of $21.00 to $21.50</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__________________________________________________________________________________</w:t>
      </w:r>
    </w:p>
    <w:p>
      <w:pPr>
        <w:spacing w:after="0" w:line="12" w:lineRule="exact"/>
        <w:rPr>
          <w:rFonts w:ascii="Arial" w:cs="Arial" w:eastAsia="Arial" w:hAnsi="Arial"/>
          <w:sz w:val="20"/>
          <w:szCs w:val="20"/>
          <w:color w:val="auto"/>
        </w:rPr>
      </w:pPr>
    </w:p>
    <w:p>
      <w:pPr>
        <w:ind w:right="22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 xml:space="preserve">DALLAS, October 28, 2026 – Lennox (NYSE: LII), </w:t>
      </w:r>
      <w:r>
        <w:rPr>
          <w:rFonts w:ascii="Arial" w:cs="Arial" w:eastAsia="Arial" w:hAnsi="Arial"/>
          <w:sz w:val="20"/>
          <w:szCs w:val="20"/>
          <w:color w:val="auto"/>
        </w:rPr>
        <w:t>a leader in energy-efficient building and home comfort solutions,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third-quarter revenue of $1.6 billion, up 10%. GAAP operating income was $312 million, with an operating margin of 19.8%. Total segment profit¹ was $323 million, down 2%, and total segment margin declined 240 basis points to 20.6%. GAAP diluted earnings per share were $6.41, and adjusted diluted earnings per share were $6.84, down 7%.</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20"/>
          <w:szCs w:val="20"/>
          <w:color w:val="auto"/>
        </w:rPr>
        <w:t>“In the third-quarter, Building Climate Solutions continued to deliver strong revenue growth and residential end-markets began stabilizing. However, our margins and results fell short of our expectations, reflecting heightened competitive pressure and the impact of persistent inflation on our costs,” said Alok Maskara, Chief Executive Officer. “We are retooling our processes to more effectively pass through cost increases while accelerating productivity. Despite the near-term challenges, we remain confident in our strategy and the long-term resilience of our business model.”</w:t>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Home Comfort Solutions revenue increased 3% in the third quarter, while segment margin declined 490 basis points. Targeted price adjustments in select market segments were implemented to defend and recapture share. Those actions, combined with inflation and tariff-related costs weighed on profitability. Looking ahead, priorities include mitigating share challenges, advancing productivity and tariff mitigation initiatives, and introducing new products in the entry-tier portfolio.</w:t>
      </w:r>
    </w:p>
    <w:p>
      <w:pPr>
        <w:spacing w:after="0" w:line="214"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Building Climate Solutions revenue increased 24% in the third quarter, including organic growth of 15%, with continued strength across commercial HVAC, refrigeration, and services. Segment margin remained strong at 26.2%, despite a 110 basis point decline from record margins in the prior-year period. Growth was fueled by business development across the segment, and we still expect full year margins to expand despite inflation and tariff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unallocated corporate expenses</w:t>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 QUARTER 2026 FINANCIAL HIGHLIGHTS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(All comparisons are year-over-year, unless otherwise noted)</w:t>
      </w:r>
    </w:p>
    <w:p>
      <w:pPr>
        <w:spacing w:after="0" w:line="209" w:lineRule="exact"/>
        <w:rPr>
          <w:sz w:val="20"/>
          <w:szCs w:val="20"/>
          <w:color w:val="auto"/>
        </w:rPr>
      </w:pPr>
    </w:p>
    <w:p>
      <w:pPr>
        <w:ind w:right="720"/>
        <w:spacing w:after="0" w:line="259"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$1.6 billion, up 10%, driven by organic growth in Building Climate Solutions and contributions from completed</w:t>
      </w:r>
      <w:r>
        <w:rPr>
          <w:rFonts w:ascii="Arial" w:cs="Arial" w:eastAsia="Arial" w:hAnsi="Arial"/>
          <w:sz w:val="20"/>
          <w:szCs w:val="20"/>
          <w:b w:val="1"/>
          <w:bCs w:val="1"/>
          <w:color w:val="auto"/>
        </w:rPr>
        <w:t xml:space="preserve"> </w:t>
      </w:r>
      <w:r>
        <w:rPr>
          <w:rFonts w:ascii="Arial" w:cs="Arial" w:eastAsia="Arial" w:hAnsi="Arial"/>
          <w:sz w:val="20"/>
          <w:szCs w:val="20"/>
          <w:color w:val="auto"/>
        </w:rPr>
        <w:t>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$312 million, down 5%, with an operating margin of 19.8%, down 320 basis points.</w:t>
      </w:r>
    </w:p>
    <w:p>
      <w:pPr>
        <w:spacing w:after="0" w:line="219" w:lineRule="exact"/>
        <w:rPr>
          <w:sz w:val="20"/>
          <w:szCs w:val="20"/>
          <w:color w:val="auto"/>
        </w:rPr>
      </w:pPr>
    </w:p>
    <w:p>
      <w:pPr>
        <w:spacing w:after="0" w:line="208" w:lineRule="auto"/>
        <w:rPr>
          <w:sz w:val="20"/>
          <w:szCs w:val="20"/>
          <w:color w:val="auto"/>
        </w:rPr>
      </w:pPr>
      <w:r>
        <w:rPr>
          <w:rFonts w:ascii="Arial" w:cs="Arial" w:eastAsia="Arial" w:hAnsi="Arial"/>
          <w:sz w:val="20"/>
          <w:szCs w:val="20"/>
          <w:u w:val="single" w:color="auto"/>
          <w:color w:val="auto"/>
        </w:rPr>
        <w:t>Total Segment Profit</w:t>
      </w:r>
      <w:r>
        <w:rPr>
          <w:rFonts w:ascii="Arial" w:cs="Arial" w:eastAsia="Arial" w:hAnsi="Arial"/>
          <w:sz w:val="25"/>
          <w:szCs w:val="25"/>
          <w:color w:val="auto"/>
          <w:vertAlign w:val="superscript"/>
        </w:rPr>
        <w:t>1</w:t>
      </w:r>
      <w:r>
        <w:rPr>
          <w:rFonts w:ascii="Arial" w:cs="Arial" w:eastAsia="Arial" w:hAnsi="Arial"/>
          <w:sz w:val="20"/>
          <w:szCs w:val="20"/>
          <w:color w:val="auto"/>
        </w:rPr>
        <w:t>: $323 million, down 2%, with total segment profit margin of 20.6%, down 240 basis points. Profitability was impacted by a $45 million headwind from product cost inflation, including tariffs, and lower factory absorption. Additional</w:t>
      </w:r>
    </w:p>
    <w:p>
      <w:pPr>
        <w:spacing w:after="0" w:line="225" w:lineRule="auto"/>
        <w:rPr>
          <w:sz w:val="20"/>
          <w:szCs w:val="20"/>
          <w:color w:val="auto"/>
        </w:rPr>
      </w:pPr>
      <w:r>
        <w:rPr>
          <w:rFonts w:ascii="Arial" w:cs="Arial" w:eastAsia="Arial" w:hAnsi="Arial"/>
          <w:sz w:val="20"/>
          <w:szCs w:val="20"/>
          <w:color w:val="auto"/>
        </w:rPr>
        <w:t>pressure came from $15 million of higher fuel costs, inflation across SG&amp;A and distribution, and ongoing investments. These</w:t>
      </w:r>
    </w:p>
    <w:p>
      <w:pPr>
        <w:spacing w:after="0" w:line="1"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headwinds were partially offset by $13 million from higher sales volumes, $21 million of mix and price benefits, and $20 million contribution from completed acquisitions.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Net Income: </w:t>
      </w:r>
      <w:r>
        <w:rPr>
          <w:rFonts w:ascii="Arial" w:cs="Arial" w:eastAsia="Arial" w:hAnsi="Arial"/>
          <w:sz w:val="20"/>
          <w:szCs w:val="20"/>
          <w:color w:val="auto"/>
        </w:rPr>
        <w:t>$221 million, or $6.41 per share, compared to $260 million, or $7.38 per share, in the prior-year quarter.</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Net Income</w:t>
      </w:r>
      <w:r>
        <w:rPr>
          <w:rFonts w:ascii="Arial" w:cs="Arial" w:eastAsia="Arial" w:hAnsi="Arial"/>
          <w:sz w:val="21"/>
          <w:szCs w:val="21"/>
          <w:color w:val="auto"/>
        </w:rPr>
        <w:t>:</w:t>
      </w:r>
      <w:r>
        <w:rPr>
          <w:rFonts w:ascii="Arial" w:cs="Arial" w:eastAsia="Arial" w:hAnsi="Arial"/>
          <w:sz w:val="20"/>
          <w:szCs w:val="20"/>
          <w:color w:val="auto"/>
        </w:rPr>
        <w:t xml:space="preserve"> $236 million, or $6.84 per share, compared to $260 million, or $7.38 per share, in the prior-year quarter.</w:t>
      </w:r>
    </w:p>
    <w:p>
      <w:pPr>
        <w:spacing w:after="0" w:line="247"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Operating cash flow was $395 million compared to $301 million in the prior-year quarter, driven by reduced</w:t>
      </w:r>
      <w:r>
        <w:rPr>
          <w:rFonts w:ascii="Arial" w:cs="Arial" w:eastAsia="Arial" w:hAnsi="Arial"/>
          <w:sz w:val="20"/>
          <w:szCs w:val="20"/>
          <w:b w:val="1"/>
          <w:bCs w:val="1"/>
          <w:color w:val="auto"/>
        </w:rPr>
        <w:t xml:space="preserve"> </w:t>
      </w:r>
      <w:r>
        <w:rPr>
          <w:rFonts w:ascii="Arial" w:cs="Arial" w:eastAsia="Arial" w:hAnsi="Arial"/>
          <w:sz w:val="20"/>
          <w:szCs w:val="20"/>
          <w:color w:val="auto"/>
        </w:rPr>
        <w:t>inventory levels. Net capital expenditure was $33 million compared to $35 million in the prior-year quarter. Share repurchases totaled $151 million.</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 xml:space="preserve">Home Comfort Solutions: </w:t>
      </w:r>
      <w:r>
        <w:rPr>
          <w:rFonts w:ascii="Arial" w:cs="Arial" w:eastAsia="Arial" w:hAnsi="Arial"/>
          <w:sz w:val="20"/>
          <w:szCs w:val="20"/>
          <w:color w:val="auto"/>
        </w:rPr>
        <w:t>Business segment revenue was $937 million, up 3%. Segment profit was $176 million, down 18%,</w:t>
      </w:r>
      <w:r>
        <w:rPr>
          <w:rFonts w:ascii="Arial" w:cs="Arial" w:eastAsia="Arial" w:hAnsi="Arial"/>
          <w:sz w:val="20"/>
          <w:szCs w:val="20"/>
          <w:b w:val="1"/>
          <w:bCs w:val="1"/>
          <w:color w:val="auto"/>
        </w:rPr>
        <w:t xml:space="preserve"> </w:t>
      </w:r>
      <w:r>
        <w:rPr>
          <w:rFonts w:ascii="Arial" w:cs="Arial" w:eastAsia="Arial" w:hAnsi="Arial"/>
          <w:sz w:val="20"/>
          <w:szCs w:val="20"/>
          <w:color w:val="auto"/>
        </w:rPr>
        <w:t>and segment margin was 18.7%, down 490 basis points. Profits declined $40 million versus the prior-year quarter, primarily reflecting a $12 million profit headwind from lower sales volumes. Product cost inflation, including tariffs, and lower factory absorption resulted in a $32 million headwind. Profit was further impacted by $15 million of higher fuel costs, inflation across SG&amp;A and distribution, and ongoing investments. These pressures were partially offset by $13 million of mix and price benefits and $6 million from completed acquisitions.</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Building Climate Solutions: </w:t>
      </w:r>
      <w:r>
        <w:rPr>
          <w:rFonts w:ascii="Arial" w:cs="Arial" w:eastAsia="Arial" w:hAnsi="Arial"/>
          <w:sz w:val="20"/>
          <w:szCs w:val="20"/>
          <w:color w:val="auto"/>
        </w:rPr>
        <w:t>Business segment revenue was $635 million, up 24%. Segment profit was $167 million, up $26</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19%, and segment margin declined 110 basis points to 26.2%. The profit increase primarily reflected $24 million from higher sales volumes, $ 8 million of mix and price benefits, and $13 million from completed acquisitions. These benefits were partially offset by a $14 million headwind from product cost inflation, including tariffs, and lower factory absorption. Higher SG&amp;A and distribution costs reduced profit by an additional $5 million.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Corporate and Other: </w:t>
      </w:r>
      <w:r>
        <w:rPr>
          <w:rFonts w:ascii="Arial" w:cs="Arial" w:eastAsia="Arial" w:hAnsi="Arial"/>
          <w:sz w:val="20"/>
          <w:szCs w:val="20"/>
          <w:color w:val="auto"/>
        </w:rPr>
        <w:t>Corporate expenses were $19 million, down $8 million from the prior-year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unallocated corporate expenses</w:t>
      </w:r>
    </w:p>
    <w:p>
      <w:pPr>
        <w:sectPr>
          <w:pgSz w:w="11900" w:h="16838" w:orient="portrait"/>
          <w:cols w:equalWidth="0" w:num="1">
            <w:col w:w="11200"/>
          </w:cols>
          <w:pgMar w:left="320" w:top="602"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FULL YEAR 2026 GUIDANCE</w:t>
      </w:r>
    </w:p>
    <w:p>
      <w:pPr>
        <w:ind w:right="820"/>
        <w:spacing w:after="0" w:line="239" w:lineRule="auto"/>
        <w:rPr>
          <w:sz w:val="20"/>
          <w:szCs w:val="20"/>
          <w:color w:val="auto"/>
        </w:rPr>
      </w:pPr>
      <w:r>
        <w:rPr>
          <w:rFonts w:ascii="Arial" w:cs="Arial" w:eastAsia="Arial" w:hAnsi="Arial"/>
          <w:sz w:val="20"/>
          <w:szCs w:val="20"/>
          <w:color w:val="auto"/>
        </w:rPr>
        <w:t>For full year 2026, we are revising the revenue growth guidance at approximately 6% growth, including 5% benefit from completed acquisitions.</w:t>
      </w:r>
    </w:p>
    <w:p>
      <w:pPr>
        <w:spacing w:after="0" w:line="199"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Adjusted earnings per share guidance has been updated to a range of $21.00 to $21.50 compared to the prior range of $23.00 to $24.00.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guidance updated to $700 million to $750 million.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3" w:lineRule="exact"/>
        <w:rPr>
          <w:sz w:val="20"/>
          <w:szCs w:val="20"/>
          <w:color w:val="auto"/>
        </w:rPr>
      </w:pPr>
    </w:p>
    <w:p>
      <w:pPr>
        <w:ind w:right="260"/>
        <w:spacing w:after="0" w:line="229" w:lineRule="auto"/>
        <w:rPr>
          <w:sz w:val="20"/>
          <w:szCs w:val="20"/>
          <w:color w:val="auto"/>
        </w:rPr>
      </w:pPr>
      <w:r>
        <w:rPr>
          <w:rFonts w:ascii="Arial" w:cs="Arial" w:eastAsia="Arial" w:hAnsi="Arial"/>
          <w:sz w:val="21"/>
          <w:szCs w:val="21"/>
          <w:color w:val="auto"/>
        </w:rPr>
        <w:t xml:space="preserve">A conference call to discuss the company’s 2026 third quarter results will be held this morning at 8:30 a.m. Central Time. </w:t>
      </w:r>
      <w:r>
        <w:rPr>
          <w:rFonts w:ascii="Arial" w:cs="Arial" w:eastAsia="Arial" w:hAnsi="Arial"/>
          <w:sz w:val="18"/>
          <w:szCs w:val="18"/>
          <w:color w:val="auto"/>
        </w:rPr>
        <w:t>To participate in the earnings conference, please call</w:t>
      </w:r>
      <w:r>
        <w:rPr>
          <w:rFonts w:ascii="Arial" w:cs="Arial" w:eastAsia="Arial" w:hAnsi="Arial"/>
          <w:sz w:val="21"/>
          <w:szCs w:val="21"/>
          <w:color w:val="auto"/>
        </w:rPr>
        <w:t xml:space="preserve"> 800-347-6865 (U.S.) </w:t>
      </w:r>
      <w:r>
        <w:rPr>
          <w:rFonts w:ascii="Arial" w:cs="Arial" w:eastAsia="Arial" w:hAnsi="Arial"/>
          <w:sz w:val="18"/>
          <w:szCs w:val="18"/>
          <w:color w:val="auto"/>
        </w:rPr>
        <w:t>or +1 203-518-9757 (international) at least</w:t>
      </w:r>
    </w:p>
    <w:p>
      <w:pPr>
        <w:spacing w:after="0" w:line="238" w:lineRule="auto"/>
        <w:rPr>
          <w:sz w:val="20"/>
          <w:szCs w:val="20"/>
          <w:color w:val="auto"/>
        </w:rPr>
      </w:pPr>
      <w:r>
        <w:rPr>
          <w:rFonts w:ascii="Arial" w:cs="Arial" w:eastAsia="Arial" w:hAnsi="Arial"/>
          <w:sz w:val="19"/>
          <w:szCs w:val="19"/>
          <w:color w:val="auto"/>
        </w:rPr>
        <w:t>10 minutes prior to the scheduled start time and use conference ID LIIQ326. The conference call also will be webcast live on the</w:t>
      </w:r>
    </w:p>
    <w:p>
      <w:pPr>
        <w:ind w:right="180"/>
        <w:spacing w:after="0" w:line="218" w:lineRule="auto"/>
        <w:rPr>
          <w:sz w:val="20"/>
          <w:szCs w:val="20"/>
          <w:color w:val="auto"/>
        </w:rPr>
      </w:pPr>
      <w:r>
        <w:rPr>
          <w:rFonts w:ascii="Arial" w:cs="Arial" w:eastAsia="Arial" w:hAnsi="Arial"/>
          <w:sz w:val="20"/>
          <w:szCs w:val="20"/>
          <w:color w:val="auto"/>
        </w:rPr>
        <w:t>company’s investor relations website at investor.lennox.com. A replay of the conference call will be available until November 4, 2026, by calling toll-free 800-839-5490 (U.S.) or +1 402-220-2550 (international). The call will also be archived on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company's investor relations website at investor.lennox.com.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LENNOX</w:t>
      </w:r>
    </w:p>
    <w:p>
      <w:pPr>
        <w:ind w:right="40" w:firstLine="3"/>
        <w:spacing w:after="0" w:line="237" w:lineRule="auto"/>
        <w:rPr>
          <w:sz w:val="20"/>
          <w:szCs w:val="20"/>
          <w:color w:val="auto"/>
        </w:rPr>
      </w:pPr>
      <w:r>
        <w:rPr>
          <w:rFonts w:ascii="Arial" w:cs="Arial" w:eastAsia="Arial" w:hAnsi="Arial"/>
          <w:sz w:val="19"/>
          <w:szCs w:val="19"/>
          <w:color w:val="auto"/>
        </w:rPr>
        <w:t>Lennox (NYSE: LII) is a leader in energy-efficient building solutions and is committed to creating healthier and more comfortable environments. Serving residential and commercial customers, the company delivers innovative heating, cooling, indoor air</w:t>
      </w:r>
    </w:p>
    <w:p>
      <w:pPr>
        <w:ind w:right="540"/>
        <w:spacing w:after="0" w:line="229" w:lineRule="auto"/>
        <w:rPr>
          <w:sz w:val="20"/>
          <w:szCs w:val="20"/>
          <w:color w:val="auto"/>
        </w:rPr>
      </w:pPr>
      <w:r>
        <w:rPr>
          <w:rFonts w:ascii="Arial" w:cs="Arial" w:eastAsia="Arial" w:hAnsi="Arial"/>
          <w:sz w:val="19"/>
          <w:szCs w:val="19"/>
          <w:color w:val="auto"/>
        </w:rPr>
        <w:t>quality, refrigeration, and water heating systems. Through trusted products, parts, and services, and advanced technology, Lennox delivers connected solutions that support the full lifecycle of customer needs. Additional information on Lennox 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available at Lennox.com or by contacting investor@lennox.com.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 &amp; NON-GAAP FINANCIAL MEASURES</w:t>
      </w:r>
    </w:p>
    <w:p>
      <w:pPr>
        <w:spacing w:after="0" w:line="6" w:lineRule="exact"/>
        <w:rPr>
          <w:sz w:val="20"/>
          <w:szCs w:val="20"/>
          <w:color w:val="auto"/>
        </w:rPr>
      </w:pPr>
    </w:p>
    <w:p>
      <w:pPr>
        <w:ind w:right="380"/>
        <w:spacing w:after="0" w:line="237" w:lineRule="auto"/>
        <w:rPr>
          <w:sz w:val="20"/>
          <w:szCs w:val="20"/>
          <w:color w:val="auto"/>
        </w:rPr>
      </w:pPr>
      <w:r>
        <w:rPr>
          <w:rFonts w:ascii="Arial" w:cs="Arial" w:eastAsia="Arial" w:hAnsi="Arial"/>
          <w:sz w:val="19"/>
          <w:szCs w:val="19"/>
          <w:color w:val="auto"/>
        </w:rPr>
        <w:t>The statements in this document that are not historical statements, including statements regarding the 2026 full-year outlook and expected consolidated and segment financial results, as well as financial targets for future years, are forward-looking</w:t>
      </w:r>
    </w:p>
    <w:p>
      <w:pPr>
        <w:ind w:right="60"/>
        <w:spacing w:after="0" w:line="229" w:lineRule="auto"/>
        <w:rPr>
          <w:sz w:val="20"/>
          <w:szCs w:val="20"/>
          <w:color w:val="auto"/>
        </w:rPr>
      </w:pPr>
      <w:r>
        <w:rPr>
          <w:rFonts w:ascii="Arial" w:cs="Arial" w:eastAsia="Arial" w:hAnsi="Arial"/>
          <w:sz w:val="19"/>
          <w:szCs w:val="19"/>
          <w:color w:val="auto"/>
        </w:rPr>
        <w:t>statements within the meaning of the Private Securities Litigation Reform Act of 1995. These forward-looking statements are based on information currently available as well as management’s assumptions and beliefs today. These statements are subject</w:t>
      </w:r>
    </w:p>
    <w:p>
      <w:pPr>
        <w:spacing w:after="0" w:line="227" w:lineRule="auto"/>
        <w:rPr>
          <w:sz w:val="20"/>
          <w:szCs w:val="20"/>
          <w:color w:val="auto"/>
        </w:rPr>
      </w:pPr>
      <w:r>
        <w:rPr>
          <w:rFonts w:ascii="Arial" w:cs="Arial" w:eastAsia="Arial" w:hAnsi="Arial"/>
          <w:sz w:val="20"/>
          <w:szCs w:val="20"/>
          <w:color w:val="auto"/>
        </w:rPr>
        <w:t>to numerous risks and uncertainties that could cause actual results to differ materially from the results expressed or implied by</w:t>
      </w:r>
    </w:p>
    <w:p>
      <w:pPr>
        <w:ind w:right="160"/>
        <w:spacing w:after="0" w:line="229" w:lineRule="auto"/>
        <w:rPr>
          <w:sz w:val="20"/>
          <w:szCs w:val="20"/>
          <w:color w:val="auto"/>
        </w:rPr>
      </w:pPr>
      <w:r>
        <w:rPr>
          <w:rFonts w:ascii="Arial" w:cs="Arial" w:eastAsia="Arial" w:hAnsi="Arial"/>
          <w:sz w:val="19"/>
          <w:szCs w:val="19"/>
          <w:color w:val="auto"/>
        </w:rPr>
        <w:t>the statements, and investors should not place undue reliance on them. Risks and uncertainties that could cause actual results to differ materially from such statements include risks that the North American HVAC and refrigeration markets perform worse</w:t>
      </w:r>
    </w:p>
    <w:p>
      <w:pPr>
        <w:spacing w:after="0" w:line="227" w:lineRule="auto"/>
        <w:rPr>
          <w:sz w:val="20"/>
          <w:szCs w:val="20"/>
          <w:color w:val="auto"/>
        </w:rPr>
      </w:pPr>
      <w:r>
        <w:rPr>
          <w:rFonts w:ascii="Arial" w:cs="Arial" w:eastAsia="Arial" w:hAnsi="Arial"/>
          <w:sz w:val="20"/>
          <w:szCs w:val="20"/>
          <w:color w:val="auto"/>
        </w:rPr>
        <w:t>than current assumptions. Additional risks include but are not limited to competition in the HVACR business; our ability to</w:t>
      </w:r>
    </w:p>
    <w:p>
      <w:pPr>
        <w:ind w:right="60"/>
        <w:spacing w:after="0" w:line="229" w:lineRule="auto"/>
        <w:rPr>
          <w:sz w:val="20"/>
          <w:szCs w:val="20"/>
          <w:color w:val="auto"/>
        </w:rPr>
      </w:pPr>
      <w:r>
        <w:rPr>
          <w:rFonts w:ascii="Arial" w:cs="Arial" w:eastAsia="Arial" w:hAnsi="Arial"/>
          <w:sz w:val="19"/>
          <w:szCs w:val="19"/>
          <w:color w:val="auto"/>
        </w:rPr>
        <w:t>successfully develop and market new products or execute our business strategy; our ability to meet and anticipate customer demands; our ability to continue to license or enforce our intellectual property rights; our ability to attract, motivate, develop, and</w:t>
      </w:r>
    </w:p>
    <w:p>
      <w:pPr>
        <w:spacing w:after="0" w:line="2" w:lineRule="exact"/>
        <w:rPr>
          <w:sz w:val="20"/>
          <w:szCs w:val="20"/>
          <w:color w:val="auto"/>
        </w:rPr>
      </w:pPr>
    </w:p>
    <w:p>
      <w:pPr>
        <w:ind w:right="540"/>
        <w:spacing w:after="0" w:line="237" w:lineRule="auto"/>
        <w:rPr>
          <w:sz w:val="20"/>
          <w:szCs w:val="20"/>
          <w:color w:val="auto"/>
        </w:rPr>
      </w:pPr>
      <w:r>
        <w:rPr>
          <w:rFonts w:ascii="Arial" w:cs="Arial" w:eastAsia="Arial" w:hAnsi="Arial"/>
          <w:sz w:val="19"/>
          <w:szCs w:val="19"/>
          <w:color w:val="auto"/>
        </w:rPr>
        <w:t>retain our employees, as well as labor relations problems; artificial intelligence technologies; a decline in new construction activity and related demand for our products and services; the impact of weather on our business; the impact of higher raw</w:t>
      </w:r>
    </w:p>
    <w:p>
      <w:pPr>
        <w:ind w:right="60"/>
        <w:spacing w:after="0" w:line="229" w:lineRule="auto"/>
        <w:rPr>
          <w:sz w:val="20"/>
          <w:szCs w:val="20"/>
          <w:color w:val="auto"/>
        </w:rPr>
      </w:pPr>
      <w:r>
        <w:rPr>
          <w:rFonts w:ascii="Arial" w:cs="Arial" w:eastAsia="Arial" w:hAnsi="Arial"/>
          <w:sz w:val="19"/>
          <w:szCs w:val="19"/>
          <w:color w:val="auto"/>
        </w:rPr>
        <w:t>material prices and significant supply interruptions; product liability, warranty claims, or recalls; changes in environmental and climate-related legislation or government regulations or policies; changes in tax legislation; the impact of new or increased trade</w:t>
      </w:r>
    </w:p>
    <w:p>
      <w:pPr>
        <w:spacing w:after="0" w:line="227" w:lineRule="auto"/>
        <w:rPr>
          <w:sz w:val="20"/>
          <w:szCs w:val="20"/>
          <w:color w:val="auto"/>
        </w:rPr>
      </w:pPr>
      <w:r>
        <w:rPr>
          <w:rFonts w:ascii="Arial" w:cs="Arial" w:eastAsia="Arial" w:hAnsi="Arial"/>
          <w:sz w:val="20"/>
          <w:szCs w:val="20"/>
          <w:color w:val="auto"/>
        </w:rPr>
        <w:t>tariffs; improper conduct by any of our employees, agents, or business partners; litigation risks; general economic conditions in</w:t>
      </w:r>
    </w:p>
    <w:p>
      <w:pPr>
        <w:ind w:right="20"/>
        <w:spacing w:after="0" w:line="229" w:lineRule="auto"/>
        <w:rPr>
          <w:sz w:val="20"/>
          <w:szCs w:val="20"/>
          <w:color w:val="auto"/>
        </w:rPr>
      </w:pPr>
      <w:r>
        <w:rPr>
          <w:rFonts w:ascii="Arial" w:cs="Arial" w:eastAsia="Arial" w:hAnsi="Arial"/>
          <w:sz w:val="19"/>
          <w:szCs w:val="19"/>
          <w:color w:val="auto"/>
        </w:rPr>
        <w:t>the United States and abroad; extraordinary events beyond our control; risks associated with our international operations; cyber-attacks and other disruptions or misuse of information systems; and our ability to successfully realize, complete and integrate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acquisitions, including the acquisitions of Duro Dyne, Supco, and Heat Controller.</w:t>
      </w:r>
    </w:p>
    <w:p>
      <w:pPr>
        <w:spacing w:after="0" w:line="211" w:lineRule="exact"/>
        <w:rPr>
          <w:sz w:val="20"/>
          <w:szCs w:val="20"/>
          <w:color w:val="auto"/>
        </w:rPr>
      </w:pPr>
    </w:p>
    <w:p>
      <w:pPr>
        <w:ind w:right="120"/>
        <w:spacing w:after="0" w:line="239" w:lineRule="auto"/>
        <w:rPr>
          <w:sz w:val="20"/>
          <w:szCs w:val="20"/>
          <w:color w:val="auto"/>
        </w:rPr>
      </w:pPr>
      <w:r>
        <w:rPr>
          <w:rFonts w:ascii="Arial" w:cs="Arial" w:eastAsia="Arial" w:hAnsi="Arial"/>
          <w:sz w:val="19"/>
          <w:szCs w:val="19"/>
          <w:color w:val="auto"/>
        </w:rPr>
        <w:t>For information concerning these and other risks and uncertainties, see LII’s publicly available filings with the Securities and Exchange Commission. LII disclaims any intention or obligation to update or revise any forward-looking statements, whether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result of new information, future events or otherwise, except as required by law.</w:t>
      </w:r>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 reconciliation of non-GAAP financial measures appearing in this document to financial measures prepared in accordance with U.S. Generally Accepted Accounting Principles (GAAP) are included in the Annex to this document.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This document includes forward-looking statements regarding segment profit, adjusted net income, adjusted diluted earnings</w:t>
      </w:r>
    </w:p>
    <w:p>
      <w:pPr>
        <w:spacing w:after="0" w:line="4" w:lineRule="exact"/>
        <w:rPr>
          <w:sz w:val="20"/>
          <w:szCs w:val="20"/>
          <w:color w:val="auto"/>
        </w:rPr>
      </w:pPr>
    </w:p>
    <w:p>
      <w:pPr>
        <w:ind w:right="120"/>
        <w:spacing w:after="0" w:line="229" w:lineRule="auto"/>
        <w:rPr>
          <w:sz w:val="20"/>
          <w:szCs w:val="20"/>
          <w:color w:val="auto"/>
        </w:rPr>
      </w:pPr>
      <w:r>
        <w:rPr>
          <w:rFonts w:ascii="Arial" w:cs="Arial" w:eastAsia="Arial" w:hAnsi="Arial"/>
          <w:sz w:val="19"/>
          <w:szCs w:val="19"/>
          <w:color w:val="auto"/>
        </w:rPr>
        <w:t>per share, and free cash flow, which are non-GAAP financial measures. These non-GAAP financial measures are derived by excluding certain amounts from the corresponding financial measures determined in accordance with GAAP. The determination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of the amounts excluded is a matter of management judgment and depends upon, among other factors, the nature of the underlying expense or income amounts recognized in a given period and the high variability of certain amounts, such as unusual</w:t>
      </w:r>
    </w:p>
    <w:p>
      <w:pPr>
        <w:ind w:right="400"/>
        <w:spacing w:after="0" w:line="229" w:lineRule="auto"/>
        <w:rPr>
          <w:sz w:val="20"/>
          <w:szCs w:val="20"/>
          <w:color w:val="auto"/>
        </w:rPr>
      </w:pPr>
      <w:r>
        <w:rPr>
          <w:rFonts w:ascii="Arial" w:cs="Arial" w:eastAsia="Arial" w:hAnsi="Arial"/>
          <w:sz w:val="19"/>
          <w:szCs w:val="19"/>
          <w:color w:val="auto"/>
        </w:rPr>
        <w:t>gains and losses, the ultimate outcome of pending litigation, fluctuations in foreign currency exchange rates, changes in environmental liabilities, the impact and timing of potential acquisitions and divestitures, future restructuring costs, and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structural changes or</w:t>
      </w:r>
    </w:p>
    <w:p>
      <w:pPr>
        <w:sectPr>
          <w:pgSz w:w="11900" w:h="16838" w:orient="portrait"/>
          <w:cols w:equalWidth="0" w:num="1">
            <w:col w:w="11240"/>
          </w:cols>
          <w:pgMar w:left="320" w:top="59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their probable significance. We are unable to present a quantitative reconciliation of the aforementioned forward-looking non-</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GAAP financial measures to their most directly comparable forward-looking GAAP financial measures because such information is not available, and management cannot reliably predict the necessary components of such GAAP measures without</w:t>
      </w:r>
    </w:p>
    <w:p>
      <w:pPr>
        <w:spacing w:after="0" w:line="2" w:lineRule="exact"/>
        <w:rPr>
          <w:sz w:val="20"/>
          <w:szCs w:val="20"/>
          <w:color w:val="auto"/>
        </w:rPr>
      </w:pPr>
    </w:p>
    <w:p>
      <w:pPr>
        <w:ind w:right="340"/>
        <w:spacing w:after="0" w:line="239" w:lineRule="auto"/>
        <w:rPr>
          <w:sz w:val="20"/>
          <w:szCs w:val="20"/>
          <w:color w:val="auto"/>
        </w:rPr>
      </w:pPr>
      <w:r>
        <w:rPr>
          <w:rFonts w:ascii="Arial" w:cs="Arial" w:eastAsia="Arial" w:hAnsi="Arial"/>
          <w:sz w:val="20"/>
          <w:szCs w:val="20"/>
          <w:color w:val="auto"/>
        </w:rPr>
        <w:t>unreasonable effort or expense. The unavailable information could have a significant impact on LII’s full year GAAP financial results.</w:t>
      </w:r>
    </w:p>
    <w:p>
      <w:pPr>
        <w:sectPr>
          <w:pgSz w:w="11900" w:h="16838" w:orient="portrait"/>
          <w:cols w:equalWidth="0" w:num="1">
            <w:col w:w="11200"/>
          </w:cols>
          <w:pgMar w:left="320" w:top="59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2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440" w:type="dxa"/>
            <w:vAlign w:val="bottom"/>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57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1,572.5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4,252.9</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4,000.3</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0" w:type="dxa"/>
            <w:vAlign w:val="bottom"/>
          </w:tcPr>
          <w:p>
            <w:pPr>
              <w:spacing w:after="0"/>
              <w:rPr>
                <w:sz w:val="1"/>
                <w:szCs w:val="1"/>
                <w:color w:val="auto"/>
              </w:rPr>
            </w:pPr>
          </w:p>
        </w:tc>
      </w:tr>
      <w:tr>
        <w:trPr>
          <w:trHeight w:val="236"/>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(gains) and other expenses, net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from previous dispositions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settlements</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61"/>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780" w:type="dxa"/>
            <w:vAlign w:val="bottom"/>
            <w:tcBorders>
              <w:bottom w:val="single" w:sz="8" w:color="CCEEFF"/>
            </w:tcBorders>
            <w:shd w:val="clear" w:color="auto" w:fill="CCEEFF"/>
          </w:tcPr>
          <w:p>
            <w:pPr>
              <w:ind w:left="140"/>
              <w:spacing w:after="0" w:line="237" w:lineRule="exact"/>
              <w:rPr>
                <w:sz w:val="20"/>
                <w:szCs w:val="20"/>
                <w:color w:val="auto"/>
              </w:rPr>
            </w:pPr>
            <w:r>
              <w:rPr>
                <w:rFonts w:ascii="Times New Roman" w:cs="Times New Roman" w:eastAsia="Times New Roman" w:hAnsi="Times New Roman"/>
                <w:sz w:val="16"/>
                <w:szCs w:val="16"/>
                <w:b w:val="1"/>
                <w:bCs w:val="1"/>
                <w:i w:val="1"/>
                <w:iCs w:val="1"/>
                <w:color w:val="auto"/>
              </w:rPr>
              <w:t>Earnings per share – Basic</w:t>
            </w:r>
            <w:r>
              <w:rPr>
                <w:rFonts w:ascii="Times New Roman" w:cs="Times New Roman" w:eastAsia="Times New Roman" w:hAnsi="Times New Roman"/>
                <w:sz w:val="21"/>
                <w:szCs w:val="21"/>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780" w:type="dxa"/>
            <w:vAlign w:val="bottom"/>
            <w:tcBorders>
              <w:bottom w:val="single" w:sz="8" w:color="CCEEFF"/>
            </w:tcBorders>
            <w:shd w:val="clear" w:color="auto" w:fill="CCEEFF"/>
          </w:tcPr>
          <w:p>
            <w:pPr>
              <w:ind w:left="140"/>
              <w:spacing w:after="0" w:line="237" w:lineRule="exact"/>
              <w:rPr>
                <w:sz w:val="20"/>
                <w:szCs w:val="20"/>
                <w:color w:val="auto"/>
              </w:rPr>
            </w:pPr>
            <w:r>
              <w:rPr>
                <w:rFonts w:ascii="Times New Roman" w:cs="Times New Roman" w:eastAsia="Times New Roman" w:hAnsi="Times New Roman"/>
                <w:sz w:val="16"/>
                <w:szCs w:val="16"/>
                <w:b w:val="1"/>
                <w:bCs w:val="1"/>
                <w:i w:val="1"/>
                <w:iCs w:val="1"/>
                <w:color w:val="auto"/>
              </w:rPr>
              <w:t>Earnings per share – Diluted</w:t>
            </w:r>
            <w:r>
              <w:rPr>
                <w:rFonts w:ascii="Times New Roman" w:cs="Times New Roman" w:eastAsia="Times New Roman" w:hAnsi="Times New Roman"/>
                <w:sz w:val="21"/>
                <w:szCs w:val="21"/>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Basic</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Diluted</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may not recalculate due to rounding.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2025 amounts are adjusted to reflect the accounting method change from LIFO to FIFO that occurred in the fourth quarter of 2025.</w:t>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LENNOX INTERNATIONAL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Segment Net Sales and Profit</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24"/>
                <w:szCs w:val="24"/>
                <w:color w:val="auto"/>
              </w:rPr>
            </w:pPr>
          </w:p>
        </w:tc>
        <w:tc>
          <w:tcPr>
            <w:tcW w:w="25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Home Comfort Solutions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2,643.6</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0" w:type="dxa"/>
            <w:vAlign w:val="bottom"/>
          </w:tcPr>
          <w:p>
            <w:pPr>
              <w:spacing w:after="0"/>
              <w:rPr>
                <w:sz w:val="1"/>
                <w:szCs w:val="1"/>
                <w:color w:val="auto"/>
              </w:rPr>
            </w:pPr>
          </w:p>
        </w:tc>
      </w:tr>
      <w:tr>
        <w:trPr>
          <w:trHeight w:val="237"/>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1,572.5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4,252.9</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Home Comfort Solutions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profit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tcPr>
          <w:p>
            <w:pPr>
              <w:ind w:left="260"/>
              <w:spacing w:after="0" w:line="243"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Total segment profit, including unallocated Corporate and other</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Special litigation charges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Acquisition costs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56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0" w:hanging="149"/>
        <w:spacing w:after="0"/>
        <w:tabs>
          <w:tab w:leader="none" w:pos="4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define segment profit as a segment's operating income (loss) included in the accompanying Consolidated Statements of Operations, excluding:</w:t>
      </w:r>
    </w:p>
    <w:p>
      <w:pPr>
        <w:spacing w:after="0" w:line="10" w:lineRule="exact"/>
        <w:rPr>
          <w:rFonts w:ascii="Times New Roman" w:cs="Times New Roman" w:eastAsia="Times New Roman" w:hAnsi="Times New Roman"/>
          <w:sz w:val="19"/>
          <w:szCs w:val="19"/>
          <w:color w:val="auto"/>
          <w:vertAlign w:val="superscript"/>
        </w:rPr>
      </w:pPr>
    </w:p>
    <w:p>
      <w:pPr>
        <w:ind w:left="720" w:hanging="226"/>
        <w:spacing w:after="0"/>
        <w:tabs>
          <w:tab w:leader="none" w:pos="7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charges,</w:t>
      </w:r>
    </w:p>
    <w:p>
      <w:pPr>
        <w:spacing w:after="0" w:line="5"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sale of previous dispositions,</w:t>
      </w:r>
    </w:p>
    <w:p>
      <w:pPr>
        <w:spacing w:after="0" w:line="5"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litigation charges, and;</w:t>
      </w:r>
    </w:p>
    <w:p>
      <w:pPr>
        <w:spacing w:after="0" w:line="8"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costs</w:t>
      </w:r>
    </w:p>
    <w:p>
      <w:pPr>
        <w:spacing w:after="0" w:line="232" w:lineRule="exact"/>
        <w:rPr>
          <w:rFonts w:ascii="Times New Roman" w:cs="Times New Roman" w:eastAsia="Times New Roman" w:hAnsi="Times New Roman"/>
          <w:sz w:val="16"/>
          <w:szCs w:val="16"/>
          <w:color w:val="auto"/>
        </w:rPr>
      </w:pPr>
    </w:p>
    <w:p>
      <w:pPr>
        <w:ind w:left="400" w:hanging="149"/>
        <w:spacing w:after="0"/>
        <w:tabs>
          <w:tab w:leader="none" w:pos="4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Recorded in Losses (gains) and other expenses, net in the accompanying Consolidated Statement of Operations.</w:t>
      </w:r>
    </w:p>
    <w:p>
      <w:pPr>
        <w:spacing w:after="0" w:line="235" w:lineRule="exact"/>
        <w:rPr>
          <w:rFonts w:ascii="Times New Roman" w:cs="Times New Roman" w:eastAsia="Times New Roman" w:hAnsi="Times New Roman"/>
          <w:sz w:val="19"/>
          <w:szCs w:val="19"/>
          <w:color w:val="auto"/>
          <w:vertAlign w:val="superscript"/>
        </w:rPr>
      </w:pPr>
    </w:p>
    <w:p>
      <w:pPr>
        <w:ind w:left="420" w:hanging="169"/>
        <w:spacing w:after="0" w:line="238" w:lineRule="auto"/>
        <w:tabs>
          <w:tab w:leader="none" w:pos="40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and other expenses include unallocated corporate costs related to corporate administrative functions such as tax, treasury, accounting, internal audit, legal and human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2025 amounts are adjusted to reflect the accounting method change from LIFO to FIFO that occurred in the fourth quarter of 2025.</w:t>
      </w:r>
    </w:p>
    <w:p>
      <w:pPr>
        <w:sectPr>
          <w:pgSz w:w="11900" w:h="16838" w:orient="portrait"/>
          <w:cols w:equalWidth="0" w:num="1">
            <w:col w:w="11240"/>
          </w:cols>
          <w:pgMar w:left="320" w:top="81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87"/>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and notes receivable, net of allowances of $8.0 and $8.5 in 2026 and 2025, respectively</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0" w:type="dxa"/>
            <w:vAlign w:val="bottom"/>
          </w:tcPr>
          <w:p>
            <w:pPr>
              <w:spacing w:after="0"/>
              <w:rPr>
                <w:sz w:val="1"/>
                <w:szCs w:val="1"/>
                <w:color w:val="auto"/>
              </w:rPr>
            </w:pPr>
          </w:p>
        </w:tc>
      </w:tr>
      <w:tr>
        <w:trPr>
          <w:trHeight w:val="229"/>
        </w:trPr>
        <w:tc>
          <w:tcPr>
            <w:tcW w:w="6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1,903.8</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181"/>
        </w:trPr>
        <w:tc>
          <w:tcPr>
            <w:tcW w:w="68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$1,106.1 and $1,043.9 in 2026</w:t>
            </w:r>
          </w:p>
        </w:tc>
        <w:tc>
          <w:tcPr>
            <w:tcW w:w="18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937.0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887.2</w:t>
            </w:r>
          </w:p>
        </w:tc>
        <w:tc>
          <w:tcPr>
            <w:tcW w:w="0" w:type="dxa"/>
            <w:vAlign w:val="bottom"/>
          </w:tcPr>
          <w:p>
            <w:pPr>
              <w:spacing w:after="0"/>
              <w:rPr>
                <w:sz w:val="1"/>
                <w:szCs w:val="1"/>
                <w:color w:val="auto"/>
              </w:rPr>
            </w:pPr>
          </w:p>
        </w:tc>
      </w:tr>
      <w:tr>
        <w:trPr>
          <w:trHeight w:val="223"/>
        </w:trPr>
        <w:tc>
          <w:tcPr>
            <w:tcW w:w="6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2025, respectively</w:t>
            </w:r>
          </w:p>
        </w:tc>
        <w:tc>
          <w:tcPr>
            <w:tcW w:w="18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0" w:type="dxa"/>
            <w:vAlign w:val="bottom"/>
          </w:tcPr>
          <w:p>
            <w:pPr>
              <w:spacing w:after="0"/>
              <w:rPr>
                <w:sz w:val="1"/>
                <w:szCs w:val="1"/>
                <w:color w:val="auto"/>
              </w:rPr>
            </w:pPr>
          </w:p>
        </w:tc>
      </w:tr>
      <w:tr>
        <w:trPr>
          <w:trHeight w:val="235"/>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w:t>
            </w: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Intangible assets, net of accumulated amortization of $52.0 and $38.3 in 2026 and 2025,</w:t>
            </w:r>
          </w:p>
        </w:tc>
        <w:tc>
          <w:tcPr>
            <w:tcW w:w="180" w:type="dxa"/>
            <w:vAlign w:val="bottom"/>
            <w:shd w:val="clear" w:color="auto" w:fill="CCEEFF"/>
          </w:tcPr>
          <w:p>
            <w:pPr>
              <w:spacing w:after="0"/>
              <w:rPr>
                <w:sz w:val="16"/>
                <w:szCs w:val="16"/>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0" w:type="dxa"/>
            <w:vAlign w:val="bottom"/>
          </w:tcPr>
          <w:p>
            <w:pPr>
              <w:spacing w:after="0"/>
              <w:rPr>
                <w:sz w:val="1"/>
                <w:szCs w:val="1"/>
                <w:color w:val="auto"/>
              </w:rPr>
            </w:pPr>
          </w:p>
        </w:tc>
      </w:tr>
      <w:tr>
        <w:trPr>
          <w:trHeight w:val="22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0" w:type="dxa"/>
            <w:vAlign w:val="bottom"/>
          </w:tcPr>
          <w:p>
            <w:pPr>
              <w:spacing w:after="0"/>
              <w:rPr>
                <w:sz w:val="1"/>
                <w:szCs w:val="1"/>
                <w:color w:val="auto"/>
              </w:rPr>
            </w:pPr>
          </w:p>
        </w:tc>
      </w:tr>
      <w:tr>
        <w:trPr>
          <w:trHeight w:val="243"/>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4,689.3</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29"/>
        </w:trPr>
        <w:tc>
          <w:tcPr>
            <w:tcW w:w="6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1,191.8</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1,144.1</w:t>
            </w:r>
          </w:p>
        </w:tc>
        <w:tc>
          <w:tcPr>
            <w:tcW w:w="0" w:type="dxa"/>
            <w:vAlign w:val="bottom"/>
          </w:tcPr>
          <w:p>
            <w:pPr>
              <w:spacing w:after="0"/>
              <w:rPr>
                <w:sz w:val="1"/>
                <w:szCs w:val="1"/>
                <w:color w:val="auto"/>
              </w:rPr>
            </w:pPr>
          </w:p>
        </w:tc>
      </w:tr>
      <w:tr>
        <w:trPr>
          <w:trHeight w:val="235"/>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3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3,372.4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2,918.7</w:t>
            </w:r>
          </w:p>
        </w:tc>
        <w:tc>
          <w:tcPr>
            <w:tcW w:w="0" w:type="dxa"/>
            <w:vAlign w:val="bottom"/>
          </w:tcPr>
          <w:p>
            <w:pPr>
              <w:spacing w:after="0"/>
              <w:rPr>
                <w:sz w:val="1"/>
                <w:szCs w:val="1"/>
                <w:color w:val="auto"/>
              </w:rPr>
            </w:pPr>
          </w:p>
        </w:tc>
      </w:tr>
      <w:tr>
        <w:trPr>
          <w:trHeight w:val="235"/>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18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1,243.0</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4,891.1</w:t>
            </w:r>
          </w:p>
        </w:tc>
        <w:tc>
          <w:tcPr>
            <w:tcW w:w="0" w:type="dxa"/>
            <w:vAlign w:val="bottom"/>
          </w:tcPr>
          <w:p>
            <w:pPr>
              <w:spacing w:after="0"/>
              <w:rPr>
                <w:sz w:val="1"/>
                <w:szCs w:val="1"/>
                <w:color w:val="auto"/>
              </w:rPr>
            </w:pPr>
          </w:p>
        </w:tc>
      </w:tr>
      <w:tr>
        <w:trPr>
          <w:trHeight w:val="235"/>
        </w:trPr>
        <w:tc>
          <w:tcPr>
            <w:tcW w:w="6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stock, at cost, 52,962,480 shares and 52,374,147 shares for 2026 and 2025,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(5,236.8)</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(4,923.4)</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1,316.9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1,163.1</w:t>
            </w:r>
          </w:p>
        </w:tc>
        <w:tc>
          <w:tcPr>
            <w:tcW w:w="0" w:type="dxa"/>
            <w:vAlign w:val="bottom"/>
          </w:tcPr>
          <w:p>
            <w:pPr>
              <w:spacing w:after="0"/>
              <w:rPr>
                <w:sz w:val="1"/>
                <w:szCs w:val="1"/>
                <w:color w:val="auto"/>
              </w:rPr>
            </w:pPr>
          </w:p>
        </w:tc>
      </w:tr>
      <w:tr>
        <w:trPr>
          <w:trHeight w:val="26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4,689.3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380" w:top="1008"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w w:val="99"/>
              </w:rPr>
              <w:t>For the Nine Months Ended September 30,</w:t>
            </w:r>
          </w:p>
        </w:tc>
      </w:tr>
      <w:tr>
        <w:trPr>
          <w:trHeight w:val="237"/>
        </w:trPr>
        <w:tc>
          <w:tcPr>
            <w:tcW w:w="79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Dividends from affiliates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Provision for credit losses (gains)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Deferred income taxes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Pension expense</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Pension contributions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40"/>
        </w:trPr>
        <w:tc>
          <w:tcPr>
            <w:tcW w:w="7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Leases, net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6"/>
        </w:trPr>
        <w:tc>
          <w:tcPr>
            <w:tcW w:w="7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351.7</w:t>
            </w:r>
          </w:p>
        </w:tc>
      </w:tr>
      <w:tr>
        <w:trPr>
          <w:trHeight w:val="24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bl>
    <w:p>
      <w:pPr>
        <w:spacing w:after="0" w:line="5" w:lineRule="exact"/>
        <w:rPr>
          <w:sz w:val="20"/>
          <w:szCs w:val="20"/>
          <w:color w:val="auto"/>
        </w:rPr>
      </w:pPr>
    </w:p>
    <w:p>
      <w:pPr>
        <w:sectPr>
          <w:pgSz w:w="11900" w:h="16838" w:orient="portrait"/>
          <w:cols w:equalWidth="0" w:num="1">
            <w:col w:w="11240"/>
          </w:cols>
          <w:pgMar w:left="320" w:top="603" w:right="339" w:bottom="1440" w:gutter="0" w:footer="0" w:header="0"/>
        </w:sectPr>
      </w:pPr>
    </w:p>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(Purchases of) proceeds from investments and other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6"/>
          <w:szCs w:val="16"/>
          <w:color w:val="auto"/>
        </w:rPr>
        <w:t>2.0</w:t>
      </w:r>
      <w:r>
        <w:rPr>
          <w:sz w:val="20"/>
          <w:szCs w:val="20"/>
          <w:color w:val="auto"/>
        </w:rPr>
        <w:tab/>
      </w:r>
      <w:r>
        <w:rPr>
          <w:rFonts w:ascii="Times New Roman" w:cs="Times New Roman" w:eastAsia="Times New Roman" w:hAnsi="Times New Roman"/>
          <w:sz w:val="16"/>
          <w:szCs w:val="16"/>
          <w:color w:val="auto"/>
        </w:rPr>
        <w:t>1.1</w:t>
      </w:r>
    </w:p>
    <w:p>
      <w:pPr>
        <w:spacing w:after="0" w:line="5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color w:val="auto"/>
        </w:rPr>
        <w:t>(124.4)</w:t>
      </w:r>
      <w:r>
        <w:rPr>
          <w:sz w:val="20"/>
          <w:szCs w:val="20"/>
          <w:color w:val="auto"/>
        </w:rPr>
        <w:tab/>
      </w:r>
      <w:r>
        <w:rPr>
          <w:rFonts w:ascii="Times New Roman" w:cs="Times New Roman" w:eastAsia="Times New Roman" w:hAnsi="Times New Roman"/>
          <w:sz w:val="16"/>
          <w:szCs w:val="16"/>
          <w:color w:val="auto"/>
        </w:rPr>
        <w:t>(89.6)</w:t>
      </w:r>
    </w:p>
    <w:p>
      <w:pPr>
        <w:spacing w:after="0" w:line="5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6"/>
          <w:szCs w:val="16"/>
          <w:color w:val="auto"/>
        </w:rPr>
        <w:t>(209.9)</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160"/>
        <w:spacing w:after="0"/>
        <w:tabs>
          <w:tab w:leader="none" w:pos="198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6"/>
          <w:szCs w:val="16"/>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20320</wp:posOffset>
            </wp:positionV>
            <wp:extent cx="2125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(334.1)</w:t>
      </w:r>
      <w:r>
        <w:rPr>
          <w:sz w:val="20"/>
          <w:szCs w:val="20"/>
          <w:color w:val="auto"/>
        </w:rPr>
        <w:tab/>
      </w:r>
      <w:r>
        <w:rPr>
          <w:rFonts w:ascii="Times New Roman" w:cs="Times New Roman" w:eastAsia="Times New Roman" w:hAnsi="Times New Roman"/>
          <w:sz w:val="16"/>
          <w:szCs w:val="16"/>
          <w:b w:val="1"/>
          <w:bCs w:val="1"/>
          <w:color w:val="auto"/>
        </w:rPr>
        <w:t>(87.6)</w:t>
      </w:r>
    </w:p>
    <w:p>
      <w:pPr>
        <w:spacing w:after="0" w:line="283" w:lineRule="exact"/>
        <w:rPr>
          <w:sz w:val="20"/>
          <w:szCs w:val="20"/>
          <w:color w:val="auto"/>
        </w:rPr>
      </w:pPr>
    </w:p>
    <w:p>
      <w:pPr>
        <w:sectPr>
          <w:pgSz w:w="11900" w:h="16838" w:orient="portrait"/>
          <w:cols w:equalWidth="0" w:num="2">
            <w:col w:w="8260" w:space="720"/>
            <w:col w:w="2260"/>
          </w:cols>
          <w:pgMar w:left="320" w:top="603"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677.1</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(1,081.9)</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r>
      <w:tr>
        <w:trPr>
          <w:trHeight w:val="24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senior unsecured notes</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4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of deferred financing costs</w:t>
            </w:r>
          </w:p>
        </w:tc>
        <w:tc>
          <w:tcPr>
            <w:tcW w:w="5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0"/>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r>
      <w:tr>
        <w:trPr>
          <w:trHeight w:val="2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40"/>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2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(627.4)</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r>
      <w:tr>
        <w:trPr>
          <w:trHeight w:val="24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 equivalents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w:t>
            </w:r>
          </w:p>
        </w:tc>
      </w:tr>
      <w:tr>
        <w:trPr>
          <w:trHeight w:val="25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1">
            <w:col w:w="11240"/>
          </w:cols>
          <w:pgMar w:left="320" w:top="60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Note: The 2025 amounts are adjusted to reflect the accounting method change from LIFO to FIFO that occurred in the fourth quarter of 2025.</w:t>
      </w:r>
    </w:p>
    <w:p>
      <w:pPr>
        <w:sectPr>
          <w:pgSz w:w="11900" w:h="16838" w:orient="portrait"/>
          <w:cols w:equalWidth="0" w:num="1">
            <w:col w:w="11240"/>
          </w:cols>
          <w:pgMar w:left="320" w:top="603" w:right="339" w:bottom="1440" w:gutter="0" w:footer="0" w:header="0"/>
          <w:type w:val="continuous"/>
        </w:sectPr>
      </w:pPr>
    </w:p>
    <w:bookmarkStart w:id="11" w:name="page12"/>
    <w:bookmarkEnd w:id="11"/>
    <w:p>
      <w:pPr>
        <w:jc w:val="center"/>
        <w:spacing w:after="0" w:line="298" w:lineRule="auto"/>
        <w:rPr>
          <w:sz w:val="20"/>
          <w:szCs w:val="20"/>
          <w:color w:val="auto"/>
        </w:rPr>
      </w:pPr>
      <w:r>
        <w:rPr>
          <w:rFonts w:ascii="Times New Roman" w:cs="Times New Roman" w:eastAsia="Times New Roman" w:hAnsi="Times New Roman"/>
          <w:sz w:val="17"/>
          <w:szCs w:val="17"/>
          <w:b w:val="1"/>
          <w:bCs w:val="1"/>
          <w:color w:val="auto"/>
        </w:rPr>
        <w:t>LENNOX INTERNATIONAL INC. AND SUBSIDIARIES Reconciliation to U.S. GAAP (Generally Accepted Accounting Principles) Measures (Unaudited, in millions, except per share and ratio data)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Use of Non-GAAP Financial Measures</w:t>
      </w:r>
    </w:p>
    <w:p>
      <w:pPr>
        <w:spacing w:after="0" w:line="59" w:lineRule="exact"/>
        <w:rPr>
          <w:sz w:val="20"/>
          <w:szCs w:val="20"/>
          <w:color w:val="auto"/>
        </w:rPr>
      </w:pPr>
    </w:p>
    <w:p>
      <w:pPr>
        <w:ind w:left="40" w:right="80"/>
        <w:spacing w:after="0" w:line="227" w:lineRule="auto"/>
        <w:rPr>
          <w:sz w:val="20"/>
          <w:szCs w:val="20"/>
          <w:color w:val="auto"/>
        </w:rPr>
      </w:pPr>
      <w:r>
        <w:rPr>
          <w:rFonts w:ascii="Times New Roman" w:cs="Times New Roman" w:eastAsia="Times New Roman" w:hAnsi="Times New Roman"/>
          <w:sz w:val="16"/>
          <w:szCs w:val="16"/>
          <w:color w:val="auto"/>
        </w:rPr>
        <w:t>To supplement the Company's consolidated financial statements and segment net sales and profit (loss) presented in accordance with U.S. GAAP, additional non-GAAP financial measures are provided and reconciled in the following tables. The Company believes that these non-GAAP financial measures, when considered together with the GAAP financial measures, provide information that is useful to investors in understanding period-over-period operating results and enhance the ability of investors to analyze the Company's business trends and operating performance.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Reconciliation of Net income, a GAAP measure, to Adjusted net income, a Non-GAAP measure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760" w:type="dxa"/>
            <w:vAlign w:val="bottom"/>
          </w:tcPr>
          <w:p>
            <w:pPr>
              <w:spacing w:after="0"/>
              <w:rPr>
                <w:sz w:val="19"/>
                <w:szCs w:val="19"/>
                <w:color w:val="auto"/>
              </w:rPr>
            </w:pPr>
          </w:p>
        </w:tc>
        <w:tc>
          <w:tcPr>
            <w:tcW w:w="326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00" w:type="dxa"/>
            <w:vAlign w:val="bottom"/>
          </w:tcPr>
          <w:p>
            <w:pPr>
              <w:spacing w:after="0"/>
              <w:rPr>
                <w:sz w:val="19"/>
                <w:szCs w:val="19"/>
                <w:color w:val="auto"/>
              </w:rPr>
            </w:pPr>
          </w:p>
        </w:tc>
        <w:tc>
          <w:tcPr>
            <w:tcW w:w="308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Nine Months Ended September 30,</w:t>
            </w:r>
          </w:p>
        </w:tc>
        <w:tc>
          <w:tcPr>
            <w:tcW w:w="0" w:type="dxa"/>
            <w:vAlign w:val="bottom"/>
          </w:tcPr>
          <w:p>
            <w:pPr>
              <w:spacing w:after="0"/>
              <w:rPr>
                <w:sz w:val="1"/>
                <w:szCs w:val="1"/>
                <w:color w:val="auto"/>
              </w:rPr>
            </w:pPr>
          </w:p>
        </w:tc>
      </w:tr>
      <w:tr>
        <w:trPr>
          <w:trHeight w:val="227"/>
        </w:trPr>
        <w:tc>
          <w:tcPr>
            <w:tcW w:w="4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gridSpan w:val="3"/>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gridSpan w:val="3"/>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gridSpan w:val="3"/>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gridSpan w:val="3"/>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3"/>
                <w:szCs w:val="13"/>
                <w:color w:val="auto"/>
              </w:rPr>
            </w:pPr>
          </w:p>
        </w:tc>
        <w:tc>
          <w:tcPr>
            <w:tcW w:w="7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rPr>
              <w:t>Per</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3"/>
                <w:szCs w:val="13"/>
                <w:color w:val="auto"/>
              </w:rPr>
            </w:pPr>
          </w:p>
        </w:tc>
        <w:tc>
          <w:tcPr>
            <w:tcW w:w="7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5"/>
                <w:szCs w:val="15"/>
                <w:b w:val="1"/>
                <w:bCs w:val="1"/>
                <w:color w:val="auto"/>
                <w:w w:val="97"/>
              </w:rPr>
              <w:t>Per</w:t>
            </w:r>
          </w:p>
        </w:tc>
        <w:tc>
          <w:tcPr>
            <w:tcW w:w="100" w:type="dxa"/>
            <w:vAlign w:val="bottom"/>
          </w:tcPr>
          <w:p>
            <w:pPr>
              <w:spacing w:after="0"/>
              <w:rPr>
                <w:sz w:val="13"/>
                <w:szCs w:val="13"/>
                <w:color w:val="auto"/>
              </w:rPr>
            </w:pPr>
          </w:p>
        </w:tc>
        <w:tc>
          <w:tcPr>
            <w:tcW w:w="660" w:type="dxa"/>
            <w:vAlign w:val="bottom"/>
            <w:vMerge w:val="restart"/>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5"/>
                <w:szCs w:val="15"/>
                <w:b w:val="1"/>
                <w:bCs w:val="1"/>
                <w:color w:val="auto"/>
                <w:w w:val="97"/>
              </w:rPr>
              <w:t>Per</w:t>
            </w:r>
          </w:p>
        </w:tc>
        <w:tc>
          <w:tcPr>
            <w:tcW w:w="100" w:type="dxa"/>
            <w:vAlign w:val="bottom"/>
          </w:tcPr>
          <w:p>
            <w:pPr>
              <w:spacing w:after="0"/>
              <w:rPr>
                <w:sz w:val="13"/>
                <w:szCs w:val="13"/>
                <w:color w:val="auto"/>
              </w:rPr>
            </w:pPr>
          </w:p>
        </w:tc>
        <w:tc>
          <w:tcPr>
            <w:tcW w:w="640" w:type="dxa"/>
            <w:vAlign w:val="bottom"/>
            <w:vMerge w:val="restart"/>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40" w:type="dxa"/>
            <w:vAlign w:val="bottom"/>
          </w:tcPr>
          <w:p>
            <w:pPr>
              <w:spacing w:after="0"/>
              <w:rPr>
                <w:sz w:val="13"/>
                <w:szCs w:val="13"/>
                <w:color w:val="auto"/>
              </w:rPr>
            </w:pPr>
          </w:p>
        </w:tc>
        <w:tc>
          <w:tcPr>
            <w:tcW w:w="66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5"/>
                <w:szCs w:val="15"/>
                <w:b w:val="1"/>
                <w:bCs w:val="1"/>
                <w:color w:val="auto"/>
                <w:w w:val="97"/>
              </w:rPr>
              <w:t>Per</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5"/>
                <w:szCs w:val="15"/>
                <w:b w:val="1"/>
                <w:bCs w:val="1"/>
                <w:color w:val="auto"/>
              </w:rPr>
              <w:t>Diluted</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after tax</w:t>
            </w:r>
          </w:p>
        </w:tc>
        <w:tc>
          <w:tcPr>
            <w:tcW w:w="12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4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after tax</w:t>
            </w:r>
          </w:p>
        </w:tc>
        <w:tc>
          <w:tcPr>
            <w:tcW w:w="140" w:type="dxa"/>
            <w:vAlign w:val="bottom"/>
          </w:tcPr>
          <w:p>
            <w:pPr>
              <w:spacing w:after="0"/>
              <w:rPr>
                <w:sz w:val="18"/>
                <w:szCs w:val="18"/>
                <w:color w:val="auto"/>
              </w:rPr>
            </w:pPr>
          </w:p>
        </w:tc>
        <w:tc>
          <w:tcPr>
            <w:tcW w:w="66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Share</w:t>
            </w:r>
          </w:p>
        </w:tc>
        <w:tc>
          <w:tcPr>
            <w:tcW w:w="0" w:type="dxa"/>
            <w:vAlign w:val="bottom"/>
          </w:tcPr>
          <w:p>
            <w:pPr>
              <w:spacing w:after="0"/>
              <w:rPr>
                <w:sz w:val="1"/>
                <w:szCs w:val="1"/>
                <w:color w:val="auto"/>
              </w:rPr>
            </w:pPr>
          </w:p>
        </w:tc>
      </w:tr>
      <w:tr>
        <w:trPr>
          <w:trHeight w:val="227"/>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 GAAP measure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9"/>
              </w:rPr>
              <w:t>6.41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18.70</w:t>
            </w:r>
          </w:p>
        </w:tc>
        <w:tc>
          <w:tcPr>
            <w:tcW w:w="0" w:type="dxa"/>
            <w:vAlign w:val="bottom"/>
          </w:tcPr>
          <w:p>
            <w:pPr>
              <w:spacing w:after="0"/>
              <w:rPr>
                <w:sz w:val="1"/>
                <w:szCs w:val="1"/>
                <w:color w:val="auto"/>
              </w:rPr>
            </w:pPr>
          </w:p>
        </w:tc>
      </w:tr>
      <w:tr>
        <w:trPr>
          <w:trHeight w:val="240"/>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64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9"/>
              </w:rPr>
              <w:t>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litigation charges (a)</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64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9"/>
              </w:rPr>
              <w:t>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costs (a)</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 a non-GAAP measure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9"/>
              </w:rPr>
              <w:t>6.84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622.1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17.89</w:t>
            </w: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(a) Recorded in Losses (gains) and other expenses, net in the Consolidated Statements of Operations</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Note: The 2025 amounts are adjusted to reflect the accounting method change from LIFO to FIFO that occurred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Net Cash Provided by Operating Activities, a GAAP measure, to Free Cash Flow, a Non-GAAP measure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shd w:val="clear" w:color="auto" w:fill="CCEEFF"/>
          </w:tcPr>
          <w:p>
            <w:pPr>
              <w:spacing w:after="0"/>
              <w:rPr>
                <w:sz w:val="16"/>
                <w:szCs w:val="16"/>
                <w:color w:val="auto"/>
              </w:rPr>
            </w:pPr>
          </w:p>
        </w:tc>
        <w:tc>
          <w:tcPr>
            <w:tcW w:w="302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60" w:type="dxa"/>
            <w:vAlign w:val="bottom"/>
            <w:shd w:val="clear" w:color="auto" w:fill="CCEEFF"/>
          </w:tcPr>
          <w:p>
            <w:pPr>
              <w:spacing w:after="0"/>
              <w:rPr>
                <w:sz w:val="16"/>
                <w:szCs w:val="16"/>
                <w:color w:val="auto"/>
              </w:rPr>
            </w:pPr>
          </w:p>
        </w:tc>
        <w:tc>
          <w:tcPr>
            <w:tcW w:w="2480" w:type="dxa"/>
            <w:vAlign w:val="bottom"/>
            <w:gridSpan w:val="4"/>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4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shd w:val="clear" w:color="auto" w:fill="CCEEFF"/>
          </w:tcPr>
          <w:p>
            <w:pPr>
              <w:spacing w:after="0"/>
              <w:rPr>
                <w:sz w:val="18"/>
                <w:szCs w:val="18"/>
                <w:color w:val="auto"/>
              </w:rPr>
            </w:pPr>
          </w:p>
        </w:tc>
      </w:tr>
      <w:tr>
        <w:trPr>
          <w:trHeight w:val="222"/>
        </w:trPr>
        <w:tc>
          <w:tcPr>
            <w:tcW w:w="54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r>
      <w:tr>
        <w:trPr>
          <w:trHeight w:val="240"/>
        </w:trPr>
        <w:tc>
          <w:tcPr>
            <w:tcW w:w="5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a Non-GAAP measure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461.0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263.2</w:t>
            </w:r>
          </w:p>
        </w:tc>
      </w:tr>
      <w:tr>
        <w:trPr>
          <w:trHeight w:val="20"/>
        </w:trPr>
        <w:tc>
          <w:tcPr>
            <w:tcW w:w="5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2026-10-28T05:51:26Z</dcterms:created>
  <dcterms:modified xsi:type="dcterms:W3CDTF">2026-10-28T05:51:26Z</dcterms:modified>
</cp:coreProperties>
</file>