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June 30, 2025</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24"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9"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6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jc w:val="both"/>
        <w:ind w:left="240" w:right="256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14, 2025, the number of shares outstanding of the registrant’s common stock, par value $0.01 per share, was 35,124,281.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7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80" w:type="dxa"/>
            <w:vAlign w:val="bottom"/>
            <w:shd w:val="clear" w:color="auto" w:fill="CCEEFF"/>
          </w:tcPr>
          <w:p>
            <w:pPr>
              <w:spacing w:after="0"/>
              <w:rPr>
                <w:sz w:val="13"/>
                <w:szCs w:val="13"/>
                <w:color w:val="auto"/>
              </w:rPr>
            </w:pPr>
          </w:p>
        </w:tc>
        <w:tc>
          <w:tcPr>
            <w:tcW w:w="9540" w:type="dxa"/>
            <w:vAlign w:val="bottom"/>
            <w:gridSpan w:val="20"/>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FF"/>
              </w:rPr>
              <w:t>Financial Information</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40" w:type="dxa"/>
            <w:vAlign w:val="bottom"/>
            <w:gridSpan w:val="20"/>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Balance Sheets - June 30, 2025 (Unaudited) and December 31, 2024</w:t>
            </w:r>
          </w:p>
        </w:tc>
        <w:tc>
          <w:tcPr>
            <w:tcW w:w="4060" w:type="dxa"/>
            <w:vAlign w:val="bottom"/>
            <w:gridSpan w:val="6"/>
            <w:shd w:val="clear" w:color="auto" w:fill="CCEEFF"/>
          </w:tcPr>
          <w:p>
            <w:pPr>
              <w:spacing w:after="0"/>
              <w:rPr>
                <w:sz w:val="16"/>
                <w:szCs w:val="16"/>
                <w:color w:val="auto"/>
              </w:rPr>
            </w:pP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Six Months Ended June 30, 2025 and 2024</w:t>
            </w: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Six Months Ended June 30, 2025 and 2024</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(Unaudited) - Three and Six Months Ended June 30, 2025 and 2024</w:t>
            </w:r>
          </w:p>
        </w:tc>
        <w:tc>
          <w:tcPr>
            <w:tcW w:w="1620" w:type="dxa"/>
            <w:vAlign w:val="bottom"/>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Six Months Ended June 30, 2025 and 2024</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080" w:type="dxa"/>
            <w:vAlign w:val="bottom"/>
            <w:gridSpan w:val="4"/>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7</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320" w:type="dxa"/>
            <w:vAlign w:val="bottom"/>
            <w:gridSpan w:val="5"/>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460" w:type="dxa"/>
            <w:vAlign w:val="bottom"/>
            <w:gridSpan w:val="10"/>
            <w:shd w:val="clear" w:color="auto" w:fill="CCEEFF"/>
          </w:tcPr>
          <w:p>
            <w:pPr>
              <w:spacing w:after="0"/>
              <w:rPr>
                <w:sz w:val="17"/>
                <w:szCs w:val="17"/>
                <w:color w:val="auto"/>
              </w:rPr>
            </w:pP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30</w:t>
            </w:r>
          </w:p>
        </w:tc>
      </w:tr>
      <w:tr>
        <w:trPr>
          <w:trHeight w:val="173"/>
        </w:trPr>
        <w:tc>
          <w:tcPr>
            <w:tcW w:w="7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Part II</w:t>
            </w:r>
          </w:p>
        </w:tc>
        <w:tc>
          <w:tcPr>
            <w:tcW w:w="80" w:type="dxa"/>
            <w:vAlign w:val="bottom"/>
            <w:tcBorders>
              <w:top w:val="single" w:sz="8" w:color="CCEEFF"/>
            </w:tcBorders>
          </w:tcPr>
          <w:p>
            <w:pPr>
              <w:spacing w:after="0"/>
              <w:rPr>
                <w:sz w:val="15"/>
                <w:szCs w:val="15"/>
                <w:color w:val="auto"/>
              </w:rPr>
            </w:pPr>
          </w:p>
        </w:tc>
        <w:tc>
          <w:tcPr>
            <w:tcW w:w="2080" w:type="dxa"/>
            <w:vAlign w:val="bottom"/>
            <w:tcBorders>
              <w:top w:val="single" w:sz="8" w:color="0000FF"/>
            </w:tcBorders>
            <w:gridSpan w:val="10"/>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460" w:type="dxa"/>
            <w:vAlign w:val="bottom"/>
            <w:tcBorders>
              <w:top w:val="single" w:sz="8" w:color="CCEEFF"/>
            </w:tcBorders>
            <w:gridSpan w:val="10"/>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7860" w:type="dxa"/>
            <w:vAlign w:val="bottom"/>
            <w:gridSpan w:val="12"/>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8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180" w:type="dxa"/>
            <w:vAlign w:val="bottom"/>
            <w:gridSpan w:val="8"/>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0000FF"/>
              </w:rPr>
              <w:t>Item 6.</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80" w:top="1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$12.6 and $17.8 in 2025 and 2024, respectively</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704.8</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1,884.2</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$1,002.1 and $956.8 in 2025 and</w:t>
            </w:r>
          </w:p>
        </w:tc>
        <w:tc>
          <w:tcPr>
            <w:tcW w:w="2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800.1</w:t>
            </w:r>
          </w:p>
        </w:tc>
        <w:tc>
          <w:tcPr>
            <w:tcW w:w="0" w:type="dxa"/>
            <w:vAlign w:val="bottom"/>
          </w:tcPr>
          <w:p>
            <w:pPr>
              <w:spacing w:after="0"/>
              <w:rPr>
                <w:sz w:val="1"/>
                <w:szCs w:val="1"/>
                <w:color w:val="auto"/>
              </w:rPr>
            </w:pPr>
          </w:p>
        </w:tc>
      </w:tr>
      <w:tr>
        <w:trPr>
          <w:trHeight w:val="22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respectively</w:t>
            </w:r>
          </w:p>
        </w:tc>
        <w:tc>
          <w:tcPr>
            <w:tcW w:w="26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0" w:type="dxa"/>
            <w:vAlign w:val="bottom"/>
          </w:tcPr>
          <w:p>
            <w:pPr>
              <w:spacing w:after="0"/>
              <w:rPr>
                <w:sz w:val="1"/>
                <w:szCs w:val="1"/>
                <w:color w:val="auto"/>
              </w:rPr>
            </w:pPr>
          </w:p>
        </w:tc>
      </w:tr>
      <w:tr>
        <w:trPr>
          <w:trHeight w:val="224"/>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3,652.7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3,471.8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1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payable</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1,313.3</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2,752.2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2,621.6</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6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4,150.8</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Treasury stock, at cost, 52,039,456 shares and 51,573,986 shares for 2025 and 2024,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(4,729.4)</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(4,421.1)</w:t>
            </w:r>
          </w:p>
        </w:tc>
        <w:tc>
          <w:tcPr>
            <w:tcW w:w="0" w:type="dxa"/>
            <w:vAlign w:val="bottom"/>
          </w:tcPr>
          <w:p>
            <w:pPr>
              <w:spacing w:after="0"/>
              <w:rPr>
                <w:sz w:val="1"/>
                <w:szCs w:val="1"/>
                <w:color w:val="auto"/>
              </w:rPr>
            </w:pPr>
          </w:p>
        </w:tc>
      </w:tr>
      <w:tr>
        <w:trPr>
          <w:trHeight w:val="218"/>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900.5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850.2</w:t>
            </w:r>
          </w:p>
        </w:tc>
        <w:tc>
          <w:tcPr>
            <w:tcW w:w="0" w:type="dxa"/>
            <w:vAlign w:val="bottom"/>
          </w:tcPr>
          <w:p>
            <w:pPr>
              <w:spacing w:after="0"/>
              <w:rPr>
                <w:sz w:val="1"/>
                <w:szCs w:val="1"/>
                <w:color w:val="auto"/>
              </w:rPr>
            </w:pPr>
          </w:p>
        </w:tc>
      </w:tr>
      <w:tr>
        <w:trPr>
          <w:trHeight w:val="247"/>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3,471.8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82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360" w:type="dxa"/>
            <w:vAlign w:val="bottom"/>
            <w:gridSpan w:val="6"/>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0" w:type="dxa"/>
            <w:vAlign w:val="bottom"/>
          </w:tcPr>
          <w:p>
            <w:pPr>
              <w:spacing w:after="0"/>
              <w:rPr>
                <w:sz w:val="1"/>
                <w:szCs w:val="1"/>
                <w:color w:val="auto"/>
              </w:rPr>
            </w:pPr>
          </w:p>
        </w:tc>
      </w:tr>
      <w:tr>
        <w:trPr>
          <w:trHeight w:val="212"/>
        </w:trPr>
        <w:tc>
          <w:tcPr>
            <w:tcW w:w="6060" w:type="dxa"/>
            <w:vAlign w:val="bottom"/>
            <w:vMerge w:val="continue"/>
            <w:shd w:val="clear" w:color="auto" w:fill="CCEEFF"/>
          </w:tcPr>
          <w:p>
            <w:pPr>
              <w:spacing w:after="0"/>
              <w:rPr>
                <w:sz w:val="18"/>
                <w:szCs w:val="18"/>
                <w:color w:val="auto"/>
              </w:rPr>
            </w:pPr>
          </w:p>
        </w:tc>
        <w:tc>
          <w:tcPr>
            <w:tcW w:w="2820" w:type="dxa"/>
            <w:vAlign w:val="bottom"/>
            <w:gridSpan w:val="6"/>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27"/>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and other expenses,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0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0" w:type="dxa"/>
            <w:vAlign w:val="bottom"/>
          </w:tcPr>
          <w:p>
            <w:pPr>
              <w:spacing w:after="0"/>
              <w:rPr>
                <w:sz w:val="1"/>
                <w:szCs w:val="1"/>
                <w:color w:val="auto"/>
              </w:rPr>
            </w:pPr>
          </w:p>
        </w:tc>
      </w:tr>
      <w:tr>
        <w:trPr>
          <w:trHeight w:val="212"/>
        </w:trPr>
        <w:tc>
          <w:tcPr>
            <w:tcW w:w="64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c>
          <w:tcPr>
            <w:tcW w:w="0" w:type="dxa"/>
            <w:vAlign w:val="bottom"/>
          </w:tcPr>
          <w:p>
            <w:pPr>
              <w:spacing w:after="0"/>
              <w:rPr>
                <w:sz w:val="1"/>
                <w:szCs w:val="1"/>
                <w:color w:val="auto"/>
              </w:rPr>
            </w:pP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7"/>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7"/>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losses into earnings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878"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2025 and 2024</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640" w:type="dxa"/>
            <w:vAlign w:val="bottom"/>
            <w:gridSpan w:val="5"/>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jc w:val="center"/>
              <w:ind w:right="200"/>
              <w:spacing w:after="0" w:line="160"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2025)</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3"/>
                <w:szCs w:val="3"/>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1,219.0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4,230.3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(4,517.1)</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277.6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$1.30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1,228.3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4,462.1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(61.4)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(4,729.4)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900.5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7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0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June 30, 2024)</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1,190.6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3,591.1</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(57.9)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(4,355.9)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368.8</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245.9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$1.10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1,197.9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3,796.0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(4,356.6)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577.4</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2025 and 2024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98"/>
              </w:rPr>
              <w:t>Treasury Stock at Cost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12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2025)</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8"/>
                <w:szCs w:val="18"/>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1,213.3</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4,150.8</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(93.7)</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(4,421.1)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$2.45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(310.4)</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1,228.3</w:t>
            </w: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4,462.1</w:t>
            </w: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(61.4)</w:t>
            </w: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52.0</w:t>
            </w: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(4,729.4)</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900.5</w:t>
            </w: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7"/>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0" w:type="dxa"/>
            <w:vAlign w:val="bottom"/>
          </w:tcPr>
          <w:p>
            <w:pPr>
              <w:spacing w:after="0"/>
              <w:rPr>
                <w:sz w:val="16"/>
                <w:szCs w:val="16"/>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00"/>
              <w:spacing w:after="0" w:line="107" w:lineRule="exact"/>
              <w:rPr>
                <w:sz w:val="20"/>
                <w:szCs w:val="20"/>
                <w:color w:val="auto"/>
              </w:rPr>
            </w:pPr>
            <w:r>
              <w:rPr>
                <w:rFonts w:ascii="Times New Roman" w:cs="Times New Roman" w:eastAsia="Times New Roman" w:hAnsi="Times New Roman"/>
                <w:sz w:val="12"/>
                <w:szCs w:val="12"/>
                <w:b w:val="1"/>
                <w:bCs w:val="1"/>
                <w:color w:val="auto"/>
              </w:rPr>
              <w:t>Common</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restart"/>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4"/>
                <w:szCs w:val="4"/>
                <w:color w:val="auto"/>
              </w:rPr>
            </w:pPr>
          </w:p>
        </w:tc>
        <w:tc>
          <w:tcPr>
            <w:tcW w:w="1120" w:type="dxa"/>
            <w:vAlign w:val="bottom"/>
            <w:gridSpan w:val="4"/>
            <w:vMerge w:val="restart"/>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six months ended June 30, 2024)</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1,184.6</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3,506.2</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$2.25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1,197.9</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3,796.0</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(60.8)</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(4,356.6)</w:t>
            </w:r>
          </w:p>
        </w:tc>
        <w:tc>
          <w:tcPr>
            <w:tcW w:w="8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577.4</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r>
      <w:tr>
        <w:trPr>
          <w:trHeight w:val="225"/>
        </w:trPr>
        <w:tc>
          <w:tcPr>
            <w:tcW w:w="7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(gains) losses, net on derivative contracts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161.2</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proceeds from previous disposition</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(purchases of) investments and other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debt arrangements</w:t>
            </w:r>
          </w:p>
        </w:tc>
        <w:tc>
          <w:tcPr>
            <w:tcW w:w="6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of deferred financing costs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(368.2)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(118.3)</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4"/>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180"/>
          </w:cols>
          <w:pgMar w:left="360" w:top="437" w:right="359" w:bottom="1440" w:gutter="0" w:footer="0" w:header="0"/>
        </w:sectPr>
      </w:pP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85725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37"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June 30, 2025, the accompanying unaudited Consolidated Statements of Operations for the three and six months ended June 30, 2025 and 2024, the accompanying unaudited Consolidated Statements of Comprehensive Income for the three and six months ended June 30, 2025 and 2024, the accompanying unaudited Consolidated Statements of Stockholders' Equity for the three and six months ended June 30, 2025 and 2024, and the accompanying unaudited Consolidated Statements of Cash Flows for the six months ended June 30, 2025 and 2024 should be read in conjunction with our audited consolidated financial statements and footnotes included in our Annual Report on Form 10-K for the year ended December 31, 2024.</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0"/>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21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69"/>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0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air conditioning and refrigeration</w:t>
            </w:r>
          </w:p>
        </w:tc>
        <w:tc>
          <w:tcPr>
            <w:tcW w:w="28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Products include rooftop packaged units, variable</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refrigerant flow systems, heat pumps, air cooled condensing</w:t>
            </w:r>
          </w:p>
        </w:tc>
        <w:tc>
          <w:tcPr>
            <w:tcW w:w="2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Non-Food Industry</w:t>
            </w: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units, air handlers, unit coolers, and process chillers. Services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include installation, energy monitoring, service and</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2"/>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and HVAC recycling.</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chief operating decision maker uses segment profit or loss from operations before interest and income taxes, excluding certain items, and return on sales to allocate resources (including employees, financial, or capital resources) for each segment predominantly in the annual budget and forecasting process. The chief operating decision maker considers budget-to-actual variances in segment profit or loss and its individual components as well as return on sales on a monthly basis when evaluating segment performance and making decisions about allocating resources to the segments.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chief operating decision maker is Alok Maskara, Chief Executive Officer.</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Key financial information for each segment is shown below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Home Comfort</w:t>
            </w: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Business Climate</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2025</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w:t>
            </w: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27"/>
        </w:trPr>
        <w:tc>
          <w:tcPr>
            <w:tcW w:w="5440" w:type="dxa"/>
            <w:vAlign w:val="bottom"/>
            <w:tcBorders>
              <w:bottom w:val="single" w:sz="8" w:color="CCEEFF"/>
            </w:tcBorders>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982.3</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1,451.1</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8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786"/>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154"/>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Home Comfort</w:t>
            </w: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Business Climate</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tcBorders>
              <w:top w:val="single" w:sz="8" w:color="CCEEFF"/>
            </w:tcBorders>
            <w:vMerge w:val="continue"/>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0"/>
        </w:trPr>
        <w:tc>
          <w:tcPr>
            <w:tcW w:w="5440" w:type="dxa"/>
            <w:vAlign w:val="bottom"/>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160"/>
        </w:trPr>
        <w:tc>
          <w:tcPr>
            <w:tcW w:w="5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0" w:type="dxa"/>
            <w:vAlign w:val="bottom"/>
          </w:tcPr>
          <w:p>
            <w:pPr>
              <w:spacing w:after="0"/>
              <w:rPr>
                <w:sz w:val="1"/>
                <w:szCs w:val="1"/>
                <w:color w:val="auto"/>
              </w:rPr>
            </w:pPr>
          </w:p>
        </w:tc>
      </w:tr>
      <w:tr>
        <w:trPr>
          <w:trHeight w:val="22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27"/>
        </w:trPr>
        <w:tc>
          <w:tcPr>
            <w:tcW w:w="5440" w:type="dxa"/>
            <w:vAlign w:val="bottom"/>
            <w:tcBorders>
              <w:bottom w:val="single" w:sz="8" w:color="CCEEFF"/>
            </w:tcBorders>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0" w:hanging="153"/>
        <w:spacing w:after="0"/>
        <w:tabs>
          <w:tab w:leader="none" w:pos="403"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a consolidated basis, no revenue from transactions with a single customer were 10% or greater of our consolidated net sales for any of the periods presented.</w:t>
      </w:r>
    </w:p>
    <w:p>
      <w:pPr>
        <w:spacing w:after="0" w:line="200" w:lineRule="exact"/>
        <w:rPr>
          <w:rFonts w:ascii="Times New Roman" w:cs="Times New Roman" w:eastAsia="Times New Roman" w:hAnsi="Times New Roman"/>
          <w:sz w:val="20"/>
          <w:szCs w:val="20"/>
          <w:color w:val="auto"/>
          <w:vertAlign w:val="superscript"/>
        </w:rPr>
      </w:pPr>
    </w:p>
    <w:p>
      <w:pPr>
        <w:spacing w:after="0" w:line="216" w:lineRule="exact"/>
        <w:rPr>
          <w:rFonts w:ascii="Times New Roman" w:cs="Times New Roman" w:eastAsia="Times New Roman" w:hAnsi="Times New Roman"/>
          <w:sz w:val="20"/>
          <w:szCs w:val="20"/>
          <w:color w:val="auto"/>
          <w:vertAlign w:val="superscript"/>
        </w:rPr>
      </w:pPr>
    </w:p>
    <w:p>
      <w:pPr>
        <w:ind w:left="420" w:hanging="173"/>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(income) expense is primarily comprised of income from equity method investments and (gains) losses and other expenses, net.</w:t>
      </w:r>
    </w:p>
    <w:p>
      <w:pPr>
        <w:spacing w:after="0" w:line="221" w:lineRule="exact"/>
        <w:rPr>
          <w:rFonts w:ascii="Times New Roman" w:cs="Times New Roman" w:eastAsia="Times New Roman" w:hAnsi="Times New Roman"/>
          <w:sz w:val="22"/>
          <w:szCs w:val="22"/>
          <w:color w:val="auto"/>
          <w:vertAlign w:val="superscript"/>
        </w:rPr>
      </w:pPr>
    </w:p>
    <w:p>
      <w:pPr>
        <w:ind w:left="400" w:hanging="153"/>
        <w:spacing w:after="0" w:line="227" w:lineRule="auto"/>
        <w:tabs>
          <w:tab w:leader="none" w:pos="45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ind w:left="640" w:hanging="233"/>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w:t>
      </w:r>
    </w:p>
    <w:p>
      <w:pPr>
        <w:spacing w:after="0" w:line="6"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from previous dispositions.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reconciliations  of  segment  profit  to  Operating  income  and  Net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income</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before</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taxes  are</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5"/>
              </w:rPr>
              <w:t>presented</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millions):</w:t>
            </w: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560" w:type="dxa"/>
            <w:vAlign w:val="bottom"/>
            <w:gridSpan w:val="6"/>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the Three Months Ended June</w:t>
            </w:r>
          </w:p>
        </w:tc>
        <w:tc>
          <w:tcPr>
            <w:tcW w:w="160" w:type="dxa"/>
            <w:vAlign w:val="bottom"/>
            <w:shd w:val="clear" w:color="auto" w:fill="CCEEFF"/>
          </w:tcPr>
          <w:p>
            <w:pPr>
              <w:spacing w:after="0"/>
              <w:rPr>
                <w:sz w:val="13"/>
                <w:szCs w:val="13"/>
                <w:color w:val="auto"/>
              </w:rPr>
            </w:pPr>
          </w:p>
        </w:tc>
        <w:tc>
          <w:tcPr>
            <w:tcW w:w="24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gridSpan w:val="5"/>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3"/>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2"/>
        </w:trPr>
        <w:tc>
          <w:tcPr>
            <w:tcW w:w="5860" w:type="dxa"/>
            <w:vAlign w:val="bottom"/>
            <w:tcBorders>
              <w:top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Total segment profit</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509.6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509.6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income before income taxes: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345.0</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w:t>
            </w:r>
          </w:p>
        </w:tc>
        <w:tc>
          <w:tcPr>
            <w:tcW w:w="16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493.4</w:t>
            </w:r>
          </w:p>
        </w:tc>
        <w:tc>
          <w:tcPr>
            <w:tcW w:w="14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hanging="193"/>
        <w:spacing w:after="0"/>
        <w:tabs>
          <w:tab w:leader="none" w:pos="20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spacing w:after="0" w:line="25" w:lineRule="exact"/>
        <w:rPr>
          <w:rFonts w:ascii="Times New Roman" w:cs="Times New Roman" w:eastAsia="Times New Roman" w:hAnsi="Times New Roman"/>
          <w:sz w:val="10"/>
          <w:szCs w:val="10"/>
          <w:color w:val="auto"/>
        </w:rPr>
      </w:pPr>
    </w:p>
    <w:p>
      <w:pPr>
        <w:ind w:left="640" w:hanging="233"/>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w:t>
      </w:r>
    </w:p>
    <w:p>
      <w:pPr>
        <w:spacing w:after="0" w:line="6"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from previous dispositions.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color w:val="auto"/>
        </w:rPr>
        <w:t>Total assets by segment are shown below (in millions)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6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r>
      <w:tr>
        <w:trPr>
          <w:trHeight w:val="227"/>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45"/>
        </w:trPr>
        <w:tc>
          <w:tcPr>
            <w:tcW w:w="7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assets in the Corporate and Other segment primarily consist of cash, property, plant and equipment, short-term investments, and deferred tax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recorded in the operating segments represent those assets directly associated with those segments.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30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4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7"/>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40" w:type="dxa"/>
            <w:vAlign w:val="bottom"/>
            <w:gridSpan w:val="2"/>
          </w:tcPr>
          <w:p>
            <w:pPr>
              <w:jc w:val="right"/>
              <w:ind w:right="75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5"/>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40" w:type="dxa"/>
            <w:vAlign w:val="bottom"/>
            <w:tcBorders>
              <w:bottom w:val="single" w:sz="8" w:color="auto"/>
            </w:tcBorders>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40" w:type="dxa"/>
            <w:vAlign w:val="bottom"/>
            <w:gridSpan w:val="2"/>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 as of:</w:t>
      </w:r>
    </w:p>
    <w:tbl>
      <w:tblPr>
        <w:tblLayout w:type="fixed"/>
        <w:tblInd w:w="0" w:type="dxa"/>
        <w:tblCellMar>
          <w:top w:w="0" w:type="dxa"/>
          <w:left w:w="0" w:type="dxa"/>
          <w:bottom w:w="0" w:type="dxa"/>
          <w:right w:w="0" w:type="dxa"/>
        </w:tblCellMar>
      </w:tblPr>
      <w:tr>
        <w:trPr>
          <w:trHeight w:val="213"/>
        </w:trPr>
        <w:tc>
          <w:tcPr>
            <w:tcW w:w="73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549.8</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20" w:type="dxa"/>
            <w:vAlign w:val="bottom"/>
            <w:tcBorders>
              <w:bottom w:val="single" w:sz="8" w:color="auto"/>
            </w:tcBorders>
          </w:tcPr>
          <w:p>
            <w:pPr>
              <w:jc w:val="right"/>
              <w:ind w:right="12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825.6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r>
      <w:tr>
        <w:trPr>
          <w:trHeight w:val="20"/>
        </w:trPr>
        <w:tc>
          <w:tcPr>
            <w:tcW w:w="7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40" w:type="dxa"/>
            <w:vAlign w:val="bottom"/>
          </w:tcPr>
          <w:p>
            <w:pPr>
              <w:spacing w:after="0"/>
              <w:rPr>
                <w:sz w:val="18"/>
                <w:szCs w:val="18"/>
                <w:color w:val="auto"/>
              </w:rPr>
            </w:pPr>
          </w:p>
        </w:tc>
        <w:tc>
          <w:tcPr>
            <w:tcW w:w="262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277.6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w:t>
            </w:r>
          </w:p>
        </w:tc>
      </w:tr>
      <w:tr>
        <w:trPr>
          <w:trHeight w:val="267"/>
        </w:trPr>
        <w:tc>
          <w:tcPr>
            <w:tcW w:w="5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173"/>
        </w:trPr>
        <w:tc>
          <w:tcPr>
            <w:tcW w:w="55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Add: Potential effect of dilutive securities attributable to stock-based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2"/>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2"/>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right="100" w:firstLine="160"/>
        <w:spacing w:after="0" w:line="27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tbl>
      <w:tblPr>
        <w:tblLayout w:type="fixed"/>
        <w:tblInd w:w="16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720" w:type="dxa"/>
            <w:vAlign w:val="bottom"/>
            <w:gridSpan w:val="3"/>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right="100"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13" w:name="page14"/>
    <w:bookmarkEnd w:id="13"/>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ASC 842 and therefore are accounted for under ASC 842.</w:t>
      </w:r>
    </w:p>
    <w:p>
      <w:pPr>
        <w:spacing w:after="0" w:line="20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81% of our right-of-use assets and lease liabilities relate to our leases of real estate with the remaining amounts primarily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8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six months ended June 30, 2025 were as follows (in millions):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2024</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June 30, 2025</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r>
      <w:tr>
        <w:trPr>
          <w:trHeight w:val="20"/>
        </w:trPr>
        <w:tc>
          <w:tcPr>
            <w:tcW w:w="7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a total of $5.0 billion to repurchase shares of our common stock (collectively referred to as the "Share Repurchase Plans"), including a $1.0 billion share repurchase authorization in May 2025.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the Company might otherwise be precluded from doing so under insider trading laws or self-imposed trading restrictions. The Share Repurchase Plans do not require the repurchase of a specific number of shares and may be terminated at any time. As of June 30, 2025, $1,196.5 million was available for repurchase under the Share Repurchase Plans.</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For the three and six months ended June 30, 2025, we repurchased 371,133 and 515,665 shares, respectively, at an aggregate cost, inclusive of fees, of $209.6 million and $295.4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2025</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45"/>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5"/>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2025</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45"/>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45"/>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color w:val="auto"/>
        </w:rPr>
        <w:t>installing dealers, including through our network of Lennox stores or to independent distributors. For the three months ended June 30, 2025 and 2024, direct sales represented 74% and 76% of revenues, and sales to independent distributors represented the remainder. For the six months ended June 30, 2025 and 2024, direct sales represented 74% and 75% of revenues, and sales to independent distributors represented the remainder. Given the nature of our business, customer product orders are fulfilled at a point in time and not over a period of time.</w:t>
      </w:r>
    </w:p>
    <w:p>
      <w:pPr>
        <w:spacing w:after="0" w:line="20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We also provide installation, service and preventive maintenance for HVAC national account customers in the United States and Canada; manufacture curb, curb adapters, drop box diffusers; offer HVAC recycling and salvage services; and focus on multi-family HVAC replacement for expired mechanical assets. Revenue related to service contracts is recognized as the services are performed under the contract based on the relative fair value of the services provided. For the three months ended June 30, 2025 and 2024, equipment sales represented 81% and 82% of revenues and the remainder of our revenue was generated from our service business. For the six months ended June 30, 2025 and 2024, equipment sales represented 80% and 81% of revenues and the remainder of our revenue was generated from our service business.</w:t>
      </w:r>
    </w:p>
    <w:p>
      <w:pPr>
        <w:spacing w:after="0" w:line="217" w:lineRule="exact"/>
        <w:rPr>
          <w:sz w:val="20"/>
          <w:szCs w:val="20"/>
          <w:color w:val="auto"/>
        </w:rPr>
      </w:pPr>
    </w:p>
    <w:p>
      <w:pPr>
        <w:jc w:val="both"/>
        <w:ind w:firstLine="2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80" w:type="dxa"/>
            <w:vAlign w:val="bottom"/>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2025 and 2024, we recognized revenue of $0.8 million and $0.4 million and for the six months ended June 30, 2025 and 2024, we recognized revenue of $3.1 million and $6.1 million related to our contract liabilities at January 1, 2025 and 2024, respectively. Impairment losses recognized in our receivables and contract assets were de minimis in 2025 and 2024.</w:t>
      </w:r>
    </w:p>
    <w:p>
      <w:pPr>
        <w:spacing w:after="0" w:line="199" w:lineRule="exact"/>
        <w:rPr>
          <w:sz w:val="20"/>
          <w:szCs w:val="20"/>
          <w:color w:val="auto"/>
        </w:rPr>
      </w:pPr>
    </w:p>
    <w:p>
      <w:pPr>
        <w:ind w:right="8400" w:firstLine="7"/>
        <w:spacing w:after="0" w:line="260" w:lineRule="auto"/>
        <w:tabs>
          <w:tab w:leader="none" w:pos="1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704.8</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2025,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Balance as of June 30,</w:t>
            </w:r>
          </w:p>
        </w:tc>
      </w:tr>
      <w:tr>
        <w:trPr>
          <w:trHeight w:val="212"/>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4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six months ended June 30, 2025 or in any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may bear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December 2026.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 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net on unsettled contracts</w:t>
            </w:r>
          </w:p>
        </w:tc>
        <w:tc>
          <w:tcPr>
            <w:tcW w:w="148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73"/>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7160" w:type="dxa"/>
            <w:vAlign w:val="bottom"/>
            <w:tcBorders>
              <w:bottom w:val="single" w:sz="8" w:color="CCEEFF"/>
            </w:tcBorders>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Unrealized (gains) losses, net included in AOCL, net of tax </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80" w:hanging="153"/>
        <w:spacing w:after="0" w:line="238" w:lineRule="auto"/>
        <w:tabs>
          <w:tab w:leader="none" w:pos="504"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Assuming commodity prices and foreign currency exchange rates remain constant, we expect to reclassify $10.4 million of derivative gain as of June 30, 2025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20" w:type="dxa"/>
            <w:vAlign w:val="bottom"/>
            <w:gridSpan w:val="4"/>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8"/>
        </w:trPr>
        <w:tc>
          <w:tcPr>
            <w:tcW w:w="55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40" w:type="dxa"/>
            <w:vAlign w:val="bottom"/>
          </w:tcPr>
          <w:p>
            <w:pPr>
              <w:spacing w:after="0"/>
              <w:rPr>
                <w:sz w:val="18"/>
                <w:szCs w:val="18"/>
                <w:color w:val="auto"/>
              </w:rPr>
            </w:pPr>
          </w:p>
        </w:tc>
        <w:tc>
          <w:tcPr>
            <w:tcW w:w="26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0"/>
        </w:trPr>
        <w:tc>
          <w:tcPr>
            <w:tcW w:w="5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8"/>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June 30, 2025, we had approximately $4.9 million in total gross unrecognized tax benefits. If recognized, $4.9 million would be recorded through the Consolidated Statements of Operations.</w:t>
      </w:r>
    </w:p>
    <w:p>
      <w:pPr>
        <w:spacing w:after="0" w:line="176" w:lineRule="exact"/>
        <w:rPr>
          <w:sz w:val="20"/>
          <w:szCs w:val="20"/>
          <w:color w:val="auto"/>
        </w:rPr>
      </w:pPr>
    </w:p>
    <w:p>
      <w:pPr>
        <w:ind w:right="4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19.5% for the three months ended June 30, 2025 compared to 19.9% for the three months ended June 30, 2024. The decrease in rate is primarily due to higher income in low tax jurisdictions.</w:t>
      </w:r>
    </w:p>
    <w:p>
      <w:pPr>
        <w:spacing w:after="0" w:line="20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2018 through 2023. We are generally no longer subject to U.S. federal, state and local, or non-U.S. income tax examinations by taxing authorities for years prior to 2018.</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49" w:lineRule="exact"/>
        <w:rPr>
          <w:sz w:val="20"/>
          <w:szCs w:val="20"/>
          <w:color w:val="auto"/>
        </w:rPr>
      </w:pPr>
    </w:p>
    <w:p>
      <w:pPr>
        <w:jc w:val="both"/>
        <w:ind w:right="100" w:firstLine="240"/>
        <w:spacing w:after="0" w:line="269" w:lineRule="auto"/>
        <w:rPr>
          <w:sz w:val="20"/>
          <w:szCs w:val="20"/>
          <w:color w:val="auto"/>
        </w:rPr>
      </w:pPr>
      <w:r>
        <w:rPr>
          <w:rFonts w:ascii="Times New Roman" w:cs="Times New Roman" w:eastAsia="Times New Roman" w:hAnsi="Times New Roman"/>
          <w:sz w:val="17"/>
          <w:szCs w:val="17"/>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$29.0 million CP Notes outstanding under the Program as of June 30, 2025.</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8480" w:type="dxa"/>
            <w:vAlign w:val="bottom"/>
          </w:tcPr>
          <w:p>
            <w:pPr>
              <w:ind w:left="75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0" w:type="dxa"/>
            <w:vAlign w:val="bottom"/>
          </w:tcPr>
          <w:p>
            <w:pPr>
              <w:spacing w:after="0"/>
              <w:rPr>
                <w:sz w:val="18"/>
                <w:szCs w:val="18"/>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7"/>
              </w:rPr>
              <w:t>4.57 %</w:t>
            </w:r>
          </w:p>
        </w:tc>
        <w:tc>
          <w:tcPr>
            <w:tcW w:w="18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right="100" w:firstLine="240"/>
        <w:spacing w:after="0" w:line="251" w:lineRule="auto"/>
        <w:rPr>
          <w:sz w:val="20"/>
          <w:szCs w:val="20"/>
          <w:color w:val="auto"/>
        </w:rPr>
      </w:pPr>
      <w:r>
        <w:rPr>
          <w:rFonts w:ascii="Times New Roman" w:cs="Times New Roman" w:eastAsia="Times New Roman" w:hAnsi="Times New Roman"/>
          <w:sz w:val="18"/>
          <w:szCs w:val="18"/>
          <w:color w:val="auto"/>
        </w:rPr>
        <w:t>On May 9, 2025, we entered into an Amendment and Restatement Agreement ("Amended Credit Agreement") to our existing unsecured revolving credit facility with JPMorgan Chase Bank, N.A., as administrative agent, and the other lenders party thereto. The Amended Credit Agreement decreased our total revolving commitments from $1.1 billion to $1.0 billion with an option to increase the revolving commitments by up to $350 million at our request, subject to the terms and conditions of the Amended Credit Agreement. The Amended Credit Agreement also extended the maturity date of the revolving commitments from July 2026 to May 2030. We had no outstanding borrowings and $1.7 million committed to standby letters of credit as of June 30, 2025. Subject to covenant limitations, $969.3 million was available for future borrowings after taking into consideration outstanding borrowings under our Program. Availability under the Amended Credit Agreement is reduced by borrowings under the Program. The Amended Credit Agreement includes a subfacility for swingline loans up to $65.0 million. Maturity of the Amended Credit Agreement may be extended by the lenders pursuant to two one-year extension options that we may request under the Amended Credit Agreement.</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Amended Credit Agreement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854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40" w:type="dxa"/>
            <w:vAlign w:val="bottom"/>
          </w:tcPr>
          <w:p>
            <w:pPr>
              <w:spacing w:after="0"/>
              <w:rPr>
                <w:sz w:val="18"/>
                <w:szCs w:val="18"/>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240" w:type="dxa"/>
            <w:vAlign w:val="bottom"/>
          </w:tcPr>
          <w:p>
            <w:pPr>
              <w:spacing w:after="0"/>
              <w:rPr>
                <w:sz w:val="19"/>
                <w:szCs w:val="19"/>
                <w:color w:val="auto"/>
              </w:rPr>
            </w:pPr>
          </w:p>
        </w:tc>
        <w:tc>
          <w:tcPr>
            <w:tcW w:w="8540" w:type="dxa"/>
            <w:vAlign w:val="bottom"/>
            <w:shd w:val="clear" w:color="auto" w:fill="CCEEFF"/>
          </w:tcPr>
          <w:p>
            <w:pPr>
              <w:jc w:val="right"/>
              <w:ind w:right="6056"/>
              <w:spacing w:after="0"/>
              <w:rPr>
                <w:sz w:val="20"/>
                <w:szCs w:val="20"/>
                <w:color w:val="auto"/>
              </w:rPr>
            </w:pPr>
            <w:r>
              <w:rPr>
                <w:rFonts w:ascii="Times New Roman" w:cs="Times New Roman" w:eastAsia="Times New Roman" w:hAnsi="Times New Roman"/>
                <w:sz w:val="18"/>
                <w:szCs w:val="18"/>
                <w:color w:val="auto"/>
                <w:w w:val="98"/>
              </w:rPr>
              <w:t>Weighted average borrowing rate</w:t>
            </w: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r>
        <w:trPr>
          <w:trHeight w:val="855"/>
        </w:trPr>
        <w:tc>
          <w:tcPr>
            <w:tcW w:w="8780" w:type="dxa"/>
            <w:vAlign w:val="bottom"/>
            <w:gridSpan w:val="2"/>
          </w:tcPr>
          <w:p>
            <w:pPr>
              <w:jc w:val="right"/>
              <w:ind w:right="2976"/>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19" w:name="page20"/>
    <w:bookmarkEnd w:id="19"/>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Amended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Amended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Our Amended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87" w:lineRule="exact"/>
        <w:rPr>
          <w:sz w:val="20"/>
          <w:szCs w:val="20"/>
          <w:color w:val="auto"/>
        </w:rPr>
      </w:pPr>
    </w:p>
    <w:p>
      <w:pPr>
        <w:ind w:left="360" w:hanging="113"/>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46" w:lineRule="exact"/>
        <w:rPr>
          <w:rFonts w:ascii="Times New Roman" w:cs="Times New Roman" w:eastAsia="Times New Roman" w:hAnsi="Times New Roman"/>
          <w:sz w:val="18"/>
          <w:szCs w:val="18"/>
          <w:color w:val="auto"/>
        </w:rPr>
      </w:pPr>
    </w:p>
    <w:p>
      <w:pPr>
        <w:ind w:firstLine="247"/>
        <w:spacing w:after="0" w:line="277" w:lineRule="auto"/>
        <w:tabs>
          <w:tab w:leader="none" w:pos="3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Amended Credit Agreement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Amended Credit Agreement and accelerate amounts due under our Amended Credit Agreement (except for a bankruptcy event of default, in which case such amounts will automatically become due and payable and the lenders’ commitments will automatically terminate).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Amended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120" w:type="dxa"/>
            <w:vAlign w:val="bottom"/>
          </w:tcPr>
          <w:p>
            <w:pPr>
              <w:spacing w:after="0"/>
              <w:rPr>
                <w:sz w:val="16"/>
                <w:szCs w:val="16"/>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Affected Line Item(s) in the</w:t>
            </w:r>
          </w:p>
        </w:tc>
        <w:tc>
          <w:tcPr>
            <w:tcW w:w="0" w:type="dxa"/>
            <w:vAlign w:val="bottom"/>
          </w:tcPr>
          <w:p>
            <w:pPr>
              <w:spacing w:after="0"/>
              <w:rPr>
                <w:sz w:val="1"/>
                <w:szCs w:val="1"/>
                <w:color w:val="auto"/>
              </w:rPr>
            </w:pPr>
          </w:p>
        </w:tc>
      </w:tr>
      <w:tr>
        <w:trPr>
          <w:trHeight w:val="93"/>
        </w:trPr>
        <w:tc>
          <w:tcPr>
            <w:tcW w:w="3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 Statements of</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0" w:type="dxa"/>
            <w:vAlign w:val="bottom"/>
          </w:tcPr>
          <w:p>
            <w:pPr>
              <w:spacing w:after="0"/>
              <w:rPr>
                <w:sz w:val="1"/>
                <w:szCs w:val="1"/>
                <w:color w:val="auto"/>
              </w:rPr>
            </w:pPr>
          </w:p>
        </w:tc>
      </w:tr>
      <w:tr>
        <w:trPr>
          <w:trHeight w:val="20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and</w:t>
            </w:r>
          </w:p>
        </w:tc>
        <w:tc>
          <w:tcPr>
            <w:tcW w:w="0" w:type="dxa"/>
            <w:vAlign w:val="bottom"/>
          </w:tcPr>
          <w:p>
            <w:pPr>
              <w:spacing w:after="0"/>
              <w:rPr>
                <w:sz w:val="1"/>
                <w:szCs w:val="1"/>
                <w:color w:val="auto"/>
              </w:rPr>
            </w:pPr>
          </w:p>
        </w:tc>
      </w:tr>
      <w:tr>
        <w:trPr>
          <w:trHeight w:val="24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7"/>
              </w:rPr>
              <w:t>6.0</w:t>
            </w:r>
          </w:p>
        </w:tc>
        <w:tc>
          <w:tcPr>
            <w:tcW w:w="12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20"/>
                <w:szCs w:val="2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6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7"/>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six months ended June 30, 2025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 of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0" w:type="dxa"/>
            <w:vAlign w:val="bottom"/>
          </w:tcPr>
          <w:p>
            <w:pPr>
              <w:spacing w:after="0"/>
              <w:rPr>
                <w:sz w:val="1"/>
                <w:szCs w:val="1"/>
                <w:color w:val="auto"/>
              </w:rPr>
            </w:pPr>
          </w:p>
        </w:tc>
      </w:tr>
      <w:tr>
        <w:trPr>
          <w:trHeight w:val="173"/>
        </w:trPr>
        <w:tc>
          <w:tcPr>
            <w:tcW w:w="40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20" w:type="dxa"/>
            <w:vAlign w:val="bottom"/>
          </w:tcPr>
          <w:p>
            <w:pPr>
              <w:spacing w:after="0"/>
              <w:rPr>
                <w:sz w:val="20"/>
                <w:szCs w:val="20"/>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5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10.7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June 30, 2025 were the same as those used as of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Amended Credit Agreement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2024,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Results for the second quarter of 2025 were primarily driven by overall year-over-year net sales and profit increases. Net sales increased 3% and segment profit increased $27 million for our Home Comfort Solutions segment. Net sales increased 5% and segment profit increased $9 million for our Building Climate Solutions segment. Segment loss decreased $0.3 million for our Corporate and Other segment.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$1,501 million in the second quarter of 2025 reflected a 3% increase as compared to the same period in 2024.</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second quarter of 2025 increased $34 million to $354 million as favorable mix and price were partially offset by lower sales volumes, higher product costs, primarily related to inflationary impacts, including tariffs, and higher freight and distribution costs.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second quarter of 2025 was $278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$7.82 per share in the second quarter of 2025 as compared to $6.87 per share in the same period in 2024.</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we returned $82 million to shareholders through dividend payments and repurchased $295.4 million of common stock through our share repurchase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we expect additional pricing gains to overcome tariffs while preserving profit margins and offsetting the impact of potential volume declines.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which includes significant changes to federal tax law and other regulatory provisions that may impact the Company. We are currently evaluating the provisions of the new law and the potential effects on our financial position,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and other expenses,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23.6 %</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for the second quarter of 2025 increased 3% as compared to the same period in 2024 primarily due to a 11% increase in mix and price, which was partially offset by a 8% decrease in sales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in the second quarter of 2025 increased 120 basis points ("bps") to 34.8% as compared to 33.6% in the same period in 2024. Gross margins increased 350 bps from favorable mix and price, which were partially offset by 130 bps from higher freight and distribution costs and 100 bps from higher product costs, primarily related to inflationary impacts,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including tariffs.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firstLine="2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$4 million to $173 million in the second quarter of 2025 as compared to $169 million in the same period in 2024, primarily due to higher employee-related costs partially offset by decreased professional fees.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losses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(Gains) losses and other expenses, net for the second quarter of 2025 and 2024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56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(0.5)</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0.3</w:t>
            </w:r>
          </w:p>
        </w:tc>
      </w:tr>
      <w:tr>
        <w:trPr>
          <w:trHeight w:val="22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and other expenses, net (pre-tax)</w:t>
            </w:r>
          </w:p>
        </w:tc>
        <w:tc>
          <w:tcPr>
            <w:tcW w:w="138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$2 million in the second quarter of 2025 consistent with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decreased to $8 million in the second quarter of 2025 from $13 million in the same period in 2024 primarily due to lower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19.5% for the second quarter of 2025 as compared to 19.9% in the same period in 2024. The decrease in rate is primarily due to higher income in low tax jurisdictions.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2025 Compared to Second Quarter of 2024 -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second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1,009.3</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982.3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228.5</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6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3% in the second quarter of 2025 as compared to the same period in 2024 primarily due to a 12% increase in mix and price, which was partially offset by a 9% decrease in sales volumes.</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Segment profit in the second quarter of 2025 increased $27 million as compared to the same period in 2024 primarily due to $84 million from favorable mix and price, and $6 million in factory efficiencies, which were partially offset by $36 million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5" w:name="page26"/>
    <w:bookmarkEnd w:id="25"/>
    <w:p>
      <w:pPr>
        <w:jc w:val="both"/>
        <w:spacing w:after="0" w:line="277" w:lineRule="auto"/>
        <w:rPr>
          <w:sz w:val="20"/>
          <w:szCs w:val="20"/>
          <w:color w:val="auto"/>
        </w:rPr>
      </w:pPr>
      <w:r>
        <w:rPr>
          <w:rFonts w:ascii="Times New Roman" w:cs="Times New Roman" w:eastAsia="Times New Roman" w:hAnsi="Times New Roman"/>
          <w:sz w:val="18"/>
          <w:szCs w:val="18"/>
          <w:color w:val="auto"/>
        </w:rPr>
        <w:t>decreased sales volumes, $17 million from higher product costs, primarily related to inflationary impacts, including tariffs, and $10 million from higher freight and distribution costs as well as other inflationary impacts.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second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68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491.6</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5% in the second quarter of 2025 as compared to the same period in 2024 primarily due to a 8% increase in mix and price, which was partially offset by a 3% decrease in sales volumes.</w:t>
      </w:r>
    </w:p>
    <w:p>
      <w:pPr>
        <w:spacing w:after="0" w:line="189" w:lineRule="exact"/>
        <w:rPr>
          <w:sz w:val="20"/>
          <w:szCs w:val="20"/>
          <w:color w:val="auto"/>
        </w:rPr>
      </w:pPr>
    </w:p>
    <w:p>
      <w:pPr>
        <w:jc w:val="both"/>
        <w:ind w:right="20" w:firstLine="240"/>
        <w:spacing w:after="0" w:line="284" w:lineRule="auto"/>
        <w:rPr>
          <w:sz w:val="20"/>
          <w:szCs w:val="20"/>
          <w:color w:val="auto"/>
        </w:rPr>
      </w:pPr>
      <w:r>
        <w:rPr>
          <w:rFonts w:ascii="Times New Roman" w:cs="Times New Roman" w:eastAsia="Times New Roman" w:hAnsi="Times New Roman"/>
          <w:sz w:val="17"/>
          <w:szCs w:val="17"/>
          <w:color w:val="auto"/>
        </w:rPr>
        <w:t>Segment profit in the second quarter of 2025 increased $9 million as compared to the same period in 2024 primarily due to $31 million in favorable mix and price and $6 million in higher factory efficiencies, which were partially offset by $11 million in higher product costs, primarily related to inflationary impacts, including tariffs, $11 million in increases in distribution and selling as well as other inflationary impacts, and $6 million in decreased sales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second quarter of 2025 and 2024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0"/>
                <w:szCs w:val="20"/>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Segment loss remained flat at $24 million in the second quarter of 2025 as compared to the same period in 2024.</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2025 Compared to Year-to-Date through June 30, 2024 -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58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1"/>
                <w:szCs w:val="11"/>
                <w:color w:val="auto"/>
              </w:rPr>
            </w:pPr>
          </w:p>
        </w:tc>
        <w:tc>
          <w:tcPr>
            <w:tcW w:w="148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2,498.2</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and other expenses,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3% for the six months ended June 30, 2025 as compared to the same period in 2024, primarily due to a 9% increase in mix and price, which was partially offset by a 6% decrease in sales volumes.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for the six months ended June 30, 2025 decreased 10 bps to 33.1% as compared to 33.2% in the same period in 2024. Gross margins decreased 170 bps from higher product costs, primarily related to inflationary impacts, including tariffs, and 120 bps from higher freight and distribution costs, which were partially offset by 280 bps from favorable mix and price.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7"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SG&amp;A increased $5 million to $345 million for the six months ended June 30, 2025 as compared to $339 million in the same period in 2024 primarily due to higher employee-related costs partially offset by decreased professional fees. As a percentage of net sales, SG&amp;A decreased 20 bps to 13.4% from 13.6%.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six months ended June 30, 2025 and 2024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00" w:type="dxa"/>
            <w:vAlign w:val="bottom"/>
            <w:tcBorders>
              <w:bottom w:val="single" w:sz="8" w:color="auto"/>
            </w:tcBorders>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shd w:val="clear" w:color="auto" w:fill="CCEEFF"/>
          </w:tcPr>
          <w:p>
            <w:pPr>
              <w:spacing w:after="0"/>
              <w:rPr>
                <w:sz w:val="18"/>
                <w:szCs w:val="18"/>
                <w:color w:val="auto"/>
              </w:rPr>
            </w:pP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tcPr>
          <w:p>
            <w:pPr>
              <w:spacing w:after="0"/>
              <w:rPr>
                <w:sz w:val="19"/>
                <w:szCs w:val="19"/>
                <w:color w:val="auto"/>
              </w:rPr>
            </w:pP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loss</w:t>
            </w:r>
          </w:p>
        </w:tc>
        <w:tc>
          <w:tcPr>
            <w:tcW w:w="1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22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10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decreased slightly to $3 million for the six months ended June 30, 2025 as compared to $4 million in the same period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decreased $10 million for the six months ended June 30, 2025 to $14 million as compared to $24 million in the same period in 2024 primarily due to lower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ind w:right="42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19.4% for the six months ended June 30, 2025 as compared to 19.7% in the same period in 2024. The decrease in rate was primarily due to higher income in low tax jurisdictions.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Year-to-Date through June 30, 2025 Compared to Year-to-Date through June 30, 2024 -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six months ended June 30, 2025 and 2024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1,730.7</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1,656.9</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6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4% for the six months ended June 30, 2025 as compared to the same period in 2024 primarily due to a 10% increase in mix and price, which was partially offset by a 6% decrease in sales volumes.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for the first six months of 2025 increased $31 million as compared to the same period in 2024 primarily due to $115 million from favorable mix and price, $11 million in increased factory efficiencies and $2 million in miscellaneous other costs, which were partially offset by $37 million from higher product costs, primarily related to inflationary impacts, including tariffs, $36 million from decreased sales volumes, and $24 million from higher freight and distribution costs as well as other inflationary impacts.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six months ended June 30, 2025 and 2024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5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842.8</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841.3</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176.0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2"/>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6"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remained flat for the six months ended June 30, 2025 as compared to the same period in 2024 primarily due to a 6% increase in mix and price, which was offset by a 6% decrease in sales volumes.</w:t>
      </w:r>
    </w:p>
    <w:p>
      <w:pPr>
        <w:spacing w:after="0" w:line="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Segment profit for the first six months of 2025 decreased $16 million as compared to the same period in 2024 primarily due to $19 million from decreased sales volumes, $19 million from higher product costs, primarily related to inflationary impacts, including tariffs, and $18 million in increases in distribution and selling as well as other inflationary impacts, which were partially offset by $40 million from favorable mix and price.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our Corporate and Other segment's net sales and loss for the six months ended June 30, 2025 and 2024 (dollars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4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19 %</w:t>
            </w: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Segment loss decreased $9 million for the six months ended June 30, 2025 as compared to the same period in 2024 due to higher employee related costs and miscellaneous and other items.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six months ended June 30, 2025 and 2024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340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68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130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2"/>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294"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The change in net cash provided by operating activities for the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cash provided by operating activities for the same period in 2024 primarily reflects less favorable changes in working capital.</w:t>
      </w:r>
    </w:p>
    <w:p>
      <w:pPr>
        <w:spacing w:after="0" w:line="18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$54 million for the six months ended June 30, 2025 compared to $62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2024. The reduction in capital expenditures was primarily driven by the general expansion of manufacturing capacity and equipment of the Commercial factory in Mexico that was completed in 2024.</w:t>
      </w:r>
    </w:p>
    <w:p>
      <w:pPr>
        <w:spacing w:after="0" w:line="200"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for the six months ended June 30, 2025 increased to $368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$118 million provided by in the same period of 2024. The change was primarily due to changes in net borrowings and repayments of long-term debt and repurchase of common stock through our share repurchase program. We repurchased $295.4 million of shares for the six months ended June 30, 2025 and returned $82 million to shareholders through dividend payments.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June 30, 2025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Outstanding Borrowings</w:t>
            </w:r>
          </w:p>
        </w:tc>
      </w:tr>
      <w:tr>
        <w:trPr>
          <w:trHeight w:val="236"/>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1,181.1</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as a replacement to our Asset Securitization Program which expired in November 2023, pursuant to which we may issue short-term, unsecured commercial paper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$29.0 million CP Notes outstanding under the Program as of June 30,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On May 9, 2025, we entered into an Amendment and Restatement Agreement ("Amended Credit Agreement") to our existing unsecured revolving credit facility with JPMorgan Chase Bank, N.A., as administrative agent, and the other lenders party thereto. The Amended Credit Agreement decreased our total revolving commitments from $1.1 billion to $1.0 billion with an option to increase the revolving commitments by up to $350 million at our request, subject to the terms and conditions of the Amended Credit Agreement. The Amended Credit Agreement also extended the maturity date of the revolving commitments from July 2026 to May 2030. We had no outstanding borrowings and $1.7 million committed to standby letters of credit as of June 30, 2025. Subject to covenant limitations, $969.3 million was available for future borrowings after taking into consideration outstanding borrowings under our Program. Availability under the Amended Credit Agreement is reduced by borrowings under the Program. The Amended Credit Agreement includes a subfacility for swingline loans up to $65.0 million. Maturity of the Amended Credit Agreement may be extended by the lenders pursuant to two one-year extension options that we may request under the Amended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price equal to 101% of the principal amount of the notes, plus accrued and unpaid interest, if any. All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2025, we believe we were in compliance with all covenant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remains unchanged at 57% as of June 30, 2025, as compared to December 31, 2024.</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June 30, 2025, our senior credit ratings were Baa2 with a POS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believe our cash and cash equivalents of $49.2 million, future cash generated from operations and available borrowing capacity are sufficient to fund operations, planned capital expenditures, future contractual obligations, potential share repurchases and dividends, and other needs in the foreseeable future, including the maturity of $300.0 million senior unsecured notes on August 1, 2025. Included in our cash and cash equivalents of $49.2 million as of June 30, 2025 was $26.4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2024. Our exposure to market risk has not changed materially since December 31, 2024.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2025,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2024, which could materially affect our business, financial condition or results of operations. There have been no material changes to our risk factors from those disclosed in our Annual Report on Form 10-K for the year ended December 31, 2024.</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second quarter of 2025, we purchased shares of our common stock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539.55</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554.85</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left="400" w:hanging="153"/>
        <w:spacing w:after="0" w:line="597" w:lineRule="auto"/>
        <w:tabs>
          <w:tab w:leader="none" w:pos="403"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Since the inception of the Company’s share repurchase program in 2008, the Board has authorized share repurchases in an amount not to exceed $5.0 billion (the "Share Repurchase Plans"). The Share Repurchase Plans do not have an expiration date. See Note 5 in the Notes to the Consolidated Financial Statement for further details.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adopted, modified, or terminated any Rule 10b5-1 trading arrangement or non-Rule 10b5-1 trading arrangement, as such terms are defined in Item 408(a) of Regulation S-K.</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24"/>
            <w:shd w:val="clear" w:color="auto" w:fill="CCEEFF"/>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2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28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Form of 1.350% Notes due 2025 (filed as Exhibit A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herein by reference).</w:t>
              </w:r>
            </w:hyperlink>
          </w:p>
        </w:tc>
        <w:tc>
          <w:tcPr>
            <w:tcW w:w="876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3"/>
        </w:trPr>
        <w:tc>
          <w:tcPr>
            <w:tcW w:w="92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260" w:type="dxa"/>
            <w:vAlign w:val="bottom"/>
            <w:gridSpan w:val="24"/>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20" w:type="dxa"/>
            <w:vAlign w:val="bottom"/>
            <w:tcBorders>
              <w:top w:val="single" w:sz="8" w:color="0000FF"/>
            </w:tcBorders>
            <w:gridSpan w:val="22"/>
          </w:tcPr>
          <w:p>
            <w:pPr>
              <w:spacing w:after="0" w:line="167"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incorporated herein by reference).</w:t>
              </w:r>
            </w:hyperlink>
          </w:p>
        </w:tc>
        <w:tc>
          <w:tcPr>
            <w:tcW w:w="73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CCEEFF"/>
              <w:left w:val="single" w:sz="8" w:color="CCEEFF"/>
              <w:bottom w:val="single" w:sz="8" w:color="CCEEFF"/>
            </w:tcBorders>
            <w:gridSpan w:val="5"/>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and Restatement Agreement adopting the Amended and Restated Credit Agreement, dated as of May 9, 2025, among LII, the</w:t>
              </w:r>
            </w:hyperlink>
          </w:p>
        </w:tc>
      </w:tr>
      <w:tr>
        <w:trPr>
          <w:trHeight w:val="20"/>
        </w:trPr>
        <w:tc>
          <w:tcPr>
            <w:tcW w:w="920" w:type="dxa"/>
            <w:vAlign w:val="bottom"/>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260" w:type="dxa"/>
            <w:vAlign w:val="bottom"/>
            <w:gridSpan w:val="24"/>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guarantors and lenders party thereto, and JPMorgan Chase Bank, N.A., as Administrative Agent (filed as Exhibit 10.1 to LII's Current Report o</w:t>
              </w:r>
            </w:hyperlink>
          </w:p>
        </w:tc>
      </w:tr>
      <w:tr>
        <w:trPr>
          <w:trHeight w:val="167"/>
        </w:trPr>
        <w:tc>
          <w:tcPr>
            <w:tcW w:w="920" w:type="dxa"/>
            <w:vAlign w:val="bottom"/>
          </w:tcPr>
          <w:p>
            <w:pPr>
              <w:spacing w:after="0"/>
              <w:rPr>
                <w:sz w:val="14"/>
                <w:szCs w:val="14"/>
                <w:color w:val="auto"/>
              </w:rPr>
            </w:pPr>
          </w:p>
        </w:tc>
        <w:tc>
          <w:tcPr>
            <w:tcW w:w="10240" w:type="dxa"/>
            <w:vAlign w:val="bottom"/>
            <w:tcBorders>
              <w:top w:val="single" w:sz="8" w:color="0000FF"/>
            </w:tcBorders>
            <w:gridSpan w:val="23"/>
          </w:tcPr>
          <w:p>
            <w:pPr>
              <w:spacing w:after="0" w:line="167"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8-K filed on May 14, 2025, and incorporated herein by reference).</w:t>
              </w:r>
            </w:hyperlink>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24"/>
            <w:shd w:val="clear" w:color="auto" w:fill="CCEEFF"/>
          </w:tcPr>
          <w:p>
            <w:pPr>
              <w:spacing w:after="0" w:line="187"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Form of Employment Agreement entered into between LII and certain executive officers of LII (current version) (filed as Exhibit 10.3 to LII's</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570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Quarterly Report filed on April 23, 2025, and incorporated herein by reference).</w:t>
              </w:r>
            </w:hyperlink>
          </w:p>
        </w:tc>
        <w:tc>
          <w:tcPr>
            <w:tcW w:w="442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60" w:type="dxa"/>
            <w:vAlign w:val="bottom"/>
            <w:gridSpan w:val="24"/>
          </w:tcPr>
          <w:p>
            <w:pPr>
              <w:spacing w:after="0" w:line="187"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3"/>
        </w:trPr>
        <w:tc>
          <w:tcPr>
            <w:tcW w:w="920" w:type="dxa"/>
            <w:vAlign w:val="bottom"/>
          </w:tcPr>
          <w:p>
            <w:pPr>
              <w:spacing w:after="0"/>
              <w:rPr>
                <w:sz w:val="13"/>
                <w:szCs w:val="13"/>
                <w:color w:val="auto"/>
              </w:rPr>
            </w:pPr>
          </w:p>
        </w:tc>
        <w:tc>
          <w:tcPr>
            <w:tcW w:w="101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by reference).</w:t>
              </w:r>
            </w:hyperlink>
          </w:p>
        </w:tc>
        <w:tc>
          <w:tcPr>
            <w:tcW w:w="100" w:type="dxa"/>
            <w:vAlign w:val="bottom"/>
            <w:gridSpan w:val="5"/>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4"/>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4460" w:type="dxa"/>
            <w:vAlign w:val="bottom"/>
            <w:tcBorders>
              <w:top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(filed herewith).</w:t>
            </w:r>
          </w:p>
        </w:tc>
        <w:tc>
          <w:tcPr>
            <w:tcW w:w="5800" w:type="dxa"/>
            <w:vAlign w:val="bottom"/>
            <w:tcBorders>
              <w:top w:val="single" w:sz="8" w:color="CCEEFF"/>
            </w:tcBorders>
            <w:gridSpan w:val="17"/>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40" w:type="dxa"/>
            <w:vAlign w:val="bottom"/>
            <w:tcBorders>
              <w:bottom w:val="single" w:sz="8" w:color="0000FF"/>
              <w:right w:val="single" w:sz="8" w:color="CCEEFF"/>
            </w:tcBorders>
            <w:gridSpan w:val="1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420" w:type="dxa"/>
            <w:vAlign w:val="bottom"/>
            <w:tcBorders>
              <w:left w:val="single" w:sz="8" w:color="CCEEFF"/>
              <w:bottom w:val="single" w:sz="8" w:color="CCEEFF"/>
            </w:tcBorders>
            <w:gridSpan w:val="12"/>
            <w:shd w:val="clear" w:color="auto" w:fill="CCEEFF"/>
          </w:tcPr>
          <w:p>
            <w:pPr>
              <w:spacing w:after="0"/>
              <w:rPr>
                <w:sz w:val="17"/>
                <w:szCs w:val="17"/>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240" w:right="3740" w:firstLine="25"/>
        <w:spacing w:after="0" w:line="658" w:lineRule="auto"/>
        <w:tabs>
          <w:tab w:leader="none" w:pos="11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34" w:name="page35"/>
    <w:bookmarkEnd w:id="34"/>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00"/>
          </w:cols>
          <w:pgMar w:left="320" w:top="1118"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200" w:hanging="313"/>
        <w:spacing w:after="0" w:line="262" w:lineRule="auto"/>
        <w:tabs>
          <w:tab w:leader="none" w:pos="9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100" w:hanging="313"/>
        <w:spacing w:after="0" w:line="277" w:lineRule="auto"/>
        <w:tabs>
          <w:tab w:leader="none" w:pos="9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40" w:hanging="313"/>
        <w:spacing w:after="0" w:line="277"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3" w:lineRule="exact"/>
        <w:rPr>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60" w:hanging="633"/>
        <w:spacing w:after="0" w:line="262" w:lineRule="auto"/>
        <w:tabs>
          <w:tab w:leader="none" w:pos="12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600" w:hanging="633"/>
        <w:spacing w:after="0" w:line="307" w:lineRule="auto"/>
        <w:tabs>
          <w:tab w:leader="none" w:pos="127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June 30, 2025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2025</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2025</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972"/>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
      <w:numFmt w:val="bullet"/>
      <w:start w:val="1"/>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lvl w:ilvl="1">
      <w:lvlJc w:val="left"/>
      <w:lvlText w:val="%2"/>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47" Type="http://schemas.openxmlformats.org/officeDocument/2006/relationships/hyperlink" Target="https://www.sec.gov/Archives/edgar/data/1069202/000162828023004257/lii-ex31_20221231x10k.htm" TargetMode="External"/><Relationship Id="rId48" Type="http://schemas.openxmlformats.org/officeDocument/2006/relationships/hyperlink" Target="https://www.sec.gov/Archives/edgar/data/1069202/000162828023004257/lii-ex32_20221231x10k.htm" TargetMode="External"/><Relationship Id="rId49" Type="http://schemas.openxmlformats.org/officeDocument/2006/relationships/hyperlink" Target="https://www.sec.gov/Archives/edgar/data/1017609/000095012310042399/d72548exv4w3.htm" TargetMode="External"/><Relationship Id="rId50" Type="http://schemas.openxmlformats.org/officeDocument/2006/relationships/hyperlink" Target="https://www.sec.gov/Archives/edgar/data/1069202/000119312520203588/d22651dex42.htm" TargetMode="External"/><Relationship Id="rId51" Type="http://schemas.openxmlformats.org/officeDocument/2006/relationships/hyperlink" Target="https://www.sec.gov/Archives/edgar/data/1069202/000162828022002664/lii-ex47_20211231x10k.htm" TargetMode="External"/><Relationship Id="rId52" Type="http://schemas.openxmlformats.org/officeDocument/2006/relationships/hyperlink" Target="https://www.sec.gov/Archives/edgar/data/1069202/000162828023032385/exhibit42eleventhsupplemen.htm" TargetMode="External"/><Relationship Id="rId53" Type="http://schemas.openxmlformats.org/officeDocument/2006/relationships/hyperlink" Target="https://www.sec.gov/Archives/edgar/data/1069202/000106920225000022/exhibit101.htm" TargetMode="External"/><Relationship Id="rId54" Type="http://schemas.openxmlformats.org/officeDocument/2006/relationships/hyperlink" Target="https://www.sec.gov/Archives/edgar/data/1069202/000106920225000017/lii-ex103_2025331x10q.htm" TargetMode="External"/><Relationship Id="rId55" Type="http://schemas.openxmlformats.org/officeDocument/2006/relationships/hyperlink" Target="https://www.sec.gov/Archives/edgar/data/1069202/000162828024004446/lii-ex22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2025-07-23T11:37:08Z</dcterms:created>
  <dcterms:modified xsi:type="dcterms:W3CDTF">2025-07-23T11:37:08Z</dcterms:modified>
</cp:coreProperties>
</file>