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0139"/>
          </w:cols>
          <w:pgMar w:left="320" w:top="1338" w:right="1440" w:bottom="1440" w:gutter="0" w:footer="0" w:header="0"/>
        </w:sectPr>
      </w:pPr>
    </w:p>
    <w:p>
      <w:pPr>
        <w:spacing w:after="0" w:line="23" w:lineRule="exact"/>
        <w:rPr>
          <w:sz w:val="24"/>
          <w:szCs w:val="24"/>
          <w:color w:val="auto"/>
        </w:rPr>
      </w:pPr>
    </w:p>
    <w:p>
      <w:pPr>
        <w:ind w:left="4620"/>
        <w:spacing w:after="0"/>
        <w:rPr>
          <w:sz w:val="20"/>
          <w:szCs w:val="20"/>
          <w:color w:val="auto"/>
        </w:rPr>
      </w:pPr>
      <w:r>
        <w:rPr>
          <w:rFonts w:ascii="Arial" w:cs="Arial" w:eastAsia="Arial" w:hAnsi="Arial"/>
          <w:sz w:val="19"/>
          <w:szCs w:val="19"/>
          <w:b w:val="1"/>
          <w:bCs w:val="1"/>
          <w:color w:val="auto"/>
        </w:rPr>
        <w:t>(Amendment No. 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auto"/>
        </w:rPr>
        <w:t>)</w:t>
      </w:r>
    </w:p>
    <w:p>
      <w:pPr>
        <w:spacing w:after="0" w:line="199" w:lineRule="exact"/>
        <w:rPr>
          <w:sz w:val="24"/>
          <w:szCs w:val="24"/>
          <w:color w:val="auto"/>
        </w:rPr>
      </w:pPr>
    </w:p>
    <w:p>
      <w:pPr>
        <w:sectPr>
          <w:pgSz w:w="11900" w:h="16838" w:orient="portrait"/>
          <w:cols w:equalWidth="0" w:num="2">
            <w:col w:w="6400" w:space="160"/>
            <w:col w:w="3579"/>
          </w:cols>
          <w:pgMar w:left="320" w:top="1338" w:right="1440" w:bottom="1440" w:gutter="0" w:footer="0" w:header="0"/>
          <w:type w:val="continuous"/>
        </w:sectPr>
      </w:pPr>
    </w:p>
    <w:p>
      <w:pPr>
        <w:ind w:left="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564" w:lineRule="exact"/>
        <w:rPr>
          <w:sz w:val="24"/>
          <w:szCs w:val="24"/>
          <w:color w:val="auto"/>
        </w:rPr>
      </w:pPr>
    </w:p>
    <w:p>
      <w:pPr>
        <w:sectPr>
          <w:pgSz w:w="11900" w:h="16838" w:orient="portrait"/>
          <w:cols w:equalWidth="0" w:num="2">
            <w:col w:w="4920" w:space="720"/>
            <w:col w:w="4499"/>
          </w:cols>
          <w:pgMar w:left="320" w:top="1338" w:right="1440" w:bottom="1440" w:gutter="0" w:footer="0" w:header="0"/>
          <w:type w:val="continuous"/>
        </w:sectPr>
      </w:pPr>
    </w:p>
    <w:p>
      <w:pPr>
        <w:spacing w:after="0" w:line="10"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98" w:lineRule="exact"/>
        <w:rPr>
          <w:sz w:val="24"/>
          <w:szCs w:val="24"/>
          <w:color w:val="auto"/>
        </w:rPr>
      </w:pPr>
    </w:p>
    <w:p>
      <w:pPr>
        <w:ind w:left="220" w:hanging="213"/>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98" w:lineRule="exact"/>
        <w:rPr>
          <w:sz w:val="24"/>
          <w:szCs w:val="24"/>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220" w:hanging="213"/>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5"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LENNOX INTERNATIONAL INC.</w:t>
      </w:r>
    </w:p>
    <w:p>
      <w:pPr>
        <w:spacing w:after="0" w:line="170"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8" w:lineRule="exact"/>
        <w:rPr>
          <w:sz w:val="24"/>
          <w:szCs w:val="24"/>
          <w:color w:val="auto"/>
        </w:rPr>
      </w:pPr>
    </w:p>
    <w:p>
      <w:pPr>
        <w:ind w:left="2500"/>
        <w:spacing w:after="0"/>
        <w:rPr>
          <w:sz w:val="20"/>
          <w:szCs w:val="20"/>
          <w:color w:val="auto"/>
        </w:rPr>
      </w:pPr>
      <w:r>
        <w:rPr>
          <w:rFonts w:ascii="Arial" w:cs="Arial" w:eastAsia="Arial" w:hAnsi="Arial"/>
          <w:sz w:val="17"/>
          <w:szCs w:val="17"/>
          <w:b w:val="1"/>
          <w:bCs w:val="1"/>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220" w:hanging="213"/>
        <w:spacing w:after="0"/>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98" w:lineRule="exact"/>
        <w:rPr>
          <w:sz w:val="24"/>
          <w:szCs w:val="24"/>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220" w:hanging="213"/>
        <w:spacing w:after="0"/>
        <w:tabs>
          <w:tab w:leader="none" w:pos="2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38" w:right="1440"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30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90309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723265</wp:posOffset>
            </wp:positionV>
            <wp:extent cx="139700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397000" cy="27432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1348740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C60C35"/>
        </w:rPr>
        <w:t>NOTICE OF 2026 ANNUAL MEETING OF</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C60C35"/>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20955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76" w:lineRule="exact"/>
        <w:rPr>
          <w:sz w:val="20"/>
          <w:szCs w:val="20"/>
          <w:color w:val="auto"/>
        </w:rPr>
      </w:pPr>
    </w:p>
    <w:p>
      <w:pPr>
        <w:ind w:left="20"/>
        <w:spacing w:after="0"/>
        <w:rPr>
          <w:sz w:val="20"/>
          <w:szCs w:val="20"/>
          <w:color w:val="auto"/>
        </w:rPr>
      </w:pPr>
      <w:r>
        <w:rPr>
          <w:sz w:val="1"/>
          <w:szCs w:val="1"/>
          <w:color w:val="auto"/>
        </w:rPr>
        <w:drawing>
          <wp:inline distT="0" distB="0" distL="0" distR="0">
            <wp:extent cx="76835" cy="774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835" cy="77470"/>
                    </a:xfrm>
                    <a:prstGeom prst="rect">
                      <a:avLst/>
                    </a:prstGeom>
                    <a:noFill/>
                    <a:ln>
                      <a:noFill/>
                    </a:ln>
                  </pic:spPr>
                </pic:pic>
              </a:graphicData>
            </a:graphic>
          </wp:inline>
        </w:drawing>
      </w:r>
      <w:r>
        <w:rPr>
          <w:rFonts w:ascii="Arial" w:cs="Arial" w:eastAsia="Arial" w:hAnsi="Arial"/>
          <w:sz w:val="29"/>
          <w:szCs w:val="29"/>
          <w:b w:val="1"/>
          <w:bCs w:val="1"/>
          <w:color w:val="C6093B"/>
        </w:rPr>
        <w:t>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60C35"/>
        </w:rPr>
        <w:t xml:space="preserve">DATE AND TIME </w:t>
      </w:r>
      <w:r>
        <w:rPr>
          <w:rFonts w:ascii="Arial" w:cs="Arial" w:eastAsia="Arial" w:hAnsi="Arial"/>
          <w:sz w:val="18"/>
          <w:szCs w:val="18"/>
          <w:color w:val="000000"/>
        </w:rPr>
        <w:t>Thursday, May 21, 2026 | 10:30 a.m., Central Daylight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20" w:right="480"/>
        <w:spacing w:after="0" w:line="287" w:lineRule="auto"/>
        <w:rPr>
          <w:sz w:val="20"/>
          <w:szCs w:val="20"/>
          <w:color w:val="auto"/>
        </w:rPr>
      </w:pPr>
      <w:r>
        <w:rPr>
          <w:rFonts w:ascii="Arial" w:cs="Arial" w:eastAsia="Arial" w:hAnsi="Arial"/>
          <w:sz w:val="18"/>
          <w:szCs w:val="18"/>
          <w:b w:val="1"/>
          <w:bCs w:val="1"/>
          <w:color w:val="C60C35"/>
        </w:rPr>
        <w:t xml:space="preserve">LOCATION </w:t>
      </w:r>
      <w:r>
        <w:rPr>
          <w:rFonts w:ascii="Arial" w:cs="Arial" w:eastAsia="Arial" w:hAnsi="Arial"/>
          <w:sz w:val="18"/>
          <w:szCs w:val="18"/>
          <w:color w:val="000000"/>
        </w:rPr>
        <w:t>Virtual Meeting. You must register in advance at www.proxydocs.com/LII to attend. After registering, you will receive further</w:t>
      </w:r>
      <w:r>
        <w:rPr>
          <w:rFonts w:ascii="Arial" w:cs="Arial" w:eastAsia="Arial" w:hAnsi="Arial"/>
          <w:sz w:val="18"/>
          <w:szCs w:val="18"/>
          <w:b w:val="1"/>
          <w:bCs w:val="1"/>
          <w:color w:val="C60C35"/>
        </w:rPr>
        <w:t xml:space="preserve"> </w:t>
      </w:r>
      <w:r>
        <w:rPr>
          <w:rFonts w:ascii="Arial" w:cs="Arial" w:eastAsia="Arial" w:hAnsi="Arial"/>
          <w:sz w:val="18"/>
          <w:szCs w:val="18"/>
          <w:color w:val="000000"/>
        </w:rPr>
        <w:t>instructions by email, including a unique link to access the 2026 Annual Meeting.</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6480" w:type="dxa"/>
            <w:vAlign w:val="bottom"/>
            <w:tcBorders>
              <w:bottom w:val="single" w:sz="8" w:color="auto"/>
            </w:tcBorders>
            <w:shd w:val="clear" w:color="auto" w:fill="F3F3F3"/>
          </w:tcPr>
          <w:p>
            <w:pPr>
              <w:ind w:left="140"/>
              <w:spacing w:after="0"/>
              <w:rPr>
                <w:sz w:val="20"/>
                <w:szCs w:val="20"/>
                <w:color w:val="auto"/>
              </w:rPr>
            </w:pPr>
            <w:r>
              <w:rPr>
                <w:rFonts w:ascii="Arial" w:cs="Arial" w:eastAsia="Arial" w:hAnsi="Arial"/>
                <w:sz w:val="29"/>
                <w:szCs w:val="29"/>
                <w:b w:val="1"/>
                <w:bCs w:val="1"/>
                <w:color w:val="C6093B"/>
              </w:rPr>
              <w:t>  Agenda</w:t>
            </w:r>
          </w:p>
        </w:tc>
        <w:tc>
          <w:tcPr>
            <w:tcW w:w="4760" w:type="dxa"/>
            <w:vAlign w:val="bottom"/>
            <w:tcBorders>
              <w:bottom w:val="single" w:sz="8" w:color="auto"/>
            </w:tcBorders>
            <w:shd w:val="clear" w:color="auto" w:fill="F3F3F3"/>
          </w:tcPr>
          <w:p>
            <w:pPr>
              <w:ind w:left="560"/>
              <w:spacing w:after="0"/>
              <w:rPr>
                <w:sz w:val="20"/>
                <w:szCs w:val="20"/>
                <w:color w:val="auto"/>
              </w:rPr>
            </w:pPr>
            <w:r>
              <w:rPr>
                <w:rFonts w:ascii="Arial" w:cs="Arial" w:eastAsia="Arial" w:hAnsi="Arial"/>
                <w:sz w:val="29"/>
                <w:szCs w:val="29"/>
                <w:b w:val="1"/>
                <w:bCs w:val="1"/>
                <w:color w:val="C6093B"/>
              </w:rPr>
              <w:t>Board Recommendation</w:t>
            </w: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1 </w:t>
            </w:r>
            <w:r>
              <w:rPr>
                <w:rFonts w:ascii="Arial" w:cs="Arial" w:eastAsia="Arial" w:hAnsi="Arial"/>
                <w:sz w:val="18"/>
                <w:szCs w:val="18"/>
                <w:color w:val="000000"/>
              </w:rPr>
              <w:t>To elect three Class I directors for a three-year term expiring at</w:t>
            </w:r>
          </w:p>
        </w:tc>
        <w:tc>
          <w:tcPr>
            <w:tcW w:w="4760" w:type="dxa"/>
            <w:vAlign w:val="bottom"/>
            <w:vMerge w:val="restart"/>
          </w:tcPr>
          <w:p>
            <w:pPr>
              <w:ind w:left="3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 </w:t>
            </w:r>
            <w:r>
              <w:rPr>
                <w:rFonts w:ascii="Arial" w:cs="Arial" w:eastAsia="Arial" w:hAnsi="Arial"/>
                <w:sz w:val="18"/>
                <w:szCs w:val="18"/>
                <w:color w:val="000000"/>
              </w:rPr>
              <w:t>each director nominee</w:t>
            </w:r>
          </w:p>
        </w:tc>
        <w:tc>
          <w:tcPr>
            <w:tcW w:w="0" w:type="dxa"/>
            <w:vAlign w:val="bottom"/>
          </w:tcPr>
          <w:p>
            <w:pPr>
              <w:spacing w:after="0"/>
              <w:rPr>
                <w:sz w:val="1"/>
                <w:szCs w:val="1"/>
                <w:color w:val="auto"/>
              </w:rPr>
            </w:pPr>
          </w:p>
        </w:tc>
      </w:tr>
      <w:tr>
        <w:trPr>
          <w:trHeight w:val="297"/>
        </w:trPr>
        <w:tc>
          <w:tcPr>
            <w:tcW w:w="6480" w:type="dxa"/>
            <w:vAlign w:val="bottom"/>
          </w:tcPr>
          <w:p>
            <w:pPr>
              <w:ind w:left="20"/>
              <w:spacing w:after="0"/>
              <w:rPr>
                <w:sz w:val="20"/>
                <w:szCs w:val="20"/>
                <w:color w:val="auto"/>
              </w:rPr>
            </w:pPr>
            <w:r>
              <w:rPr>
                <w:rFonts w:ascii="Arial" w:cs="Arial" w:eastAsia="Arial" w:hAnsi="Arial"/>
                <w:sz w:val="18"/>
                <w:szCs w:val="18"/>
                <w:color w:val="auto"/>
              </w:rPr>
              <w:t>the 2029 Annual Meeting of Stockholders</w:t>
            </w:r>
          </w:p>
        </w:tc>
        <w:tc>
          <w:tcPr>
            <w:tcW w:w="4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2 </w:t>
            </w:r>
            <w:r>
              <w:rPr>
                <w:rFonts w:ascii="Arial" w:cs="Arial" w:eastAsia="Arial" w:hAnsi="Arial"/>
                <w:sz w:val="18"/>
                <w:szCs w:val="18"/>
                <w:color w:val="000000"/>
              </w:rPr>
              <w:t>To conduct an advisory vote to approve the compensation of our</w:t>
            </w:r>
          </w:p>
        </w:tc>
        <w:tc>
          <w:tcPr>
            <w:tcW w:w="4760" w:type="dxa"/>
            <w:vAlign w:val="bottom"/>
            <w:vMerge w:val="restart"/>
          </w:tcPr>
          <w:p>
            <w:pPr>
              <w:ind w:left="3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w:t>
            </w:r>
          </w:p>
        </w:tc>
        <w:tc>
          <w:tcPr>
            <w:tcW w:w="0" w:type="dxa"/>
            <w:vAlign w:val="bottom"/>
          </w:tcPr>
          <w:p>
            <w:pPr>
              <w:spacing w:after="0"/>
              <w:rPr>
                <w:sz w:val="1"/>
                <w:szCs w:val="1"/>
                <w:color w:val="auto"/>
              </w:rPr>
            </w:pPr>
          </w:p>
        </w:tc>
      </w:tr>
      <w:tr>
        <w:trPr>
          <w:trHeight w:val="297"/>
        </w:trPr>
        <w:tc>
          <w:tcPr>
            <w:tcW w:w="6480" w:type="dxa"/>
            <w:vAlign w:val="bottom"/>
          </w:tcPr>
          <w:p>
            <w:pPr>
              <w:ind w:left="20"/>
              <w:spacing w:after="0"/>
              <w:rPr>
                <w:sz w:val="20"/>
                <w:szCs w:val="20"/>
                <w:color w:val="auto"/>
              </w:rPr>
            </w:pPr>
            <w:r>
              <w:rPr>
                <w:rFonts w:ascii="Arial" w:cs="Arial" w:eastAsia="Arial" w:hAnsi="Arial"/>
                <w:sz w:val="18"/>
                <w:szCs w:val="18"/>
                <w:color w:val="auto"/>
              </w:rPr>
              <w:t>named executive officers as disclosed in this Proxy Statement</w:t>
            </w:r>
          </w:p>
        </w:tc>
        <w:tc>
          <w:tcPr>
            <w:tcW w:w="4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line="204" w:lineRule="exact"/>
              <w:rPr>
                <w:sz w:val="20"/>
                <w:szCs w:val="20"/>
                <w:color w:val="auto"/>
              </w:rPr>
            </w:pPr>
            <w:r>
              <w:rPr>
                <w:rFonts w:ascii="Arial" w:cs="Arial" w:eastAsia="Arial" w:hAnsi="Arial"/>
                <w:sz w:val="18"/>
                <w:szCs w:val="18"/>
                <w:b w:val="1"/>
                <w:bCs w:val="1"/>
                <w:color w:val="C60C35"/>
              </w:rPr>
              <w:t xml:space="preserve">Proposal 3 </w:t>
            </w:r>
            <w:r>
              <w:rPr>
                <w:rFonts w:ascii="Arial" w:cs="Arial" w:eastAsia="Arial" w:hAnsi="Arial"/>
                <w:sz w:val="18"/>
                <w:szCs w:val="18"/>
                <w:color w:val="000000"/>
              </w:rPr>
              <w:t>To ratify the appointment of Ernst &amp; Young LLP as our</w:t>
            </w:r>
          </w:p>
        </w:tc>
        <w:tc>
          <w:tcPr>
            <w:tcW w:w="4760" w:type="dxa"/>
            <w:vAlign w:val="bottom"/>
            <w:vMerge w:val="restart"/>
          </w:tcPr>
          <w:p>
            <w:pPr>
              <w:ind w:left="360"/>
              <w:spacing w:after="0" w:line="288" w:lineRule="exact"/>
              <w:rPr>
                <w:sz w:val="20"/>
                <w:szCs w:val="20"/>
                <w:color w:val="auto"/>
              </w:rPr>
            </w:pPr>
            <w:r>
              <w:rPr>
                <w:rFonts w:ascii="MS PGothic" w:cs="MS PGothic" w:eastAsia="MS PGothic" w:hAnsi="MS PGothic"/>
                <w:sz w:val="25"/>
                <w:szCs w:val="25"/>
                <w:color w:val="000000"/>
                <w:highlight w:val="black"/>
              </w:rPr>
              <w:t>☑</w:t>
            </w:r>
            <w:r>
              <w:rPr>
                <w:rFonts w:ascii="Arial" w:cs="Arial" w:eastAsia="Arial" w:hAnsi="Arial"/>
                <w:sz w:val="18"/>
                <w:szCs w:val="18"/>
                <w:b w:val="1"/>
                <w:bCs w:val="1"/>
                <w:color w:val="C60C35"/>
              </w:rPr>
              <w:t xml:space="preserve"> FOR</w:t>
            </w:r>
          </w:p>
        </w:tc>
        <w:tc>
          <w:tcPr>
            <w:tcW w:w="0" w:type="dxa"/>
            <w:vAlign w:val="bottom"/>
          </w:tcPr>
          <w:p>
            <w:pPr>
              <w:spacing w:after="0"/>
              <w:rPr>
                <w:sz w:val="1"/>
                <w:szCs w:val="1"/>
                <w:color w:val="auto"/>
              </w:rPr>
            </w:pPr>
          </w:p>
        </w:tc>
      </w:tr>
      <w:tr>
        <w:trPr>
          <w:trHeight w:val="297"/>
        </w:trPr>
        <w:tc>
          <w:tcPr>
            <w:tcW w:w="6480" w:type="dxa"/>
            <w:vAlign w:val="bottom"/>
          </w:tcPr>
          <w:p>
            <w:pPr>
              <w:ind w:left="20"/>
              <w:spacing w:after="0"/>
              <w:rPr>
                <w:sz w:val="20"/>
                <w:szCs w:val="20"/>
                <w:color w:val="auto"/>
              </w:rPr>
            </w:pPr>
            <w:r>
              <w:rPr>
                <w:rFonts w:ascii="Arial" w:cs="Arial" w:eastAsia="Arial" w:hAnsi="Arial"/>
                <w:sz w:val="18"/>
                <w:szCs w:val="18"/>
                <w:color w:val="auto"/>
              </w:rPr>
              <w:t>independent registered public accounting firm for the 2026 fiscal year</w:t>
            </w:r>
          </w:p>
        </w:tc>
        <w:tc>
          <w:tcPr>
            <w:tcW w:w="4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6480" w:type="dxa"/>
            <w:vAlign w:val="bottom"/>
            <w:tcBorders>
              <w:bottom w:val="single" w:sz="8" w:color="auto"/>
            </w:tcBorders>
          </w:tcPr>
          <w:p>
            <w:pPr>
              <w:spacing w:after="0"/>
              <w:rPr>
                <w:sz w:val="11"/>
                <w:szCs w:val="11"/>
                <w:color w:val="auto"/>
              </w:rPr>
            </w:pPr>
          </w:p>
        </w:tc>
        <w:tc>
          <w:tcPr>
            <w:tcW w:w="4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480" w:type="dxa"/>
            <w:vAlign w:val="bottom"/>
          </w:tcPr>
          <w:p>
            <w:pPr>
              <w:ind w:left="20"/>
              <w:spacing w:after="0" w:line="204" w:lineRule="exact"/>
              <w:rPr>
                <w:sz w:val="20"/>
                <w:szCs w:val="20"/>
                <w:color w:val="auto"/>
              </w:rPr>
            </w:pPr>
            <w:r>
              <w:rPr>
                <w:rFonts w:ascii="Arial" w:cs="Arial" w:eastAsia="Arial" w:hAnsi="Arial"/>
                <w:sz w:val="18"/>
                <w:szCs w:val="18"/>
                <w:color w:val="auto"/>
              </w:rPr>
              <w:t>Transact any other business that may properly come before the 2026 Annual</w:t>
            </w:r>
          </w:p>
        </w:tc>
        <w:tc>
          <w:tcPr>
            <w:tcW w:w="4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Meeting in accordance with the terms of our Bylaws</w:t>
            </w:r>
          </w:p>
        </w:tc>
        <w:tc>
          <w:tcPr>
            <w:tcW w:w="4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64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480" w:type="dxa"/>
            <w:vAlign w:val="bottom"/>
            <w:tcBorders>
              <w:bottom w:val="single" w:sz="8" w:color="auto"/>
            </w:tcBorders>
            <w:shd w:val="clear" w:color="auto" w:fill="F3F3F3"/>
          </w:tcPr>
          <w:p>
            <w:pPr>
              <w:ind w:left="220"/>
              <w:spacing w:after="0"/>
              <w:rPr>
                <w:sz w:val="20"/>
                <w:szCs w:val="20"/>
                <w:color w:val="auto"/>
              </w:rPr>
            </w:pPr>
            <w:r>
              <w:rPr>
                <w:rFonts w:ascii="Arial" w:cs="Arial" w:eastAsia="Arial" w:hAnsi="Arial"/>
                <w:sz w:val="29"/>
                <w:szCs w:val="29"/>
                <w:b w:val="1"/>
                <w:bCs w:val="1"/>
                <w:color w:val="C6093B"/>
              </w:rPr>
              <w:t>Voting Methods Available to You</w:t>
            </w:r>
          </w:p>
        </w:tc>
        <w:tc>
          <w:tcPr>
            <w:tcW w:w="4760" w:type="dxa"/>
            <w:vAlign w:val="bottom"/>
            <w:tcBorders>
              <w:bottom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-2253615</wp:posOffset>
            </wp:positionV>
            <wp:extent cx="76835" cy="77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-2253615</wp:posOffset>
            </wp:positionV>
            <wp:extent cx="77470" cy="77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-187960</wp:posOffset>
            </wp:positionV>
            <wp:extent cx="7683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9"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C60C35"/>
        </w:rPr>
        <w:t xml:space="preserve">INTERNET </w:t>
      </w:r>
      <w:r>
        <w:rPr>
          <w:rFonts w:ascii="Arial" w:cs="Arial" w:eastAsia="Arial" w:hAnsi="Arial"/>
          <w:sz w:val="18"/>
          <w:szCs w:val="18"/>
          <w:color w:val="000000"/>
        </w:rPr>
        <w:t>Visit the website on your</w:t>
      </w:r>
      <w:r>
        <w:rPr>
          <w:rFonts w:ascii="Arial" w:cs="Arial" w:eastAsia="Arial" w:hAnsi="Arial"/>
          <w:sz w:val="18"/>
          <w:szCs w:val="18"/>
          <w:b w:val="1"/>
          <w:bCs w:val="1"/>
          <w:color w:val="C60C35"/>
        </w:rPr>
        <w:t xml:space="preserve"> </w:t>
      </w:r>
      <w:r>
        <w:rPr>
          <w:rFonts w:ascii="Arial" w:cs="Arial" w:eastAsia="Arial" w:hAnsi="Arial"/>
          <w:sz w:val="18"/>
          <w:szCs w:val="18"/>
          <w:color w:val="000000"/>
        </w:rPr>
        <w:t>Proxy Card</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C60C35"/>
        </w:rPr>
        <w:t xml:space="preserve">BY MAIL </w:t>
      </w:r>
      <w:r>
        <w:rPr>
          <w:rFonts w:ascii="Arial" w:cs="Arial" w:eastAsia="Arial" w:hAnsi="Arial"/>
          <w:sz w:val="18"/>
          <w:szCs w:val="18"/>
          <w:color w:val="000000"/>
        </w:rPr>
        <w:t>Mark, sign, date, and return your Proxy</w:t>
      </w:r>
      <w:r>
        <w:rPr>
          <w:rFonts w:ascii="Arial" w:cs="Arial" w:eastAsia="Arial" w:hAnsi="Arial"/>
          <w:sz w:val="18"/>
          <w:szCs w:val="18"/>
          <w:b w:val="1"/>
          <w:bCs w:val="1"/>
          <w:color w:val="C60C35"/>
        </w:rPr>
        <w:t xml:space="preserve"> </w:t>
      </w:r>
      <w:r>
        <w:rPr>
          <w:rFonts w:ascii="Arial" w:cs="Arial" w:eastAsia="Arial" w:hAnsi="Arial"/>
          <w:sz w:val="18"/>
          <w:szCs w:val="18"/>
          <w:color w:val="000000"/>
        </w:rPr>
        <w:t>Card in the postage-paid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-2064385</wp:posOffset>
            </wp:positionH>
            <wp:positionV relativeFrom="paragraph">
              <wp:posOffset>220980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C6093B"/>
        </w:rPr>
        <w:t>Your vote is important. Please submit your</w:t>
      </w:r>
    </w:p>
    <w:p>
      <w:pPr>
        <w:spacing w:after="0" w:line="23"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b w:val="1"/>
          <w:bCs w:val="1"/>
          <w:i w:val="1"/>
          <w:iCs w:val="1"/>
          <w:color w:val="C6093B"/>
        </w:rPr>
        <w:t>proxy or voting instructions as soon as possible</w:t>
      </w:r>
    </w:p>
    <w:p>
      <w:pPr>
        <w:spacing w:after="0" w:line="200" w:lineRule="exact"/>
        <w:rPr>
          <w:sz w:val="20"/>
          <w:szCs w:val="20"/>
          <w:color w:val="auto"/>
        </w:rPr>
      </w:pPr>
    </w:p>
    <w:p>
      <w:pPr>
        <w:sectPr>
          <w:pgSz w:w="11900" w:h="16838" w:orient="portrait"/>
          <w:cols w:equalWidth="0" w:num="3">
            <w:col w:w="2920" w:space="340"/>
            <w:col w:w="3900" w:space="360"/>
            <w:col w:w="3720"/>
          </w:cols>
          <w:pgMar w:left="320" w:top="1440" w:right="339" w:bottom="1440" w:gutter="0" w:footer="0" w:header="0"/>
          <w:type w:val="continuous"/>
        </w:sectPr>
      </w:pPr>
    </w:p>
    <w:p>
      <w:pPr>
        <w:spacing w:after="0" w:line="50" w:lineRule="exact"/>
        <w:rPr>
          <w:sz w:val="20"/>
          <w:szCs w:val="20"/>
          <w:color w:val="auto"/>
        </w:rPr>
      </w:pPr>
    </w:p>
    <w:p>
      <w:pPr>
        <w:ind w:left="20"/>
        <w:spacing w:after="0" w:line="271" w:lineRule="auto"/>
        <w:rPr>
          <w:sz w:val="20"/>
          <w:szCs w:val="20"/>
          <w:color w:val="auto"/>
        </w:rPr>
      </w:pPr>
      <w:r>
        <w:rPr>
          <w:rFonts w:ascii="Arial" w:cs="Arial" w:eastAsia="Arial" w:hAnsi="Arial"/>
          <w:sz w:val="18"/>
          <w:szCs w:val="18"/>
          <w:b w:val="1"/>
          <w:bCs w:val="1"/>
          <w:color w:val="C60C35"/>
        </w:rPr>
        <w:t xml:space="preserve">TELEPHONE </w:t>
      </w:r>
      <w:r>
        <w:rPr>
          <w:rFonts w:ascii="Arial" w:cs="Arial" w:eastAsia="Arial" w:hAnsi="Arial"/>
          <w:sz w:val="18"/>
          <w:szCs w:val="18"/>
          <w:color w:val="000000"/>
        </w:rPr>
        <w:t>Call the number on</w:t>
      </w:r>
      <w:r>
        <w:rPr>
          <w:rFonts w:ascii="Arial" w:cs="Arial" w:eastAsia="Arial" w:hAnsi="Arial"/>
          <w:sz w:val="18"/>
          <w:szCs w:val="18"/>
          <w:b w:val="1"/>
          <w:bCs w:val="1"/>
          <w:color w:val="C60C35"/>
        </w:rPr>
        <w:t xml:space="preserve"> </w:t>
      </w:r>
      <w:r>
        <w:rPr>
          <w:rFonts w:ascii="Arial" w:cs="Arial" w:eastAsia="Arial" w:hAnsi="Arial"/>
          <w:sz w:val="18"/>
          <w:szCs w:val="18"/>
          <w:color w:val="000000"/>
        </w:rPr>
        <w:t>your Proxy Card</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color w:val="C60C35"/>
        </w:rPr>
        <w:t xml:space="preserve">DURING THE MEETING </w:t>
      </w:r>
      <w:r>
        <w:rPr>
          <w:rFonts w:ascii="Arial" w:cs="Arial" w:eastAsia="Arial" w:hAnsi="Arial"/>
          <w:sz w:val="18"/>
          <w:szCs w:val="18"/>
          <w:color w:val="000000"/>
        </w:rPr>
        <w:t>You must register</w:t>
      </w:r>
      <w:r>
        <w:rPr>
          <w:rFonts w:ascii="Arial" w:cs="Arial" w:eastAsia="Arial" w:hAnsi="Arial"/>
          <w:sz w:val="18"/>
          <w:szCs w:val="18"/>
          <w:b w:val="1"/>
          <w:bCs w:val="1"/>
          <w:color w:val="C60C35"/>
        </w:rPr>
        <w:t xml:space="preserve"> </w:t>
      </w:r>
      <w:r>
        <w:rPr>
          <w:rFonts w:ascii="Arial" w:cs="Arial" w:eastAsia="Arial" w:hAnsi="Arial"/>
          <w:sz w:val="18"/>
          <w:szCs w:val="18"/>
          <w:color w:val="000000"/>
        </w:rPr>
        <w:t xml:space="preserve">in advance at </w:t>
      </w:r>
      <w:r>
        <w:rPr>
          <w:rFonts w:ascii="Arial" w:cs="Arial" w:eastAsia="Arial" w:hAnsi="Arial"/>
          <w:sz w:val="18"/>
          <w:szCs w:val="18"/>
          <w:i w:val="1"/>
          <w:iCs w:val="1"/>
          <w:color w:val="000000"/>
        </w:rPr>
        <w:t>www.proxydocs.com/LII</w:t>
      </w:r>
      <w:r>
        <w:rPr>
          <w:rFonts w:ascii="Arial" w:cs="Arial" w:eastAsia="Arial" w:hAnsi="Arial"/>
          <w:sz w:val="18"/>
          <w:szCs w:val="18"/>
          <w:color w:val="000000"/>
        </w:rPr>
        <w:t xml:space="preserve"> to virtually attend and vote during the 2026 Annual Meeting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b w:val="1"/>
          <w:bCs w:val="1"/>
          <w:color w:val="C60C35"/>
        </w:rPr>
        <w:t xml:space="preserve">Who May Vote </w:t>
      </w:r>
      <w:r>
        <w:rPr>
          <w:rFonts w:ascii="Arial" w:cs="Arial" w:eastAsia="Arial" w:hAnsi="Arial"/>
          <w:sz w:val="18"/>
          <w:szCs w:val="18"/>
          <w:color w:val="000000"/>
        </w:rPr>
        <w:t>Our stockholders of record</w:t>
      </w:r>
      <w:r>
        <w:rPr>
          <w:rFonts w:ascii="Arial" w:cs="Arial" w:eastAsia="Arial" w:hAnsi="Arial"/>
          <w:sz w:val="18"/>
          <w:szCs w:val="18"/>
          <w:b w:val="1"/>
          <w:bCs w:val="1"/>
          <w:color w:val="C60C35"/>
        </w:rPr>
        <w:t xml:space="preserve"> </w:t>
      </w:r>
      <w:r>
        <w:rPr>
          <w:rFonts w:ascii="Arial" w:cs="Arial" w:eastAsia="Arial" w:hAnsi="Arial"/>
          <w:sz w:val="18"/>
          <w:szCs w:val="18"/>
          <w:color w:val="000000"/>
        </w:rPr>
        <w:t>at the close of business on March 26, 2026, are entitled to notice of, and to vote at, the 2026 Annual Meeting</w:t>
      </w:r>
    </w:p>
    <w:p>
      <w:pPr>
        <w:spacing w:after="0" w:line="200" w:lineRule="exact"/>
        <w:rPr>
          <w:sz w:val="20"/>
          <w:szCs w:val="20"/>
          <w:color w:val="auto"/>
        </w:rPr>
      </w:pPr>
    </w:p>
    <w:p>
      <w:pPr>
        <w:sectPr>
          <w:pgSz w:w="11900" w:h="16838" w:orient="portrait"/>
          <w:cols w:equalWidth="0" w:num="3">
            <w:col w:w="2700" w:space="560"/>
            <w:col w:w="3540" w:space="720"/>
            <w:col w:w="3720"/>
          </w:cols>
          <w:pgMar w:left="320" w:top="1440" w:right="339" w:bottom="1440" w:gutter="0" w:footer="0" w:header="0"/>
          <w:type w:val="continuous"/>
        </w:sect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00" w:type="dxa"/>
            <w:vAlign w:val="bottom"/>
          </w:tcPr>
          <w:p>
            <w:pPr>
              <w:ind w:left="20"/>
              <w:spacing w:after="0"/>
              <w:rPr>
                <w:sz w:val="20"/>
                <w:szCs w:val="20"/>
                <w:color w:val="auto"/>
              </w:rPr>
            </w:pPr>
            <w:r>
              <w:rPr>
                <w:rFonts w:ascii="Arial" w:cs="Arial" w:eastAsia="Arial" w:hAnsi="Arial"/>
                <w:sz w:val="18"/>
                <w:szCs w:val="18"/>
                <w:b w:val="1"/>
                <w:bCs w:val="1"/>
                <w:color w:val="C60C35"/>
              </w:rPr>
              <w:t>Important Notice Regarding the Availability of Proxy Materials for the for the</w:t>
            </w:r>
          </w:p>
        </w:tc>
        <w:tc>
          <w:tcPr>
            <w:tcW w:w="3940" w:type="dxa"/>
            <w:vAlign w:val="bottom"/>
          </w:tcPr>
          <w:p>
            <w:pPr>
              <w:ind w:left="220"/>
              <w:spacing w:after="0"/>
              <w:rPr>
                <w:sz w:val="20"/>
                <w:szCs w:val="20"/>
                <w:color w:val="auto"/>
              </w:rPr>
            </w:pPr>
            <w:r>
              <w:rPr>
                <w:rFonts w:ascii="Arial" w:cs="Arial" w:eastAsia="Arial" w:hAnsi="Arial"/>
                <w:sz w:val="18"/>
                <w:szCs w:val="18"/>
                <w:b w:val="1"/>
                <w:bCs w:val="1"/>
                <w:color w:val="C60C35"/>
              </w:rPr>
              <w:t>By Order of the Board of Directors,</w:t>
            </w: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b w:val="1"/>
                <w:bCs w:val="1"/>
                <w:color w:val="C60C35"/>
              </w:rPr>
              <w:t>Stockholder Meeting to be Held on May 21, 2026:</w:t>
            </w:r>
          </w:p>
        </w:tc>
        <w:tc>
          <w:tcPr>
            <w:tcW w:w="3940" w:type="dxa"/>
            <w:vAlign w:val="bottom"/>
          </w:tcPr>
          <w:p>
            <w:pPr>
              <w:spacing w:after="0"/>
              <w:rPr>
                <w:sz w:val="17"/>
                <w:szCs w:val="17"/>
                <w:color w:val="auto"/>
              </w:rPr>
            </w:pPr>
          </w:p>
        </w:tc>
      </w:tr>
      <w:tr>
        <w:trPr>
          <w:trHeight w:val="216"/>
        </w:trPr>
        <w:tc>
          <w:tcPr>
            <w:tcW w:w="7300" w:type="dxa"/>
            <w:vAlign w:val="bottom"/>
          </w:tcPr>
          <w:p>
            <w:pPr>
              <w:ind w:left="20"/>
              <w:spacing w:after="0"/>
              <w:rPr>
                <w:sz w:val="20"/>
                <w:szCs w:val="20"/>
                <w:color w:val="auto"/>
              </w:rPr>
            </w:pPr>
            <w:r>
              <w:rPr>
                <w:rFonts w:ascii="Arial" w:cs="Arial" w:eastAsia="Arial" w:hAnsi="Arial"/>
                <w:sz w:val="18"/>
                <w:szCs w:val="18"/>
                <w:color w:val="auto"/>
              </w:rPr>
              <w:t>The Proxy Statement, Proxy Card, and Annual Report on Form 10-K for the fiscal year</w:t>
            </w:r>
          </w:p>
        </w:tc>
        <w:tc>
          <w:tcPr>
            <w:tcW w:w="3940" w:type="dxa"/>
            <w:vAlign w:val="bottom"/>
          </w:tcPr>
          <w:p>
            <w:pPr>
              <w:spacing w:after="0"/>
              <w:rPr>
                <w:sz w:val="18"/>
                <w:szCs w:val="18"/>
                <w:color w:val="auto"/>
              </w:rPr>
            </w:pPr>
          </w:p>
        </w:tc>
      </w:tr>
      <w:tr>
        <w:trPr>
          <w:trHeight w:val="203"/>
        </w:trPr>
        <w:tc>
          <w:tcPr>
            <w:tcW w:w="7300" w:type="dxa"/>
            <w:vAlign w:val="bottom"/>
          </w:tcPr>
          <w:p>
            <w:pPr>
              <w:ind w:left="20"/>
              <w:spacing w:after="0" w:line="202" w:lineRule="exact"/>
              <w:rPr>
                <w:sz w:val="20"/>
                <w:szCs w:val="20"/>
                <w:color w:val="auto"/>
              </w:rPr>
            </w:pPr>
            <w:r>
              <w:rPr>
                <w:rFonts w:ascii="Arial" w:cs="Arial" w:eastAsia="Arial" w:hAnsi="Arial"/>
                <w:sz w:val="18"/>
                <w:szCs w:val="18"/>
                <w:color w:val="auto"/>
              </w:rPr>
              <w:t>ended December 31, 2025, accompany this Notice and are available at www.lennox.com</w:t>
            </w:r>
          </w:p>
        </w:tc>
        <w:tc>
          <w:tcPr>
            <w:tcW w:w="3940" w:type="dxa"/>
            <w:vAlign w:val="bottom"/>
          </w:tcPr>
          <w:p>
            <w:pPr>
              <w:spacing w:after="0"/>
              <w:rPr>
                <w:sz w:val="17"/>
                <w:szCs w:val="17"/>
                <w:color w:val="auto"/>
              </w:rPr>
            </w:pPr>
          </w:p>
        </w:tc>
      </w:tr>
      <w:tr>
        <w:trPr>
          <w:trHeight w:val="239"/>
        </w:trPr>
        <w:tc>
          <w:tcPr>
            <w:tcW w:w="7300" w:type="dxa"/>
            <w:vAlign w:val="bottom"/>
          </w:tcPr>
          <w:p>
            <w:pPr>
              <w:ind w:left="20"/>
              <w:spacing w:after="0"/>
              <w:rPr>
                <w:sz w:val="20"/>
                <w:szCs w:val="20"/>
                <w:color w:val="auto"/>
              </w:rPr>
            </w:pPr>
            <w:r>
              <w:rPr>
                <w:rFonts w:ascii="Arial" w:cs="Arial" w:eastAsia="Arial" w:hAnsi="Arial"/>
                <w:sz w:val="18"/>
                <w:szCs w:val="18"/>
                <w:color w:val="auto"/>
              </w:rPr>
              <w:t>and www.proxydocs.com/LII.</w:t>
            </w:r>
          </w:p>
        </w:tc>
        <w:tc>
          <w:tcPr>
            <w:tcW w:w="3940" w:type="dxa"/>
            <w:vAlign w:val="bottom"/>
          </w:tcPr>
          <w:p>
            <w:pPr>
              <w:spacing w:after="0"/>
              <w:rPr>
                <w:sz w:val="20"/>
                <w:szCs w:val="20"/>
                <w:color w:val="auto"/>
              </w:rPr>
            </w:pPr>
          </w:p>
        </w:tc>
      </w:tr>
      <w:tr>
        <w:trPr>
          <w:trHeight w:val="274"/>
        </w:trPr>
        <w:tc>
          <w:tcPr>
            <w:tcW w:w="7300" w:type="dxa"/>
            <w:vAlign w:val="bottom"/>
          </w:tcPr>
          <w:p>
            <w:pPr>
              <w:spacing w:after="0"/>
              <w:rPr>
                <w:sz w:val="23"/>
                <w:szCs w:val="23"/>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Monica M. Brown</w:t>
            </w:r>
          </w:p>
        </w:tc>
      </w:tr>
      <w:tr>
        <w:trPr>
          <w:trHeight w:val="239"/>
        </w:trPr>
        <w:tc>
          <w:tcPr>
            <w:tcW w:w="7300" w:type="dxa"/>
            <w:vAlign w:val="bottom"/>
          </w:tcPr>
          <w:p>
            <w:pPr>
              <w:spacing w:after="0"/>
              <w:rPr>
                <w:sz w:val="20"/>
                <w:szCs w:val="20"/>
                <w:color w:val="auto"/>
              </w:rPr>
            </w:pPr>
          </w:p>
        </w:tc>
        <w:tc>
          <w:tcPr>
            <w:tcW w:w="3940" w:type="dxa"/>
            <w:vAlign w:val="bottom"/>
          </w:tcPr>
          <w:p>
            <w:pPr>
              <w:ind w:left="220"/>
              <w:spacing w:after="0"/>
              <w:rPr>
                <w:sz w:val="20"/>
                <w:szCs w:val="20"/>
                <w:color w:val="auto"/>
              </w:rPr>
            </w:pPr>
            <w:r>
              <w:rPr>
                <w:rFonts w:ascii="Arial" w:cs="Arial" w:eastAsia="Arial" w:hAnsi="Arial"/>
                <w:sz w:val="18"/>
                <w:szCs w:val="18"/>
                <w:color w:val="auto"/>
              </w:rPr>
              <w:t>Corporate Secretary</w:t>
            </w:r>
          </w:p>
        </w:tc>
      </w:tr>
      <w:tr>
        <w:trPr>
          <w:trHeight w:val="867"/>
        </w:trPr>
        <w:tc>
          <w:tcPr>
            <w:tcW w:w="730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-1388110</wp:posOffset>
            </wp:positionV>
            <wp:extent cx="123444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4440" cy="4972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C60C35"/>
        </w:rPr>
        <w:t>TABLE OF CONTENTS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C60C35"/>
              </w:rPr>
              <w:t>Page</w:t>
            </w:r>
          </w:p>
        </w:tc>
        <w:tc>
          <w:tcPr>
            <w:tcW w:w="0" w:type="dxa"/>
            <w:vAlign w:val="bottom"/>
          </w:tcPr>
          <w:p>
            <w:pPr>
              <w:spacing w:after="0"/>
              <w:rPr>
                <w:sz w:val="1"/>
                <w:szCs w:val="1"/>
                <w:color w:val="auto"/>
              </w:rPr>
            </w:pPr>
          </w:p>
        </w:tc>
      </w:tr>
      <w:tr>
        <w:trPr>
          <w:trHeight w:val="735"/>
        </w:trPr>
        <w:tc>
          <w:tcPr>
            <w:tcW w:w="8680" w:type="dxa"/>
            <w:vAlign w:val="bottom"/>
          </w:tcPr>
          <w:p>
            <w:pPr>
              <w:spacing w:after="0"/>
              <w:rPr>
                <w:sz w:val="20"/>
                <w:szCs w:val="20"/>
                <w:color w:val="auto"/>
              </w:rPr>
            </w:pPr>
            <w:r>
              <w:rPr>
                <w:rFonts w:ascii="Arial" w:cs="Arial" w:eastAsia="Arial" w:hAnsi="Arial"/>
                <w:sz w:val="18"/>
                <w:szCs w:val="18"/>
                <w:color w:val="auto"/>
              </w:rPr>
              <w:t>GENERAL INFORMATION REGARDING THE 2026 ANNUAL MEETING OF STOCKHOLDERS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color w:val="auto"/>
              </w:rPr>
              <w:t>EXECUTIVE SUMMARY</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PROPOSALS REQUIRING YOUR VOTE</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PROPOSAL 1 ELECTION OF DIRECTORS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96"/>
        </w:trPr>
        <w:tc>
          <w:tcPr>
            <w:tcW w:w="8680" w:type="dxa"/>
            <w:vAlign w:val="bottom"/>
          </w:tcPr>
          <w:p>
            <w:pPr>
              <w:ind w:left="660"/>
              <w:spacing w:after="0"/>
              <w:rPr>
                <w:sz w:val="20"/>
                <w:szCs w:val="20"/>
                <w:color w:val="auto"/>
              </w:rPr>
            </w:pPr>
            <w:r>
              <w:rPr>
                <w:rFonts w:ascii="Arial" w:cs="Arial" w:eastAsia="Arial" w:hAnsi="Arial"/>
                <w:sz w:val="18"/>
                <w:szCs w:val="18"/>
                <w:color w:val="auto"/>
              </w:rPr>
              <w:t>PROPOSAL 2 ADVISORY VOTE TO APPROVE THE COMPENSATION OF OUR NAMED</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31"/>
        </w:trPr>
        <w:tc>
          <w:tcPr>
            <w:tcW w:w="8680" w:type="dxa"/>
            <w:vAlign w:val="bottom"/>
            <w:vMerge w:val="restart"/>
          </w:tcPr>
          <w:p>
            <w:pPr>
              <w:ind w:left="980"/>
              <w:spacing w:after="0"/>
              <w:rPr>
                <w:sz w:val="20"/>
                <w:szCs w:val="20"/>
                <w:color w:val="auto"/>
              </w:rPr>
            </w:pPr>
            <w:r>
              <w:rPr>
                <w:rFonts w:ascii="Arial" w:cs="Arial" w:eastAsia="Arial" w:hAnsi="Arial"/>
                <w:sz w:val="18"/>
                <w:szCs w:val="18"/>
                <w:color w:val="auto"/>
              </w:rPr>
              <w:t>EXECUTIVE OFFICERS</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6"/>
        </w:trPr>
        <w:tc>
          <w:tcPr>
            <w:tcW w:w="8680" w:type="dxa"/>
            <w:vAlign w:val="bottom"/>
          </w:tcPr>
          <w:p>
            <w:pPr>
              <w:ind w:left="660"/>
              <w:spacing w:after="0"/>
              <w:rPr>
                <w:sz w:val="20"/>
                <w:szCs w:val="20"/>
                <w:color w:val="auto"/>
              </w:rPr>
            </w:pPr>
            <w:r>
              <w:rPr>
                <w:rFonts w:ascii="Arial" w:cs="Arial" w:eastAsia="Arial" w:hAnsi="Arial"/>
                <w:sz w:val="18"/>
                <w:szCs w:val="18"/>
                <w:color w:val="auto"/>
              </w:rPr>
              <w:t>PROPOSAL 3 RATIFICATION OF THE APPOINTMENT OF ERNST &amp; YOUNG LLP AS OUR</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1"/>
        </w:trPr>
        <w:tc>
          <w:tcPr>
            <w:tcW w:w="8680" w:type="dxa"/>
            <w:vAlign w:val="bottom"/>
            <w:vMerge w:val="restart"/>
          </w:tcPr>
          <w:p>
            <w:pPr>
              <w:ind w:left="980"/>
              <w:spacing w:after="0"/>
              <w:rPr>
                <w:sz w:val="20"/>
                <w:szCs w:val="20"/>
                <w:color w:val="auto"/>
              </w:rPr>
            </w:pPr>
            <w:r>
              <w:rPr>
                <w:rFonts w:ascii="Arial" w:cs="Arial" w:eastAsia="Arial" w:hAnsi="Arial"/>
                <w:sz w:val="18"/>
                <w:szCs w:val="18"/>
                <w:color w:val="auto"/>
              </w:rPr>
              <w:t>INDEPENDENT REGISTERED PUBLIC ACCOUNTING FIRM FOR THE 2026 FISCAL YEAR</w:t>
            </w: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AUDIT COMMITTEE REPORT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CORPORATE GOVERNANCE</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DIRECTOR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EXECUTIVE OFFICERS</w:t>
            </w: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EXECUTIVE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COMPENSATION DISCUSSION AND ANALYSIS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COMPENSATION COMMITTEE REPORT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9"/>
        </w:trPr>
        <w:tc>
          <w:tcPr>
            <w:tcW w:w="8680" w:type="dxa"/>
            <w:vAlign w:val="bottom"/>
          </w:tcPr>
          <w:p>
            <w:pPr>
              <w:ind w:left="660"/>
              <w:spacing w:after="0"/>
              <w:rPr>
                <w:sz w:val="20"/>
                <w:szCs w:val="20"/>
                <w:color w:val="auto"/>
              </w:rPr>
            </w:pPr>
            <w:r>
              <w:rPr>
                <w:rFonts w:ascii="Arial" w:cs="Arial" w:eastAsia="Arial" w:hAnsi="Arial"/>
                <w:sz w:val="18"/>
                <w:szCs w:val="18"/>
                <w:color w:val="auto"/>
              </w:rPr>
              <w:t>2025 SUMMARY COMPENSATION TABLE</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2025 GRANTS OF PLAN-BASED AWARDS</w:t>
            </w: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OUTSTANDING EQUITY AWARDS AT 2025 FISCAL YEAR-END</w:t>
            </w: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9"/>
        </w:trPr>
        <w:tc>
          <w:tcPr>
            <w:tcW w:w="8680" w:type="dxa"/>
            <w:vAlign w:val="bottom"/>
          </w:tcPr>
          <w:p>
            <w:pPr>
              <w:ind w:left="660"/>
              <w:spacing w:after="0"/>
              <w:rPr>
                <w:sz w:val="20"/>
                <w:szCs w:val="20"/>
                <w:color w:val="auto"/>
              </w:rPr>
            </w:pPr>
            <w:r>
              <w:rPr>
                <w:rFonts w:ascii="Arial" w:cs="Arial" w:eastAsia="Arial" w:hAnsi="Arial"/>
                <w:sz w:val="18"/>
                <w:szCs w:val="18"/>
                <w:color w:val="auto"/>
              </w:rPr>
              <w:t>2025 OPTION/SAR EXERCISES AND STOCK VESTED</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RETIREMENT PLANS</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2025 PENSION BENEFITS</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9"/>
        </w:trPr>
        <w:tc>
          <w:tcPr>
            <w:tcW w:w="8680" w:type="dxa"/>
            <w:vAlign w:val="bottom"/>
          </w:tcPr>
          <w:p>
            <w:pPr>
              <w:ind w:left="660"/>
              <w:spacing w:after="0"/>
              <w:rPr>
                <w:sz w:val="20"/>
                <w:szCs w:val="20"/>
                <w:color w:val="auto"/>
              </w:rPr>
            </w:pPr>
            <w:r>
              <w:rPr>
                <w:rFonts w:ascii="Arial" w:cs="Arial" w:eastAsia="Arial" w:hAnsi="Arial"/>
                <w:sz w:val="18"/>
                <w:szCs w:val="18"/>
                <w:color w:val="auto"/>
              </w:rPr>
              <w:t>2025 NONQUALIFIED DEFERRED COMPENSATION</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POTENTIAL PAYMENTS UPON TERMINATION OR CHANGE IN CONTROL</w:t>
            </w:r>
          </w:p>
        </w:tc>
        <w:tc>
          <w:tcPr>
            <w:tcW w:w="6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CEO PAY RATIO</w:t>
            </w: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color w:val="auto"/>
              </w:rPr>
              <w:t>PAY VERSUS PERFORMANCE DISCLOSURE</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EQUITY COMPENSATION PLAN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BENEFICIAL OWNERSHIP OF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9"/>
        </w:trPr>
        <w:tc>
          <w:tcPr>
            <w:tcW w:w="8680" w:type="dxa"/>
            <w:vAlign w:val="bottom"/>
          </w:tcPr>
          <w:p>
            <w:pPr>
              <w:spacing w:after="0"/>
              <w:rPr>
                <w:sz w:val="20"/>
                <w:szCs w:val="20"/>
                <w:color w:val="auto"/>
              </w:rPr>
            </w:pPr>
            <w:r>
              <w:rPr>
                <w:rFonts w:ascii="Arial" w:cs="Arial" w:eastAsia="Arial" w:hAnsi="Arial"/>
                <w:sz w:val="18"/>
                <w:szCs w:val="18"/>
                <w:color w:val="auto"/>
              </w:rPr>
              <w:t>OTHER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9"/>
        </w:trPr>
        <w:tc>
          <w:tcPr>
            <w:tcW w:w="8680" w:type="dxa"/>
            <w:vAlign w:val="bottom"/>
          </w:tcPr>
          <w:p>
            <w:pPr>
              <w:ind w:left="660"/>
              <w:spacing w:after="0"/>
              <w:rPr>
                <w:sz w:val="20"/>
                <w:szCs w:val="20"/>
                <w:color w:val="auto"/>
              </w:rPr>
            </w:pPr>
            <w:r>
              <w:rPr>
                <w:rFonts w:ascii="Arial" w:cs="Arial" w:eastAsia="Arial" w:hAnsi="Arial"/>
                <w:sz w:val="18"/>
                <w:szCs w:val="18"/>
                <w:color w:val="auto"/>
              </w:rPr>
              <w:t>ATTENDING AND VOTING AT THE ANNUAL MEETING OF STOCKHOLDERS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PROXY MATERIALS AND SOLICITATION</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9"/>
        </w:trPr>
        <w:tc>
          <w:tcPr>
            <w:tcW w:w="8680" w:type="dxa"/>
            <w:vAlign w:val="bottom"/>
          </w:tcPr>
          <w:p>
            <w:pPr>
              <w:ind w:left="660"/>
              <w:spacing w:after="0"/>
              <w:rPr>
                <w:sz w:val="20"/>
                <w:szCs w:val="20"/>
                <w:color w:val="auto"/>
              </w:rPr>
            </w:pPr>
            <w:r>
              <w:rPr>
                <w:rFonts w:ascii="Arial" w:cs="Arial" w:eastAsia="Arial" w:hAnsi="Arial"/>
                <w:sz w:val="18"/>
                <w:szCs w:val="18"/>
                <w:color w:val="auto"/>
              </w:rPr>
              <w:t>STOCKHOLDER PROPOSALS FOR THE 2027 ANNUAL MEETING OF STOCKHOLDERS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18"/>
        </w:trPr>
        <w:tc>
          <w:tcPr>
            <w:tcW w:w="8680" w:type="dxa"/>
            <w:vAlign w:val="bottom"/>
          </w:tcPr>
          <w:p>
            <w:pPr>
              <w:ind w:left="660"/>
              <w:spacing w:after="0"/>
              <w:rPr>
                <w:sz w:val="20"/>
                <w:szCs w:val="20"/>
                <w:color w:val="auto"/>
              </w:rPr>
            </w:pPr>
            <w:r>
              <w:rPr>
                <w:rFonts w:ascii="Arial" w:cs="Arial" w:eastAsia="Arial" w:hAnsi="Arial"/>
                <w:sz w:val="18"/>
                <w:szCs w:val="18"/>
                <w:color w:val="auto"/>
              </w:rPr>
              <w:t>CAUTIONARY STATEMENT REGARDING FORWARD-LOOKING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0"/>
                <w:szCs w:val="20"/>
                <w:color w:val="auto"/>
              </w:rPr>
            </w:pPr>
            <w:r>
              <w:rPr>
                <w:rFonts w:ascii="Arial" w:cs="Arial" w:eastAsia="Arial" w:hAnsi="Arial"/>
                <w:sz w:val="18"/>
                <w:szCs w:val="18"/>
                <w:color w:val="auto"/>
              </w:rPr>
              <w:t>APPENDIX A—GAAP RECONCILIATION</w:t>
            </w:r>
          </w:p>
        </w:tc>
        <w:tc>
          <w:tcPr>
            <w:tcW w:w="68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360"/>
          </w:cols>
          <w:pgMar w:left="1260" w:top="763" w:right="1279" w:bottom="41" w:gutter="0" w:footer="0" w:header="0"/>
        </w:sect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175260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60"/>
          </w:cols>
          <w:pgMar w:left="1260" w:top="763" w:right="1279" w:bottom="41" w:gutter="0" w:footer="0" w:header="0"/>
          <w:type w:val="continuous"/>
        </w:sectPr>
      </w:pPr>
    </w:p>
    <w:bookmarkStart w:id="4" w:name="page5"/>
    <w:bookmarkEnd w:id="4"/>
    <w:p>
      <w:pPr>
        <w:ind w:left="360"/>
        <w:spacing w:after="0"/>
        <w:rPr>
          <w:sz w:val="20"/>
          <w:szCs w:val="20"/>
          <w:color w:val="auto"/>
        </w:rPr>
      </w:pPr>
      <w:r>
        <w:rPr>
          <w:rFonts w:ascii="Arial" w:cs="Arial" w:eastAsia="Arial" w:hAnsi="Arial"/>
          <w:sz w:val="29"/>
          <w:szCs w:val="29"/>
          <w:color w:val="FFFFFF"/>
        </w:rPr>
        <w:t>General Information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6940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FFFFFF"/>
        </w:rPr>
        <w:t>The 2026 Annual Meeting</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29"/>
          <w:szCs w:val="29"/>
          <w:b w:val="1"/>
          <w:bCs w:val="1"/>
          <w:color w:val="FFFFFF"/>
        </w:rPr>
        <w:t>Of Stockholders</w:t>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Virtual Annual Meeting 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38735</wp:posOffset>
            </wp:positionV>
            <wp:extent cx="34461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283" w:lineRule="exact"/>
        <w:rPr>
          <w:sz w:val="20"/>
          <w:szCs w:val="20"/>
          <w:color w:val="auto"/>
        </w:rPr>
      </w:pPr>
    </w:p>
    <w:p>
      <w:pPr>
        <w:ind w:left="1540" w:right="40"/>
        <w:spacing w:after="0" w:line="257" w:lineRule="auto"/>
        <w:rPr>
          <w:sz w:val="20"/>
          <w:szCs w:val="20"/>
          <w:color w:val="auto"/>
        </w:rPr>
      </w:pPr>
      <w:r>
        <w:rPr>
          <w:rFonts w:ascii="Arial" w:cs="Arial" w:eastAsia="Arial" w:hAnsi="Arial"/>
          <w:sz w:val="16"/>
          <w:szCs w:val="16"/>
          <w:color w:val="auto"/>
        </w:rPr>
        <w:t xml:space="preserve">The 2026 Annual Meeting of Stockholders (the “Annual Meeting”) of Lennox International Inc. (NYSE: LII) (the “Company,” “Lennox,” “LII,” “us,” “we,” or “our”) will be held on Thursday, May 21, 2026, at 10:30 a.m., Central Daylight Time (“CDT”), in a virtual-only meeting format, using live webcast, which provides stockholders the ability to participate in the Annual Meeting, vote their shares, and ask questions via the voting site. </w:t>
      </w:r>
      <w:r>
        <w:rPr>
          <w:rFonts w:ascii="Arial" w:cs="Arial" w:eastAsia="Arial" w:hAnsi="Arial"/>
          <w:sz w:val="16"/>
          <w:szCs w:val="16"/>
          <w:b w:val="1"/>
          <w:bCs w:val="1"/>
          <w:color w:val="auto"/>
        </w:rPr>
        <w:t>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-499110</wp:posOffset>
            </wp:positionV>
            <wp:extent cx="574040" cy="1139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 cy="1139825"/>
                    </a:xfrm>
                    <a:prstGeom prst="rect">
                      <a:avLst/>
                    </a:prstGeom>
                    <a:noFill/>
                  </pic:spPr>
                </pic:pic>
              </a:graphicData>
            </a:graphic>
          </wp:anchor>
        </w:drawing>
      </w:r>
    </w:p>
    <w:p>
      <w:pPr>
        <w:spacing w:after="0" w:line="231" w:lineRule="exact"/>
        <w:rPr>
          <w:sz w:val="20"/>
          <w:szCs w:val="20"/>
          <w:color w:val="auto"/>
        </w:rPr>
      </w:pPr>
    </w:p>
    <w:p>
      <w:pPr>
        <w:jc w:val="both"/>
        <w:ind w:left="1540" w:right="280"/>
        <w:spacing w:after="0" w:line="257" w:lineRule="auto"/>
        <w:rPr>
          <w:sz w:val="20"/>
          <w:szCs w:val="20"/>
          <w:color w:val="auto"/>
        </w:rPr>
      </w:pPr>
      <w:r>
        <w:rPr>
          <w:rFonts w:ascii="Arial" w:cs="Arial" w:eastAsia="Arial" w:hAnsi="Arial"/>
          <w:sz w:val="16"/>
          <w:szCs w:val="16"/>
          <w:color w:val="auto"/>
        </w:rPr>
        <w:t>We began mailing or making available this Proxy Statement and the accompanying Notice of 2026 Annual Meeting of Stockholders, Proxy Card, and Annual Report on Form 10-K to our stockholders on or about April 8, 2026, for the purpose of soliciting proxies on behalf of our Board of Directors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302260</wp:posOffset>
            </wp:positionV>
            <wp:extent cx="495490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4905" cy="3257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FFFFFF"/>
        </w:rPr>
        <w:t>How To Register For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-71755</wp:posOffset>
            </wp:positionV>
            <wp:extent cx="11055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10712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386" w:lineRule="exact"/>
        <w:rPr>
          <w:sz w:val="20"/>
          <w:szCs w:val="20"/>
          <w:color w:val="auto"/>
        </w:rPr>
      </w:pPr>
    </w:p>
    <w:tbl>
      <w:tblPr>
        <w:tblLayout w:type="fixed"/>
        <w:tblInd w:w="30" w:type="dxa"/>
        <w:tblCellMar>
          <w:top w:w="0" w:type="dxa"/>
          <w:left w:w="0" w:type="dxa"/>
          <w:bottom w:w="0" w:type="dxa"/>
          <w:right w:w="0" w:type="dxa"/>
        </w:tblCellMar>
      </w:tblPr>
      <w:tr>
        <w:trPr>
          <w:trHeight w:val="486"/>
        </w:trPr>
        <w:tc>
          <w:tcPr>
            <w:tcW w:w="332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A link will be</w:t>
            </w:r>
          </w:p>
        </w:tc>
        <w:tc>
          <w:tcPr>
            <w:tcW w:w="460" w:type="dxa"/>
            <w:vAlign w:val="bottom"/>
            <w:tcBorders>
              <w:top w:val="single" w:sz="8" w:color="auto"/>
              <w:right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120" w:type="dxa"/>
            <w:vAlign w:val="bottom"/>
            <w:tcBorders>
              <w:top w:val="single" w:sz="8" w:color="auto"/>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9"/>
              </w:rPr>
              <w:t>Enter the control number</w:t>
            </w:r>
          </w:p>
        </w:tc>
        <w:tc>
          <w:tcPr>
            <w:tcW w:w="0" w:type="dxa"/>
            <w:vAlign w:val="bottom"/>
          </w:tcPr>
          <w:p>
            <w:pPr>
              <w:spacing w:after="0"/>
              <w:rPr>
                <w:sz w:val="1"/>
                <w:szCs w:val="1"/>
                <w:color w:val="auto"/>
              </w:rPr>
            </w:pPr>
          </w:p>
        </w:tc>
      </w:tr>
      <w:tr>
        <w:trPr>
          <w:trHeight w:val="89"/>
        </w:trPr>
        <w:tc>
          <w:tcPr>
            <w:tcW w:w="3320" w:type="dxa"/>
            <w:vAlign w:val="bottom"/>
            <w:tcBorders>
              <w:left w:val="single" w:sz="8" w:color="auto"/>
            </w:tcBorders>
          </w:tcPr>
          <w:p>
            <w:pPr>
              <w:spacing w:after="0"/>
              <w:rPr>
                <w:sz w:val="7"/>
                <w:szCs w:val="7"/>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43"/>
                <w:szCs w:val="43"/>
                <w:b w:val="1"/>
                <w:bCs w:val="1"/>
                <w:color w:val="C60C35"/>
              </w:rPr>
              <w:t>Ü</w:t>
            </w:r>
          </w:p>
        </w:tc>
        <w:tc>
          <w:tcPr>
            <w:tcW w:w="3060" w:type="dxa"/>
            <w:vAlign w:val="bottom"/>
            <w:vMerge w:val="continue"/>
          </w:tcPr>
          <w:p>
            <w:pPr>
              <w:spacing w:after="0"/>
              <w:rPr>
                <w:sz w:val="7"/>
                <w:szCs w:val="7"/>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43"/>
                <w:szCs w:val="43"/>
                <w:b w:val="1"/>
                <w:bCs w:val="1"/>
                <w:color w:val="C60C35"/>
              </w:rPr>
              <w:t>Ü</w:t>
            </w:r>
          </w:p>
        </w:tc>
        <w:tc>
          <w:tcPr>
            <w:tcW w:w="3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20" w:type="dxa"/>
            <w:vAlign w:val="bottom"/>
            <w:tcBorders>
              <w:left w:val="single" w:sz="8" w:color="auto"/>
            </w:tcBorders>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12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b w:val="1"/>
                <w:bCs w:val="1"/>
                <w:color w:val="auto"/>
              </w:rPr>
              <w:t>on your Proxy Card, voting</w:t>
            </w:r>
          </w:p>
        </w:tc>
        <w:tc>
          <w:tcPr>
            <w:tcW w:w="0" w:type="dxa"/>
            <w:vAlign w:val="bottom"/>
          </w:tcPr>
          <w:p>
            <w:pPr>
              <w:spacing w:after="0"/>
              <w:rPr>
                <w:sz w:val="1"/>
                <w:szCs w:val="1"/>
                <w:color w:val="auto"/>
              </w:rPr>
            </w:pPr>
          </w:p>
        </w:tc>
      </w:tr>
      <w:tr>
        <w:trPr>
          <w:trHeight w:val="108"/>
        </w:trPr>
        <w:tc>
          <w:tcPr>
            <w:tcW w:w="332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Register at www.proxydocs.com/LII</w:t>
            </w:r>
          </w:p>
        </w:tc>
        <w:tc>
          <w:tcPr>
            <w:tcW w:w="760" w:type="dxa"/>
            <w:vAlign w:val="bottom"/>
            <w:gridSpan w:val="2"/>
            <w:vMerge w:val="continue"/>
          </w:tcPr>
          <w:p>
            <w:pPr>
              <w:spacing w:after="0"/>
              <w:rPr>
                <w:sz w:val="9"/>
                <w:szCs w:val="9"/>
                <w:color w:val="auto"/>
              </w:rPr>
            </w:pPr>
          </w:p>
        </w:tc>
        <w:tc>
          <w:tcPr>
            <w:tcW w:w="3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emailed to you to access the</w:t>
            </w:r>
          </w:p>
        </w:tc>
        <w:tc>
          <w:tcPr>
            <w:tcW w:w="960" w:type="dxa"/>
            <w:vAlign w:val="bottom"/>
            <w:gridSpan w:val="2"/>
            <w:vMerge w:val="continue"/>
          </w:tcPr>
          <w:p>
            <w:pPr>
              <w:spacing w:after="0"/>
              <w:rPr>
                <w:sz w:val="9"/>
                <w:szCs w:val="9"/>
                <w:color w:val="auto"/>
              </w:rPr>
            </w:pPr>
          </w:p>
        </w:tc>
        <w:tc>
          <w:tcPr>
            <w:tcW w:w="3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20" w:type="dxa"/>
            <w:vAlign w:val="bottom"/>
            <w:tcBorders>
              <w:left w:val="single" w:sz="8" w:color="auto"/>
            </w:tcBorders>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306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1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rPr>
              <w:t>instruction form or Notice</w:t>
            </w:r>
          </w:p>
        </w:tc>
        <w:tc>
          <w:tcPr>
            <w:tcW w:w="0" w:type="dxa"/>
            <w:vAlign w:val="bottom"/>
          </w:tcPr>
          <w:p>
            <w:pPr>
              <w:spacing w:after="0"/>
              <w:rPr>
                <w:sz w:val="1"/>
                <w:szCs w:val="1"/>
                <w:color w:val="auto"/>
              </w:rPr>
            </w:pPr>
          </w:p>
        </w:tc>
      </w:tr>
      <w:tr>
        <w:trPr>
          <w:trHeight w:val="181"/>
        </w:trPr>
        <w:tc>
          <w:tcPr>
            <w:tcW w:w="3320" w:type="dxa"/>
            <w:vAlign w:val="bottom"/>
            <w:tcBorders>
              <w:left w:val="single" w:sz="8" w:color="auto"/>
            </w:tcBorders>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30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Annual Meeting</w:t>
            </w:r>
          </w:p>
        </w:tc>
        <w:tc>
          <w:tcPr>
            <w:tcW w:w="960" w:type="dxa"/>
            <w:vAlign w:val="bottom"/>
            <w:gridSpan w:val="2"/>
            <w:vMerge w:val="continue"/>
          </w:tcPr>
          <w:p>
            <w:pPr>
              <w:spacing w:after="0"/>
              <w:rPr>
                <w:sz w:val="15"/>
                <w:szCs w:val="15"/>
                <w:color w:val="auto"/>
              </w:rPr>
            </w:pPr>
          </w:p>
        </w:tc>
        <w:tc>
          <w:tcPr>
            <w:tcW w:w="31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320" w:type="dxa"/>
            <w:vAlign w:val="bottom"/>
            <w:tcBorders>
              <w:lef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120" w:type="dxa"/>
            <w:vAlign w:val="bottom"/>
            <w:tcBorders>
              <w:right w:val="single" w:sz="8" w:color="auto"/>
            </w:tcBorders>
            <w:vMerge w:val="restart"/>
          </w:tcPr>
          <w:p>
            <w:pPr>
              <w:jc w:val="center"/>
              <w:ind w:right="90"/>
              <w:spacing w:after="0"/>
              <w:rPr>
                <w:sz w:val="20"/>
                <w:szCs w:val="20"/>
                <w:color w:val="auto"/>
              </w:rPr>
            </w:pPr>
            <w:r>
              <w:rPr>
                <w:rFonts w:ascii="Arial" w:cs="Arial" w:eastAsia="Arial" w:hAnsi="Arial"/>
                <w:sz w:val="18"/>
                <w:szCs w:val="18"/>
                <w:b w:val="1"/>
                <w:bCs w:val="1"/>
                <w:color w:val="auto"/>
                <w:w w:val="98"/>
              </w:rPr>
              <w:t>of Internet Availability</w:t>
            </w:r>
          </w:p>
        </w:tc>
        <w:tc>
          <w:tcPr>
            <w:tcW w:w="0" w:type="dxa"/>
            <w:vAlign w:val="bottom"/>
          </w:tcPr>
          <w:p>
            <w:pPr>
              <w:spacing w:after="0"/>
              <w:rPr>
                <w:sz w:val="1"/>
                <w:szCs w:val="1"/>
                <w:color w:val="auto"/>
              </w:rPr>
            </w:pPr>
          </w:p>
        </w:tc>
      </w:tr>
      <w:tr>
        <w:trPr>
          <w:trHeight w:val="193"/>
        </w:trPr>
        <w:tc>
          <w:tcPr>
            <w:tcW w:w="3320" w:type="dxa"/>
            <w:vAlign w:val="bottom"/>
            <w:tcBorders>
              <w:lef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31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3320" w:type="dxa"/>
            <w:vAlign w:val="bottom"/>
            <w:tcBorders>
              <w:left w:val="single" w:sz="8" w:color="auto"/>
              <w:bottom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38735</wp:posOffset>
            </wp:positionV>
            <wp:extent cx="4894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94580" cy="8890"/>
                    </a:xfrm>
                    <a:prstGeom prst="rect">
                      <a:avLst/>
                    </a:prstGeom>
                    <a:noFill/>
                  </pic:spPr>
                </pic:pic>
              </a:graphicData>
            </a:graphic>
          </wp:anchor>
        </w:drawing>
      </w:r>
    </w:p>
    <w:p>
      <w:pPr>
        <w:spacing w:after="0" w:line="283"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At the Annual Meeting, you will be asked to vote on three proposals. Our Board recommends you vote “for” each of the director nominees in Proposal 1 and “for” Proposals 2 and 3. The proposals to be voted on at the Annual Meeting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210820</wp:posOffset>
            </wp:positionV>
            <wp:extent cx="7115175" cy="1139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13982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980" w:right="500"/>
        <w:spacing w:after="0" w:line="262" w:lineRule="auto"/>
        <w:rPr>
          <w:sz w:val="20"/>
          <w:szCs w:val="20"/>
          <w:color w:val="auto"/>
        </w:rPr>
      </w:pPr>
      <w:r>
        <w:rPr>
          <w:rFonts w:ascii="Arial" w:cs="Arial" w:eastAsia="Arial" w:hAnsi="Arial"/>
          <w:sz w:val="18"/>
          <w:szCs w:val="18"/>
          <w:color w:val="auto"/>
        </w:rPr>
        <w:t>To elect three Class I directors for a three-year term expiring at the 2029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To conduct an advisory vote to approve the compensation of our named executive officers (“NEOs”) as disclosed in this Proxy Statement;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 ratify the appointment of Ernst &amp; Young LLP as our independent registered public accounting firm for the 2026 fiscal year.</w:t>
      </w:r>
    </w:p>
    <w:p>
      <w:pPr>
        <w:spacing w:after="0" w:line="200" w:lineRule="exact"/>
        <w:rPr>
          <w:sz w:val="20"/>
          <w:szCs w:val="20"/>
          <w:color w:val="auto"/>
        </w:rPr>
      </w:pPr>
    </w:p>
    <w:p>
      <w:pPr>
        <w:sectPr>
          <w:pgSz w:w="11900" w:h="16838" w:orient="portrait"/>
          <w:cols w:equalWidth="0" w:num="3">
            <w:col w:w="4000" w:space="720"/>
            <w:col w:w="3200" w:space="720"/>
            <w:col w:w="2600"/>
          </w:cols>
          <w:pgMar w:left="320" w:top="809"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type w:val="continuous"/>
        </w:sectPr>
      </w:pPr>
    </w:p>
    <w:bookmarkStart w:id="5" w:name="page6"/>
    <w:bookmarkEnd w:id="5"/>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About Lennox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38735</wp:posOffset>
            </wp:positionV>
            <wp:extent cx="5692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2140" cy="8890"/>
                    </a:xfrm>
                    <a:prstGeom prst="rect">
                      <a:avLst/>
                    </a:prstGeom>
                    <a:noFill/>
                  </pic:spPr>
                </pic:pic>
              </a:graphicData>
            </a:graphic>
          </wp:anchor>
        </w:drawing>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Lennox (NYSE: LII) is a leader in energy-efficient climate-control solutions. We are committed to sustainability and creating comfortable, healthier environments for residential and commercial customers. Our innovative portfolio includes cooling, heating, indoor air quality, and refrigeration systems, along with a comprehensive range of HVAC parts, supplies, and services that support the full lifecycle of customer needs.</w:t>
      </w:r>
    </w:p>
    <w:p>
      <w:pPr>
        <w:spacing w:after="0" w:line="398" w:lineRule="exact"/>
        <w:rPr>
          <w:sz w:val="20"/>
          <w:szCs w:val="20"/>
          <w:color w:val="auto"/>
        </w:rPr>
      </w:pPr>
    </w:p>
    <w:p>
      <w:pPr>
        <w:ind w:left="940"/>
        <w:spacing w:after="0"/>
        <w:rPr>
          <w:sz w:val="20"/>
          <w:szCs w:val="20"/>
          <w:color w:val="auto"/>
        </w:rPr>
      </w:pPr>
      <w:r>
        <w:rPr>
          <w:rFonts w:ascii="Arial" w:cs="Arial" w:eastAsia="Arial" w:hAnsi="Arial"/>
          <w:sz w:val="25"/>
          <w:szCs w:val="25"/>
          <w:b w:val="1"/>
          <w:bCs w:val="1"/>
          <w:color w:val="auto"/>
        </w:rPr>
        <w:t>Our Core Values and Guiding Behaviors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-123190</wp:posOffset>
            </wp:positionV>
            <wp:extent cx="5863590" cy="2152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359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38735</wp:posOffset>
            </wp:positionV>
            <wp:extent cx="6549390" cy="24599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*See appendix for reconciliation to GAAP performance.</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sectPr>
      </w:pPr>
    </w:p>
    <w:bookmarkStart w:id="6" w:name="page7"/>
    <w:bookmarkEnd w:id="6"/>
    <w:p>
      <w:pPr>
        <w:ind w:left="34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3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Key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38735</wp:posOffset>
            </wp:positionV>
            <wp:extent cx="5854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54700" cy="825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227330</wp:posOffset>
            </wp:positionV>
            <wp:extent cx="2057400" cy="130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0" cy="130302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Home Comfort Solutions</w:t>
      </w:r>
    </w:p>
    <w:p>
      <w:pPr>
        <w:spacing w:after="0" w:line="45" w:lineRule="exact"/>
        <w:rPr>
          <w:sz w:val="20"/>
          <w:szCs w:val="20"/>
          <w:color w:val="auto"/>
        </w:rPr>
      </w:pPr>
    </w:p>
    <w:p>
      <w:pPr>
        <w:ind w:left="940" w:right="6160"/>
        <w:spacing w:after="0" w:line="252" w:lineRule="auto"/>
        <w:rPr>
          <w:sz w:val="20"/>
          <w:szCs w:val="20"/>
          <w:color w:val="auto"/>
        </w:rPr>
      </w:pPr>
      <w:r>
        <w:rPr>
          <w:rFonts w:ascii="Arial" w:cs="Arial" w:eastAsia="Arial" w:hAnsi="Arial"/>
          <w:sz w:val="16"/>
          <w:szCs w:val="16"/>
          <w:color w:val="auto"/>
        </w:rPr>
        <w:t>Heating and cooling systems provide top-tier comfort and efficiency for homeowners in the U.S. and Canada. Products include air conditioners, furnaces, heat pumps, thermostats, and air quality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1247140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655955</wp:posOffset>
            </wp:positionV>
            <wp:extent cx="672909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29095" cy="325755"/>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1504315</wp:posOffset>
            </wp:positionV>
            <wp:extent cx="1808480" cy="1148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848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Building Climate Solutions</w:t>
      </w:r>
    </w:p>
    <w:p>
      <w:pPr>
        <w:spacing w:after="0" w:line="45" w:lineRule="exact"/>
        <w:rPr>
          <w:sz w:val="20"/>
          <w:szCs w:val="20"/>
          <w:color w:val="auto"/>
        </w:rPr>
      </w:pPr>
    </w:p>
    <w:p>
      <w:pPr>
        <w:ind w:left="920" w:right="6140"/>
        <w:spacing w:after="0" w:line="251" w:lineRule="auto"/>
        <w:rPr>
          <w:sz w:val="20"/>
          <w:szCs w:val="20"/>
          <w:color w:val="auto"/>
        </w:rPr>
      </w:pPr>
      <w:r>
        <w:rPr>
          <w:rFonts w:ascii="Arial" w:cs="Arial" w:eastAsia="Arial" w:hAnsi="Arial"/>
          <w:sz w:val="16"/>
          <w:szCs w:val="16"/>
          <w:color w:val="auto"/>
        </w:rPr>
        <w:t>HVAC and refrigeration solutions create comfortable environments in offices, schools, restaurants, and retail spaces. With rooftop units, chillers, commercial controls, and refrigeration systems, we help businesses maintain optimal climate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390525</wp:posOffset>
            </wp:positionV>
            <wp:extent cx="672909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290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Differentiations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38735</wp:posOffset>
            </wp:positionV>
            <wp:extent cx="55206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069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wp:posOffset>
            </wp:positionH>
            <wp:positionV relativeFrom="paragraph">
              <wp:posOffset>261620</wp:posOffset>
            </wp:positionV>
            <wp:extent cx="1397000" cy="1131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7000" cy="1131570"/>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261620</wp:posOffset>
            </wp:positionV>
            <wp:extent cx="1397000" cy="1131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000" cy="1131570"/>
                    </a:xfrm>
                    <a:prstGeom prst="rect">
                      <a:avLst/>
                    </a:prstGeom>
                    <a:noFill/>
                  </pic:spPr>
                </pic:pic>
              </a:graphicData>
            </a:graphic>
          </wp:anchor>
        </w:drawing>
      </w:r>
    </w:p>
    <w:p>
      <w:pPr>
        <w:spacing w:after="0" w:line="392" w:lineRule="exact"/>
        <w:rPr>
          <w:sz w:val="20"/>
          <w:szCs w:val="20"/>
          <w:color w:val="auto"/>
        </w:rPr>
      </w:pPr>
    </w:p>
    <w:tbl>
      <w:tblPr>
        <w:tblLayout w:type="fixed"/>
        <w:tblInd w:w="3220" w:type="dxa"/>
        <w:tblCellMar>
          <w:top w:w="0" w:type="dxa"/>
          <w:left w:w="0" w:type="dxa"/>
          <w:bottom w:w="0" w:type="dxa"/>
          <w:right w:w="0" w:type="dxa"/>
        </w:tblCellMar>
      </w:tblPr>
      <w:tr>
        <w:trPr>
          <w:trHeight w:val="800"/>
        </w:trPr>
        <w:tc>
          <w:tcPr>
            <w:tcW w:w="2260" w:type="dxa"/>
            <w:vAlign w:val="bottom"/>
            <w:shd w:val="clear" w:color="auto" w:fill="1B98BA"/>
          </w:tcPr>
          <w:p>
            <w:pPr>
              <w:jc w:val="center"/>
              <w:spacing w:after="0"/>
              <w:rPr>
                <w:sz w:val="20"/>
                <w:szCs w:val="20"/>
                <w:color w:val="auto"/>
              </w:rPr>
            </w:pPr>
            <w:r>
              <w:rPr>
                <w:rFonts w:ascii="Arial" w:cs="Arial" w:eastAsia="Arial" w:hAnsi="Arial"/>
                <w:sz w:val="20"/>
                <w:szCs w:val="20"/>
                <w:b w:val="1"/>
                <w:bCs w:val="1"/>
                <w:color w:val="FFFFFF"/>
                <w:w w:val="98"/>
              </w:rPr>
              <w:t>Full lifecycle</w:t>
            </w:r>
          </w:p>
        </w:tc>
        <w:tc>
          <w:tcPr>
            <w:tcW w:w="2560" w:type="dxa"/>
            <w:vAlign w:val="bottom"/>
          </w:tcPr>
          <w:p>
            <w:pPr>
              <w:spacing w:after="0"/>
              <w:rPr>
                <w:sz w:val="24"/>
                <w:szCs w:val="24"/>
                <w:color w:val="auto"/>
              </w:rPr>
            </w:pPr>
          </w:p>
        </w:tc>
        <w:tc>
          <w:tcPr>
            <w:tcW w:w="2260" w:type="dxa"/>
            <w:vAlign w:val="bottom"/>
            <w:vMerge w:val="restart"/>
            <w:shd w:val="clear" w:color="auto" w:fill="1B98BA"/>
          </w:tcPr>
          <w:p>
            <w:pPr>
              <w:jc w:val="center"/>
              <w:spacing w:after="0"/>
              <w:rPr>
                <w:sz w:val="20"/>
                <w:szCs w:val="20"/>
                <w:color w:val="auto"/>
              </w:rPr>
            </w:pPr>
            <w:r>
              <w:rPr>
                <w:rFonts w:ascii="Arial" w:cs="Arial" w:eastAsia="Arial" w:hAnsi="Arial"/>
                <w:sz w:val="20"/>
                <w:szCs w:val="20"/>
                <w:b w:val="1"/>
                <w:bCs w:val="1"/>
                <w:color w:val="FFFFFF"/>
                <w:w w:val="99"/>
              </w:rPr>
              <w:t>Scaled digital data</w:t>
            </w:r>
          </w:p>
        </w:tc>
        <w:tc>
          <w:tcPr>
            <w:tcW w:w="0" w:type="dxa"/>
            <w:vAlign w:val="bottom"/>
          </w:tcPr>
          <w:p>
            <w:pPr>
              <w:spacing w:after="0"/>
              <w:rPr>
                <w:sz w:val="1"/>
                <w:szCs w:val="1"/>
                <w:color w:val="auto"/>
              </w:rPr>
            </w:pPr>
          </w:p>
        </w:tc>
      </w:tr>
      <w:tr>
        <w:trPr>
          <w:trHeight w:val="122"/>
        </w:trPr>
        <w:tc>
          <w:tcPr>
            <w:tcW w:w="2260" w:type="dxa"/>
            <w:vAlign w:val="bottom"/>
            <w:vMerge w:val="restart"/>
            <w:shd w:val="clear" w:color="auto" w:fill="1B98BA"/>
          </w:tcPr>
          <w:p>
            <w:pPr>
              <w:jc w:val="center"/>
              <w:spacing w:after="0"/>
              <w:rPr>
                <w:sz w:val="20"/>
                <w:szCs w:val="20"/>
                <w:color w:val="auto"/>
              </w:rPr>
            </w:pPr>
            <w:r>
              <w:rPr>
                <w:rFonts w:ascii="Arial" w:cs="Arial" w:eastAsia="Arial" w:hAnsi="Arial"/>
                <w:sz w:val="20"/>
                <w:szCs w:val="20"/>
                <w:b w:val="1"/>
                <w:bCs w:val="1"/>
                <w:color w:val="FFFFFF"/>
                <w:w w:val="98"/>
              </w:rPr>
              <w:t>commercial HVAC</w:t>
            </w:r>
          </w:p>
        </w:tc>
        <w:tc>
          <w:tcPr>
            <w:tcW w:w="2560" w:type="dxa"/>
            <w:vAlign w:val="bottom"/>
          </w:tcPr>
          <w:p>
            <w:pPr>
              <w:spacing w:after="0"/>
              <w:rPr>
                <w:sz w:val="10"/>
                <w:szCs w:val="10"/>
                <w:color w:val="auto"/>
              </w:rPr>
            </w:pPr>
          </w:p>
        </w:tc>
        <w:tc>
          <w:tcPr>
            <w:tcW w:w="2260" w:type="dxa"/>
            <w:vAlign w:val="bottom"/>
            <w:vMerge w:val="continue"/>
            <w:shd w:val="clear" w:color="auto" w:fill="1B98BA"/>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1B98BA"/>
          </w:tcPr>
          <w:p>
            <w:pPr>
              <w:spacing w:after="0"/>
              <w:rPr>
                <w:sz w:val="9"/>
                <w:szCs w:val="9"/>
                <w:color w:val="auto"/>
              </w:rPr>
            </w:pPr>
          </w:p>
        </w:tc>
        <w:tc>
          <w:tcPr>
            <w:tcW w:w="2560" w:type="dxa"/>
            <w:vAlign w:val="bottom"/>
          </w:tcPr>
          <w:p>
            <w:pPr>
              <w:spacing w:after="0"/>
              <w:rPr>
                <w:sz w:val="9"/>
                <w:szCs w:val="9"/>
                <w:color w:val="auto"/>
              </w:rPr>
            </w:pPr>
          </w:p>
        </w:tc>
        <w:tc>
          <w:tcPr>
            <w:tcW w:w="2260" w:type="dxa"/>
            <w:vAlign w:val="bottom"/>
            <w:vMerge w:val="restart"/>
            <w:shd w:val="clear" w:color="auto" w:fill="1B98BA"/>
          </w:tcPr>
          <w:p>
            <w:pPr>
              <w:jc w:val="center"/>
              <w:spacing w:after="0"/>
              <w:rPr>
                <w:sz w:val="20"/>
                <w:szCs w:val="20"/>
                <w:color w:val="auto"/>
              </w:rPr>
            </w:pPr>
            <w:r>
              <w:rPr>
                <w:rFonts w:ascii="Arial" w:cs="Arial" w:eastAsia="Arial" w:hAnsi="Arial"/>
                <w:sz w:val="20"/>
                <w:szCs w:val="20"/>
                <w:b w:val="1"/>
                <w:bCs w:val="1"/>
                <w:color w:val="FFFFFF"/>
                <w:w w:val="98"/>
              </w:rPr>
              <w:t>platforms</w:t>
            </w:r>
          </w:p>
        </w:tc>
        <w:tc>
          <w:tcPr>
            <w:tcW w:w="0" w:type="dxa"/>
            <w:vAlign w:val="bottom"/>
          </w:tcPr>
          <w:p>
            <w:pPr>
              <w:spacing w:after="0"/>
              <w:rPr>
                <w:sz w:val="1"/>
                <w:szCs w:val="1"/>
                <w:color w:val="auto"/>
              </w:rPr>
            </w:pPr>
          </w:p>
        </w:tc>
      </w:tr>
      <w:tr>
        <w:trPr>
          <w:trHeight w:val="165"/>
        </w:trPr>
        <w:tc>
          <w:tcPr>
            <w:tcW w:w="2260" w:type="dxa"/>
            <w:vAlign w:val="bottom"/>
            <w:vMerge w:val="restart"/>
            <w:shd w:val="clear" w:color="auto" w:fill="1B98BA"/>
          </w:tcPr>
          <w:p>
            <w:pPr>
              <w:jc w:val="center"/>
              <w:spacing w:after="0"/>
              <w:rPr>
                <w:sz w:val="20"/>
                <w:szCs w:val="20"/>
                <w:color w:val="auto"/>
              </w:rPr>
            </w:pPr>
            <w:r>
              <w:rPr>
                <w:rFonts w:ascii="Arial" w:cs="Arial" w:eastAsia="Arial" w:hAnsi="Arial"/>
                <w:sz w:val="20"/>
                <w:szCs w:val="20"/>
                <w:b w:val="1"/>
                <w:bCs w:val="1"/>
                <w:color w:val="FFFFFF"/>
                <w:w w:val="98"/>
              </w:rPr>
              <w:t>solutions</w:t>
            </w:r>
          </w:p>
        </w:tc>
        <w:tc>
          <w:tcPr>
            <w:tcW w:w="2560" w:type="dxa"/>
            <w:vAlign w:val="bottom"/>
          </w:tcPr>
          <w:p>
            <w:pPr>
              <w:spacing w:after="0"/>
              <w:rPr>
                <w:sz w:val="14"/>
                <w:szCs w:val="14"/>
                <w:color w:val="auto"/>
              </w:rPr>
            </w:pPr>
          </w:p>
        </w:tc>
        <w:tc>
          <w:tcPr>
            <w:tcW w:w="2260" w:type="dxa"/>
            <w:vAlign w:val="bottom"/>
            <w:vMerge w:val="continue"/>
            <w:shd w:val="clear" w:color="auto" w:fill="1B98BA"/>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vMerge w:val="continue"/>
            <w:shd w:val="clear" w:color="auto" w:fill="1B98BA"/>
          </w:tcPr>
          <w:p>
            <w:pPr>
              <w:spacing w:after="0"/>
              <w:rPr>
                <w:sz w:val="9"/>
                <w:szCs w:val="9"/>
                <w:color w:val="auto"/>
              </w:rPr>
            </w:pPr>
          </w:p>
        </w:tc>
        <w:tc>
          <w:tcPr>
            <w:tcW w:w="2560" w:type="dxa"/>
            <w:vAlign w:val="bottom"/>
          </w:tcPr>
          <w:p>
            <w:pPr>
              <w:spacing w:after="0"/>
              <w:rPr>
                <w:sz w:val="9"/>
                <w:szCs w:val="9"/>
                <w:color w:val="auto"/>
              </w:rPr>
            </w:pPr>
          </w:p>
        </w:tc>
        <w:tc>
          <w:tcPr>
            <w:tcW w:w="2260" w:type="dxa"/>
            <w:vAlign w:val="bottom"/>
            <w:shd w:val="clear" w:color="auto" w:fill="1B98BA"/>
          </w:tcPr>
          <w:p>
            <w:pPr>
              <w:spacing w:after="0"/>
              <w:rPr>
                <w:sz w:val="9"/>
                <w:szCs w:val="9"/>
                <w:color w:val="auto"/>
              </w:rPr>
            </w:pPr>
          </w:p>
        </w:tc>
        <w:tc>
          <w:tcPr>
            <w:tcW w:w="0" w:type="dxa"/>
            <w:vAlign w:val="bottom"/>
          </w:tcPr>
          <w:p>
            <w:pPr>
              <w:spacing w:after="0"/>
              <w:rPr>
                <w:sz w:val="1"/>
                <w:szCs w:val="1"/>
                <w:color w:val="auto"/>
              </w:rPr>
            </w:pPr>
          </w:p>
        </w:tc>
      </w:tr>
      <w:tr>
        <w:trPr>
          <w:trHeight w:val="574"/>
        </w:trPr>
        <w:tc>
          <w:tcPr>
            <w:tcW w:w="2260" w:type="dxa"/>
            <w:vAlign w:val="bottom"/>
            <w:shd w:val="clear" w:color="auto" w:fill="1B98BA"/>
          </w:tcPr>
          <w:p>
            <w:pPr>
              <w:spacing w:after="0"/>
              <w:rPr>
                <w:sz w:val="24"/>
                <w:szCs w:val="24"/>
                <w:color w:val="auto"/>
              </w:rPr>
            </w:pPr>
          </w:p>
        </w:tc>
        <w:tc>
          <w:tcPr>
            <w:tcW w:w="2560" w:type="dxa"/>
            <w:vAlign w:val="bottom"/>
          </w:tcPr>
          <w:p>
            <w:pPr>
              <w:spacing w:after="0"/>
              <w:rPr>
                <w:sz w:val="24"/>
                <w:szCs w:val="24"/>
                <w:color w:val="auto"/>
              </w:rPr>
            </w:pPr>
          </w:p>
        </w:tc>
        <w:tc>
          <w:tcPr>
            <w:tcW w:w="2260" w:type="dxa"/>
            <w:vAlign w:val="bottom"/>
            <w:shd w:val="clear" w:color="auto" w:fill="1B98BA"/>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2066925</wp:posOffset>
            </wp:positionH>
            <wp:positionV relativeFrom="paragraph">
              <wp:posOffset>102870</wp:posOffset>
            </wp:positionV>
            <wp:extent cx="1397000" cy="11315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97000" cy="1131570"/>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102870</wp:posOffset>
            </wp:positionV>
            <wp:extent cx="1397000" cy="1131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97000" cy="1131570"/>
                    </a:xfrm>
                    <a:prstGeom prst="rect">
                      <a:avLst/>
                    </a:prstGeom>
                    <a:noFill/>
                  </pic:spPr>
                </pic:pic>
              </a:graphicData>
            </a:graphic>
          </wp:anchor>
        </w:drawing>
      </w:r>
    </w:p>
    <w:p>
      <w:pPr>
        <w:spacing w:after="0" w:line="142" w:lineRule="exact"/>
        <w:rPr>
          <w:sz w:val="20"/>
          <w:szCs w:val="20"/>
          <w:color w:val="auto"/>
        </w:rPr>
      </w:pPr>
    </w:p>
    <w:tbl>
      <w:tblPr>
        <w:tblLayout w:type="fixed"/>
        <w:tblInd w:w="900" w:type="dxa"/>
        <w:tblCellMar>
          <w:top w:w="0" w:type="dxa"/>
          <w:left w:w="0" w:type="dxa"/>
          <w:bottom w:w="0" w:type="dxa"/>
          <w:right w:w="0" w:type="dxa"/>
        </w:tblCellMar>
      </w:tblPr>
      <w:tr>
        <w:trPr>
          <w:trHeight w:val="921"/>
        </w:trPr>
        <w:tc>
          <w:tcPr>
            <w:tcW w:w="2240" w:type="dxa"/>
            <w:vAlign w:val="bottom"/>
            <w:shd w:val="clear" w:color="auto" w:fill="1B98BA"/>
          </w:tcPr>
          <w:p>
            <w:pPr>
              <w:jc w:val="center"/>
              <w:spacing w:after="0"/>
              <w:rPr>
                <w:sz w:val="20"/>
                <w:szCs w:val="20"/>
                <w:color w:val="auto"/>
              </w:rPr>
            </w:pPr>
            <w:r>
              <w:rPr>
                <w:rFonts w:ascii="Arial" w:cs="Arial" w:eastAsia="Arial" w:hAnsi="Arial"/>
                <w:sz w:val="20"/>
                <w:szCs w:val="20"/>
                <w:b w:val="1"/>
                <w:bCs w:val="1"/>
                <w:color w:val="FFFFFF"/>
                <w:w w:val="99"/>
              </w:rPr>
              <w:t>Large manufacturing</w:t>
            </w:r>
          </w:p>
        </w:tc>
        <w:tc>
          <w:tcPr>
            <w:tcW w:w="2480" w:type="dxa"/>
            <w:vAlign w:val="bottom"/>
          </w:tcPr>
          <w:p>
            <w:pPr>
              <w:spacing w:after="0"/>
              <w:rPr>
                <w:sz w:val="24"/>
                <w:szCs w:val="24"/>
                <w:color w:val="auto"/>
              </w:rPr>
            </w:pPr>
          </w:p>
        </w:tc>
        <w:tc>
          <w:tcPr>
            <w:tcW w:w="2260" w:type="dxa"/>
            <w:vAlign w:val="bottom"/>
            <w:shd w:val="clear" w:color="auto" w:fill="1B98BA"/>
          </w:tcPr>
          <w:p>
            <w:pPr>
              <w:jc w:val="center"/>
              <w:spacing w:after="0"/>
              <w:rPr>
                <w:sz w:val="20"/>
                <w:szCs w:val="20"/>
                <w:color w:val="auto"/>
              </w:rPr>
            </w:pPr>
            <w:r>
              <w:rPr>
                <w:rFonts w:ascii="Arial" w:cs="Arial" w:eastAsia="Arial" w:hAnsi="Arial"/>
                <w:sz w:val="20"/>
                <w:szCs w:val="20"/>
                <w:b w:val="1"/>
                <w:bCs w:val="1"/>
                <w:color w:val="FFFFFF"/>
                <w:w w:val="99"/>
              </w:rPr>
              <w:t>Partner for parts,</w:t>
            </w:r>
          </w:p>
        </w:tc>
      </w:tr>
      <w:tr>
        <w:trPr>
          <w:trHeight w:val="273"/>
        </w:trPr>
        <w:tc>
          <w:tcPr>
            <w:tcW w:w="2240" w:type="dxa"/>
            <w:vAlign w:val="bottom"/>
            <w:shd w:val="clear" w:color="auto" w:fill="1B98BA"/>
          </w:tcPr>
          <w:p>
            <w:pPr>
              <w:jc w:val="center"/>
              <w:spacing w:after="0"/>
              <w:rPr>
                <w:sz w:val="20"/>
                <w:szCs w:val="20"/>
                <w:color w:val="auto"/>
              </w:rPr>
            </w:pPr>
            <w:r>
              <w:rPr>
                <w:rFonts w:ascii="Arial" w:cs="Arial" w:eastAsia="Arial" w:hAnsi="Arial"/>
                <w:sz w:val="20"/>
                <w:szCs w:val="20"/>
                <w:b w:val="1"/>
                <w:bCs w:val="1"/>
                <w:color w:val="FFFFFF"/>
                <w:w w:val="99"/>
              </w:rPr>
              <w:t>direct-dealer base</w:t>
            </w:r>
          </w:p>
        </w:tc>
        <w:tc>
          <w:tcPr>
            <w:tcW w:w="2480" w:type="dxa"/>
            <w:vAlign w:val="bottom"/>
          </w:tcPr>
          <w:p>
            <w:pPr>
              <w:spacing w:after="0"/>
              <w:rPr>
                <w:sz w:val="23"/>
                <w:szCs w:val="23"/>
                <w:color w:val="auto"/>
              </w:rPr>
            </w:pPr>
          </w:p>
        </w:tc>
        <w:tc>
          <w:tcPr>
            <w:tcW w:w="2260" w:type="dxa"/>
            <w:vAlign w:val="bottom"/>
            <w:shd w:val="clear" w:color="auto" w:fill="1B98BA"/>
          </w:tcPr>
          <w:p>
            <w:pPr>
              <w:jc w:val="center"/>
              <w:spacing w:after="0"/>
              <w:rPr>
                <w:sz w:val="20"/>
                <w:szCs w:val="20"/>
                <w:color w:val="auto"/>
              </w:rPr>
            </w:pPr>
            <w:r>
              <w:rPr>
                <w:rFonts w:ascii="Arial" w:cs="Arial" w:eastAsia="Arial" w:hAnsi="Arial"/>
                <w:sz w:val="20"/>
                <w:szCs w:val="20"/>
                <w:b w:val="1"/>
                <w:bCs w:val="1"/>
                <w:color w:val="FFFFFF"/>
                <w:w w:val="98"/>
              </w:rPr>
              <w:t>ductless, water heaters</w:t>
            </w:r>
          </w:p>
        </w:tc>
      </w:tr>
      <w:tr>
        <w:trPr>
          <w:trHeight w:val="682"/>
        </w:trPr>
        <w:tc>
          <w:tcPr>
            <w:tcW w:w="2240" w:type="dxa"/>
            <w:vAlign w:val="bottom"/>
            <w:shd w:val="clear" w:color="auto" w:fill="1B98BA"/>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shd w:val="clear" w:color="auto" w:fill="1B98BA"/>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40" w:top="996" w:right="1259" w:bottom="1440" w:gutter="0" w:footer="0" w:header="0"/>
        </w:sectPr>
      </w:pPr>
    </w:p>
    <w:bookmarkStart w:id="7" w:name="page8"/>
    <w:bookmarkEnd w:id="7"/>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628650</wp:posOffset>
            </wp:positionV>
            <wp:extent cx="71323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38735</wp:posOffset>
            </wp:positionV>
            <wp:extent cx="56235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150495</wp:posOffset>
            </wp:positionV>
            <wp:extent cx="822960" cy="822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180"/>
        <w:spacing w:after="0" w:line="268" w:lineRule="auto"/>
        <w:rPr>
          <w:sz w:val="20"/>
          <w:szCs w:val="20"/>
          <w:color w:val="auto"/>
        </w:rPr>
      </w:pPr>
      <w:r>
        <w:rPr>
          <w:rFonts w:ascii="Arial" w:cs="Arial" w:eastAsia="Arial" w:hAnsi="Arial"/>
          <w:sz w:val="16"/>
          <w:szCs w:val="16"/>
          <w:color w:val="636466"/>
        </w:rPr>
        <w:t>The Lennox Value Creation Framework leverages the GREAT focused strategy to drive stakeholder results paired with our Lennox Unified Management System to ensure consistent execution and alignment with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494030</wp:posOffset>
            </wp:positionV>
            <wp:extent cx="6900545" cy="1474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0054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Global Technology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-12065</wp:posOffset>
            </wp:positionV>
            <wp:extent cx="43548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548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158750</wp:posOffset>
            </wp:positionV>
            <wp:extent cx="1002665" cy="351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02665" cy="3511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158750</wp:posOffset>
            </wp:positionV>
            <wp:extent cx="968375" cy="351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68375" cy="3511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158750</wp:posOffset>
            </wp:positionV>
            <wp:extent cx="1062990" cy="3511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62990" cy="3511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158750</wp:posOffset>
            </wp:positionV>
            <wp:extent cx="1062990" cy="3511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6299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0" w:hanging="312"/>
        <w:spacing w:after="0"/>
        <w:tabs>
          <w:tab w:leader="none" w:pos="320" w:val="left"/>
        </w:tabs>
        <w:numPr>
          <w:ilvl w:val="0"/>
          <w:numId w:val="6"/>
        </w:numPr>
        <w:rPr>
          <w:rFonts w:ascii="Arial" w:cs="Arial" w:eastAsia="Arial" w:hAnsi="Arial"/>
          <w:sz w:val="9"/>
          <w:szCs w:val="9"/>
          <w:color w:val="auto"/>
        </w:rPr>
      </w:pPr>
      <w:r>
        <w:rPr>
          <w:rFonts w:ascii="Arial" w:cs="Arial" w:eastAsia="Arial" w:hAnsi="Arial"/>
          <w:sz w:val="14"/>
          <w:szCs w:val="14"/>
          <w:color w:val="auto"/>
        </w:rPr>
        <w:t>Product Vitality – Percentage of sales from new products (excluding regulatory changes) launched in the last 3 years / Total product sales.</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21590</wp:posOffset>
            </wp:positionV>
            <wp:extent cx="5871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71845"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193040</wp:posOffset>
            </wp:positionV>
            <wp:extent cx="6969125" cy="985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69125" cy="98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More Information @ www.lennox.com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-12065</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84" w:lineRule="exact"/>
        <w:rPr>
          <w:sz w:val="20"/>
          <w:szCs w:val="20"/>
          <w:color w:val="auto"/>
        </w:rPr>
      </w:pPr>
    </w:p>
    <w:tbl>
      <w:tblPr>
        <w:tblLayout w:type="fixed"/>
        <w:tblInd w:w="920" w:type="dxa"/>
        <w:tblCellMar>
          <w:top w:w="0" w:type="dxa"/>
          <w:left w:w="0" w:type="dxa"/>
          <w:bottom w:w="0" w:type="dxa"/>
          <w:right w:w="0" w:type="dxa"/>
        </w:tblCellMar>
      </w:tblPr>
      <w:tr>
        <w:trPr>
          <w:trHeight w:val="180"/>
        </w:trPr>
        <w:tc>
          <w:tcPr>
            <w:tcW w:w="2840" w:type="dxa"/>
            <w:vAlign w:val="bottom"/>
            <w:tcBorders>
              <w:right w:val="single" w:sz="8" w:color="636466"/>
            </w:tcBorders>
          </w:tcPr>
          <w:p>
            <w:pPr>
              <w:jc w:val="center"/>
              <w:ind w:right="848"/>
              <w:spacing w:after="0"/>
              <w:rPr>
                <w:sz w:val="20"/>
                <w:szCs w:val="20"/>
                <w:color w:val="auto"/>
              </w:rPr>
            </w:pPr>
            <w:r>
              <w:rPr>
                <w:rFonts w:ascii="Arial" w:cs="Arial" w:eastAsia="Arial" w:hAnsi="Arial"/>
                <w:sz w:val="14"/>
                <w:szCs w:val="14"/>
                <w:b w:val="1"/>
                <w:bCs w:val="1"/>
                <w:color w:val="auto"/>
              </w:rPr>
              <w:t xml:space="preserve">SASB Reporting </w:t>
            </w:r>
            <w:r>
              <w:rPr>
                <w:rFonts w:ascii="Arial" w:cs="Arial" w:eastAsia="Arial" w:hAnsi="Arial"/>
                <w:sz w:val="14"/>
                <w:szCs w:val="14"/>
                <w:color w:val="auto"/>
              </w:rPr>
              <w:t>aligned with</w:t>
            </w:r>
          </w:p>
        </w:tc>
        <w:tc>
          <w:tcPr>
            <w:tcW w:w="3740" w:type="dxa"/>
            <w:vAlign w:val="bottom"/>
            <w:tcBorders>
              <w:right w:val="single" w:sz="8" w:color="636466"/>
            </w:tcBorders>
          </w:tcPr>
          <w:p>
            <w:pPr>
              <w:jc w:val="center"/>
              <w:spacing w:after="0"/>
              <w:rPr>
                <w:sz w:val="20"/>
                <w:szCs w:val="20"/>
                <w:color w:val="auto"/>
              </w:rPr>
            </w:pPr>
            <w:r>
              <w:rPr>
                <w:rFonts w:ascii="Arial" w:cs="Arial" w:eastAsia="Arial" w:hAnsi="Arial"/>
                <w:sz w:val="14"/>
                <w:szCs w:val="14"/>
                <w:b w:val="1"/>
                <w:bCs w:val="1"/>
                <w:color w:val="auto"/>
              </w:rPr>
              <w:t xml:space="preserve">TCFD Reporting </w:t>
            </w:r>
            <w:r>
              <w:rPr>
                <w:rFonts w:ascii="Arial" w:cs="Arial" w:eastAsia="Arial" w:hAnsi="Arial"/>
                <w:sz w:val="14"/>
                <w:szCs w:val="14"/>
                <w:color w:val="auto"/>
              </w:rPr>
              <w:t>aligned with Task</w:t>
            </w:r>
          </w:p>
        </w:tc>
        <w:tc>
          <w:tcPr>
            <w:tcW w:w="2780" w:type="dxa"/>
            <w:vAlign w:val="bottom"/>
            <w:vMerge w:val="restart"/>
          </w:tcPr>
          <w:p>
            <w:pPr>
              <w:jc w:val="center"/>
              <w:ind w:left="888"/>
              <w:spacing w:after="0"/>
              <w:rPr>
                <w:sz w:val="20"/>
                <w:szCs w:val="20"/>
                <w:color w:val="auto"/>
              </w:rPr>
            </w:pPr>
            <w:r>
              <w:rPr>
                <w:rFonts w:ascii="Arial" w:cs="Arial" w:eastAsia="Arial" w:hAnsi="Arial"/>
                <w:sz w:val="14"/>
                <w:szCs w:val="14"/>
                <w:b w:val="1"/>
                <w:bCs w:val="1"/>
                <w:color w:val="auto"/>
              </w:rPr>
              <w:t xml:space="preserve">EEO-1 Report </w:t>
            </w:r>
            <w:r>
              <w:rPr>
                <w:rFonts w:ascii="Arial" w:cs="Arial" w:eastAsia="Arial" w:hAnsi="Arial"/>
                <w:sz w:val="14"/>
                <w:szCs w:val="14"/>
                <w:color w:val="auto"/>
              </w:rPr>
              <w:t>demographic</w:t>
            </w:r>
          </w:p>
        </w:tc>
        <w:tc>
          <w:tcPr>
            <w:tcW w:w="0" w:type="dxa"/>
            <w:vAlign w:val="bottom"/>
          </w:tcPr>
          <w:p>
            <w:pPr>
              <w:spacing w:after="0"/>
              <w:rPr>
                <w:sz w:val="1"/>
                <w:szCs w:val="1"/>
                <w:color w:val="auto"/>
              </w:rPr>
            </w:pPr>
          </w:p>
        </w:tc>
      </w:tr>
      <w:tr>
        <w:trPr>
          <w:trHeight w:val="95"/>
        </w:trPr>
        <w:tc>
          <w:tcPr>
            <w:tcW w:w="2840" w:type="dxa"/>
            <w:vAlign w:val="bottom"/>
            <w:tcBorders>
              <w:right w:val="single" w:sz="8" w:color="636466"/>
            </w:tcBorders>
            <w:vMerge w:val="restart"/>
          </w:tcPr>
          <w:p>
            <w:pPr>
              <w:jc w:val="center"/>
              <w:ind w:right="848"/>
              <w:spacing w:after="0"/>
              <w:rPr>
                <w:sz w:val="20"/>
                <w:szCs w:val="20"/>
                <w:color w:val="auto"/>
              </w:rPr>
            </w:pPr>
            <w:r>
              <w:rPr>
                <w:rFonts w:ascii="Arial" w:cs="Arial" w:eastAsia="Arial" w:hAnsi="Arial"/>
                <w:sz w:val="14"/>
                <w:szCs w:val="14"/>
                <w:color w:val="auto"/>
              </w:rPr>
              <w:t>Sustainability Accounting</w:t>
            </w:r>
          </w:p>
        </w:tc>
        <w:tc>
          <w:tcPr>
            <w:tcW w:w="3740" w:type="dxa"/>
            <w:vAlign w:val="bottom"/>
            <w:tcBorders>
              <w:right w:val="single" w:sz="8" w:color="636466"/>
            </w:tcBorders>
            <w:vMerge w:val="restart"/>
          </w:tcPr>
          <w:p>
            <w:pPr>
              <w:jc w:val="center"/>
              <w:spacing w:after="0"/>
              <w:rPr>
                <w:sz w:val="20"/>
                <w:szCs w:val="20"/>
                <w:color w:val="auto"/>
              </w:rPr>
            </w:pPr>
            <w:r>
              <w:rPr>
                <w:rFonts w:ascii="Arial" w:cs="Arial" w:eastAsia="Arial" w:hAnsi="Arial"/>
                <w:sz w:val="14"/>
                <w:szCs w:val="14"/>
                <w:color w:val="auto"/>
              </w:rPr>
              <w:t>Force on Climate-related Financial</w:t>
            </w:r>
          </w:p>
        </w:tc>
        <w:tc>
          <w:tcPr>
            <w:tcW w:w="2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40" w:type="dxa"/>
            <w:vAlign w:val="bottom"/>
            <w:tcBorders>
              <w:right w:val="single" w:sz="8" w:color="636466"/>
            </w:tcBorders>
            <w:vMerge w:val="continue"/>
          </w:tcPr>
          <w:p>
            <w:pPr>
              <w:spacing w:after="0"/>
              <w:rPr>
                <w:sz w:val="5"/>
                <w:szCs w:val="5"/>
                <w:color w:val="auto"/>
              </w:rPr>
            </w:pPr>
          </w:p>
        </w:tc>
        <w:tc>
          <w:tcPr>
            <w:tcW w:w="3740" w:type="dxa"/>
            <w:vAlign w:val="bottom"/>
            <w:tcBorders>
              <w:right w:val="single" w:sz="8" w:color="636466"/>
            </w:tcBorders>
            <w:vMerge w:val="continue"/>
          </w:tcPr>
          <w:p>
            <w:pPr>
              <w:spacing w:after="0"/>
              <w:rPr>
                <w:sz w:val="5"/>
                <w:szCs w:val="5"/>
                <w:color w:val="auto"/>
              </w:rPr>
            </w:pPr>
          </w:p>
        </w:tc>
        <w:tc>
          <w:tcPr>
            <w:tcW w:w="2780" w:type="dxa"/>
            <w:vAlign w:val="bottom"/>
            <w:vMerge w:val="restart"/>
          </w:tcPr>
          <w:p>
            <w:pPr>
              <w:jc w:val="center"/>
              <w:ind w:left="888"/>
              <w:spacing w:after="0"/>
              <w:rPr>
                <w:sz w:val="20"/>
                <w:szCs w:val="20"/>
                <w:color w:val="auto"/>
              </w:rPr>
            </w:pPr>
            <w:r>
              <w:rPr>
                <w:rFonts w:ascii="Arial" w:cs="Arial" w:eastAsia="Arial" w:hAnsi="Arial"/>
                <w:sz w:val="14"/>
                <w:szCs w:val="14"/>
                <w:color w:val="auto"/>
              </w:rPr>
              <w:t>breakdown of workforce</w:t>
            </w:r>
          </w:p>
        </w:tc>
        <w:tc>
          <w:tcPr>
            <w:tcW w:w="0" w:type="dxa"/>
            <w:vAlign w:val="bottom"/>
          </w:tcPr>
          <w:p>
            <w:pPr>
              <w:spacing w:after="0"/>
              <w:rPr>
                <w:sz w:val="1"/>
                <w:szCs w:val="1"/>
                <w:color w:val="auto"/>
              </w:rPr>
            </w:pPr>
          </w:p>
        </w:tc>
      </w:tr>
      <w:tr>
        <w:trPr>
          <w:trHeight w:val="123"/>
        </w:trPr>
        <w:tc>
          <w:tcPr>
            <w:tcW w:w="2840" w:type="dxa"/>
            <w:vAlign w:val="bottom"/>
            <w:tcBorders>
              <w:right w:val="single" w:sz="8" w:color="636466"/>
            </w:tcBorders>
            <w:vMerge w:val="restart"/>
          </w:tcPr>
          <w:p>
            <w:pPr>
              <w:jc w:val="center"/>
              <w:ind w:right="848"/>
              <w:spacing w:after="0"/>
              <w:rPr>
                <w:sz w:val="20"/>
                <w:szCs w:val="20"/>
                <w:color w:val="auto"/>
              </w:rPr>
            </w:pPr>
            <w:r>
              <w:rPr>
                <w:rFonts w:ascii="Arial" w:cs="Arial" w:eastAsia="Arial" w:hAnsi="Arial"/>
                <w:sz w:val="14"/>
                <w:szCs w:val="14"/>
                <w:color w:val="auto"/>
              </w:rPr>
              <w:t>Standards Board</w:t>
            </w:r>
          </w:p>
        </w:tc>
        <w:tc>
          <w:tcPr>
            <w:tcW w:w="3740" w:type="dxa"/>
            <w:vAlign w:val="bottom"/>
            <w:tcBorders>
              <w:right w:val="single" w:sz="8" w:color="636466"/>
            </w:tcBorders>
            <w:vMerge w:val="restart"/>
          </w:tcPr>
          <w:p>
            <w:pPr>
              <w:jc w:val="center"/>
              <w:spacing w:after="0"/>
              <w:rPr>
                <w:sz w:val="20"/>
                <w:szCs w:val="20"/>
                <w:color w:val="auto"/>
              </w:rPr>
            </w:pPr>
            <w:r>
              <w:rPr>
                <w:rFonts w:ascii="Arial" w:cs="Arial" w:eastAsia="Arial" w:hAnsi="Arial"/>
                <w:sz w:val="14"/>
                <w:szCs w:val="14"/>
                <w:color w:val="auto"/>
              </w:rPr>
              <w:t>Disclosures</w:t>
            </w: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840" w:type="dxa"/>
            <w:vAlign w:val="bottom"/>
            <w:tcBorders>
              <w:right w:val="single" w:sz="8" w:color="636466"/>
            </w:tcBorders>
            <w:vMerge w:val="continue"/>
          </w:tcPr>
          <w:p>
            <w:pPr>
              <w:spacing w:after="0"/>
              <w:rPr>
                <w:sz w:val="8"/>
                <w:szCs w:val="8"/>
                <w:color w:val="auto"/>
              </w:rPr>
            </w:pPr>
          </w:p>
        </w:tc>
        <w:tc>
          <w:tcPr>
            <w:tcW w:w="3740" w:type="dxa"/>
            <w:vAlign w:val="bottom"/>
            <w:tcBorders>
              <w:right w:val="single" w:sz="8" w:color="636466"/>
            </w:tcBorders>
            <w:vMerge w:val="continue"/>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our website is not, and will not be deemed to be, a part of this Proxy Statement or incorporated into any of our other filings with the SEC.</w:t>
      </w:r>
    </w:p>
    <w:p>
      <w:pPr>
        <w:spacing w:after="0" w:line="38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996" w:right="659" w:bottom="1440" w:gutter="0" w:footer="0" w:header="0"/>
        </w:sectPr>
      </w:pPr>
    </w:p>
    <w:bookmarkStart w:id="8" w:name="page9"/>
    <w:bookmarkEnd w:id="8"/>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-12065</wp:posOffset>
            </wp:positionV>
            <wp:extent cx="61379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940" w:type="dxa"/>
            <w:vAlign w:val="bottom"/>
            <w:tcBorders>
              <w:left w:val="single" w:sz="8" w:color="636466"/>
              <w:right w:val="single" w:sz="8" w:color="636466"/>
            </w:tcBorders>
            <w:shd w:val="clear" w:color="auto" w:fill="636466"/>
          </w:tcPr>
          <w:p>
            <w:pPr>
              <w:spacing w:after="0"/>
              <w:rPr>
                <w:sz w:val="23"/>
                <w:szCs w:val="23"/>
                <w:color w:val="auto"/>
              </w:rPr>
            </w:pPr>
          </w:p>
        </w:tc>
        <w:tc>
          <w:tcPr>
            <w:tcW w:w="620" w:type="dxa"/>
            <w:vAlign w:val="bottom"/>
            <w:tcBorders>
              <w:right w:val="single" w:sz="8" w:color="636466"/>
            </w:tcBorders>
            <w:shd w:val="clear" w:color="auto" w:fill="636466"/>
          </w:tcPr>
          <w:p>
            <w:pPr>
              <w:spacing w:after="0"/>
              <w:rPr>
                <w:sz w:val="23"/>
                <w:szCs w:val="23"/>
                <w:color w:val="auto"/>
              </w:rPr>
            </w:pPr>
          </w:p>
        </w:tc>
        <w:tc>
          <w:tcPr>
            <w:tcW w:w="780" w:type="dxa"/>
            <w:vAlign w:val="bottom"/>
            <w:tcBorders>
              <w:right w:val="single" w:sz="8" w:color="636466"/>
            </w:tcBorders>
            <w:shd w:val="clear" w:color="auto" w:fill="636466"/>
          </w:tcPr>
          <w:p>
            <w:pPr>
              <w:spacing w:after="0"/>
              <w:rPr>
                <w:sz w:val="23"/>
                <w:szCs w:val="23"/>
                <w:color w:val="auto"/>
              </w:rPr>
            </w:pPr>
          </w:p>
        </w:tc>
        <w:tc>
          <w:tcPr>
            <w:tcW w:w="2900" w:type="dxa"/>
            <w:vAlign w:val="bottom"/>
            <w:tcBorders>
              <w:right w:val="single" w:sz="8" w:color="636466"/>
            </w:tcBorders>
            <w:shd w:val="clear" w:color="auto" w:fill="636466"/>
          </w:tcPr>
          <w:p>
            <w:pPr>
              <w:spacing w:after="0"/>
              <w:rPr>
                <w:sz w:val="23"/>
                <w:szCs w:val="23"/>
                <w:color w:val="auto"/>
              </w:rPr>
            </w:pPr>
          </w:p>
        </w:tc>
        <w:tc>
          <w:tcPr>
            <w:tcW w:w="660" w:type="dxa"/>
            <w:vAlign w:val="bottom"/>
            <w:tcBorders>
              <w:right w:val="single" w:sz="8" w:color="636466"/>
            </w:tcBorders>
            <w:shd w:val="clear" w:color="auto" w:fill="636466"/>
          </w:tcPr>
          <w:p>
            <w:pPr>
              <w:spacing w:after="0"/>
              <w:rPr>
                <w:sz w:val="23"/>
                <w:szCs w:val="23"/>
                <w:color w:val="auto"/>
              </w:rPr>
            </w:pPr>
          </w:p>
        </w:tc>
        <w:tc>
          <w:tcPr>
            <w:tcW w:w="760" w:type="dxa"/>
            <w:vAlign w:val="bottom"/>
            <w:tcBorders>
              <w:right w:val="single" w:sz="8" w:color="636466"/>
            </w:tcBorders>
            <w:shd w:val="clear" w:color="auto" w:fill="636466"/>
          </w:tcPr>
          <w:p>
            <w:pPr>
              <w:spacing w:after="0"/>
              <w:rPr>
                <w:sz w:val="23"/>
                <w:szCs w:val="23"/>
                <w:color w:val="auto"/>
              </w:rPr>
            </w:pPr>
          </w:p>
        </w:tc>
        <w:tc>
          <w:tcPr>
            <w:tcW w:w="120" w:type="dxa"/>
            <w:vAlign w:val="bottom"/>
            <w:shd w:val="clear" w:color="auto" w:fill="636466"/>
          </w:tcPr>
          <w:p>
            <w:pPr>
              <w:spacing w:after="0"/>
              <w:rPr>
                <w:sz w:val="23"/>
                <w:szCs w:val="23"/>
                <w:color w:val="auto"/>
              </w:rPr>
            </w:pPr>
          </w:p>
        </w:tc>
        <w:tc>
          <w:tcPr>
            <w:tcW w:w="1620" w:type="dxa"/>
            <w:vAlign w:val="bottom"/>
            <w:gridSpan w:val="3"/>
            <w:shd w:val="clear" w:color="auto" w:fill="636466"/>
          </w:tcPr>
          <w:p>
            <w:pPr>
              <w:jc w:val="center"/>
              <w:ind w:right="340"/>
              <w:spacing w:after="0"/>
              <w:rPr>
                <w:sz w:val="20"/>
                <w:szCs w:val="20"/>
                <w:color w:val="auto"/>
              </w:rPr>
            </w:pPr>
            <w:r>
              <w:rPr>
                <w:rFonts w:ascii="Arial" w:cs="Arial" w:eastAsia="Arial" w:hAnsi="Arial"/>
                <w:sz w:val="14"/>
                <w:szCs w:val="14"/>
                <w:b w:val="1"/>
                <w:bCs w:val="1"/>
                <w:color w:val="FFFFFF"/>
              </w:rPr>
              <w:t>Committee</w:t>
            </w:r>
          </w:p>
        </w:tc>
        <w:tc>
          <w:tcPr>
            <w:tcW w:w="580" w:type="dxa"/>
            <w:vAlign w:val="bottom"/>
            <w:tcBorders>
              <w:right w:val="single" w:sz="8" w:color="636466"/>
            </w:tcBorders>
            <w:shd w:val="clear" w:color="auto" w:fill="636466"/>
          </w:tcPr>
          <w:p>
            <w:pPr>
              <w:spacing w:after="0"/>
              <w:rPr>
                <w:sz w:val="23"/>
                <w:szCs w:val="23"/>
                <w:color w:val="auto"/>
              </w:rPr>
            </w:pPr>
          </w:p>
        </w:tc>
        <w:tc>
          <w:tcPr>
            <w:tcW w:w="128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rPr>
              <w:t>Other</w:t>
            </w:r>
          </w:p>
        </w:tc>
        <w:tc>
          <w:tcPr>
            <w:tcW w:w="0" w:type="dxa"/>
            <w:vAlign w:val="bottom"/>
          </w:tcPr>
          <w:p>
            <w:pPr>
              <w:spacing w:after="0"/>
              <w:rPr>
                <w:sz w:val="1"/>
                <w:szCs w:val="1"/>
                <w:color w:val="auto"/>
              </w:rPr>
            </w:pPr>
          </w:p>
        </w:tc>
      </w:tr>
      <w:tr>
        <w:trPr>
          <w:trHeight w:val="68"/>
        </w:trPr>
        <w:tc>
          <w:tcPr>
            <w:tcW w:w="1940" w:type="dxa"/>
            <w:vAlign w:val="bottom"/>
            <w:tcBorders>
              <w:left w:val="single" w:sz="8" w:color="636466"/>
              <w:right w:val="single" w:sz="8" w:color="636466"/>
            </w:tcBorders>
            <w:shd w:val="clear" w:color="auto" w:fill="636466"/>
          </w:tcPr>
          <w:p>
            <w:pPr>
              <w:spacing w:after="0"/>
              <w:rPr>
                <w:sz w:val="5"/>
                <w:szCs w:val="5"/>
                <w:color w:val="auto"/>
              </w:rPr>
            </w:pPr>
          </w:p>
        </w:tc>
        <w:tc>
          <w:tcPr>
            <w:tcW w:w="620" w:type="dxa"/>
            <w:vAlign w:val="bottom"/>
            <w:tcBorders>
              <w:right w:val="single" w:sz="8" w:color="636466"/>
            </w:tcBorders>
            <w:shd w:val="clear" w:color="auto" w:fill="636466"/>
          </w:tcPr>
          <w:p>
            <w:pPr>
              <w:spacing w:after="0"/>
              <w:rPr>
                <w:sz w:val="5"/>
                <w:szCs w:val="5"/>
                <w:color w:val="auto"/>
              </w:rPr>
            </w:pPr>
          </w:p>
        </w:tc>
        <w:tc>
          <w:tcPr>
            <w:tcW w:w="780" w:type="dxa"/>
            <w:vAlign w:val="bottom"/>
            <w:tcBorders>
              <w:right w:val="single" w:sz="8" w:color="636466"/>
            </w:tcBorders>
            <w:shd w:val="clear" w:color="auto" w:fill="636466"/>
          </w:tcPr>
          <w:p>
            <w:pPr>
              <w:spacing w:after="0"/>
              <w:rPr>
                <w:sz w:val="5"/>
                <w:szCs w:val="5"/>
                <w:color w:val="auto"/>
              </w:rPr>
            </w:pPr>
          </w:p>
        </w:tc>
        <w:tc>
          <w:tcPr>
            <w:tcW w:w="2900" w:type="dxa"/>
            <w:vAlign w:val="bottom"/>
            <w:tcBorders>
              <w:right w:val="single" w:sz="8" w:color="636466"/>
            </w:tcBorders>
            <w:shd w:val="clear" w:color="auto" w:fill="636466"/>
          </w:tcPr>
          <w:p>
            <w:pPr>
              <w:spacing w:after="0"/>
              <w:rPr>
                <w:sz w:val="5"/>
                <w:szCs w:val="5"/>
                <w:color w:val="auto"/>
              </w:rPr>
            </w:pPr>
          </w:p>
        </w:tc>
        <w:tc>
          <w:tcPr>
            <w:tcW w:w="660" w:type="dxa"/>
            <w:vAlign w:val="bottom"/>
            <w:tcBorders>
              <w:right w:val="single" w:sz="8" w:color="636466"/>
            </w:tcBorders>
            <w:shd w:val="clear" w:color="auto" w:fill="636466"/>
          </w:tcPr>
          <w:p>
            <w:pPr>
              <w:spacing w:after="0"/>
              <w:rPr>
                <w:sz w:val="5"/>
                <w:szCs w:val="5"/>
                <w:color w:val="auto"/>
              </w:rPr>
            </w:pPr>
          </w:p>
        </w:tc>
        <w:tc>
          <w:tcPr>
            <w:tcW w:w="760" w:type="dxa"/>
            <w:vAlign w:val="bottom"/>
            <w:tcBorders>
              <w:right w:val="single" w:sz="8" w:color="636466"/>
            </w:tcBorders>
            <w:shd w:val="clear" w:color="auto" w:fill="636466"/>
          </w:tcPr>
          <w:p>
            <w:pPr>
              <w:spacing w:after="0"/>
              <w:rPr>
                <w:sz w:val="5"/>
                <w:szCs w:val="5"/>
                <w:color w:val="auto"/>
              </w:rPr>
            </w:pPr>
          </w:p>
        </w:tc>
        <w:tc>
          <w:tcPr>
            <w:tcW w:w="120" w:type="dxa"/>
            <w:vAlign w:val="bottom"/>
            <w:shd w:val="clear" w:color="auto" w:fill="636466"/>
          </w:tcPr>
          <w:p>
            <w:pPr>
              <w:spacing w:after="0"/>
              <w:rPr>
                <w:sz w:val="5"/>
                <w:szCs w:val="5"/>
                <w:color w:val="auto"/>
              </w:rPr>
            </w:pPr>
          </w:p>
        </w:tc>
        <w:tc>
          <w:tcPr>
            <w:tcW w:w="1620" w:type="dxa"/>
            <w:vAlign w:val="bottom"/>
            <w:gridSpan w:val="3"/>
            <w:vMerge w:val="restart"/>
            <w:shd w:val="clear" w:color="auto" w:fill="636466"/>
          </w:tcPr>
          <w:p>
            <w:pPr>
              <w:jc w:val="center"/>
              <w:ind w:right="340"/>
              <w:spacing w:after="0"/>
              <w:rPr>
                <w:sz w:val="20"/>
                <w:szCs w:val="20"/>
                <w:color w:val="auto"/>
              </w:rPr>
            </w:pPr>
            <w:r>
              <w:rPr>
                <w:rFonts w:ascii="Arial" w:cs="Arial" w:eastAsia="Arial" w:hAnsi="Arial"/>
                <w:sz w:val="14"/>
                <w:szCs w:val="14"/>
                <w:b w:val="1"/>
                <w:bCs w:val="1"/>
                <w:color w:val="FFFFFF"/>
              </w:rPr>
              <w:t>Memberships</w:t>
            </w:r>
          </w:p>
        </w:tc>
        <w:tc>
          <w:tcPr>
            <w:tcW w:w="580" w:type="dxa"/>
            <w:vAlign w:val="bottom"/>
            <w:tcBorders>
              <w:right w:val="single" w:sz="8" w:color="636466"/>
            </w:tcBorders>
            <w:shd w:val="clear" w:color="auto" w:fill="636466"/>
          </w:tcPr>
          <w:p>
            <w:pPr>
              <w:spacing w:after="0"/>
              <w:rPr>
                <w:sz w:val="5"/>
                <w:szCs w:val="5"/>
                <w:color w:val="auto"/>
              </w:rPr>
            </w:pPr>
          </w:p>
        </w:tc>
        <w:tc>
          <w:tcPr>
            <w:tcW w:w="1280" w:type="dxa"/>
            <w:vAlign w:val="bottom"/>
            <w:tcBorders>
              <w:right w:val="single" w:sz="8" w:color="636466"/>
            </w:tcBorders>
            <w:vMerge w:val="continue"/>
            <w:shd w:val="clear" w:color="auto" w:fill="636466"/>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940" w:type="dxa"/>
            <w:vAlign w:val="bottom"/>
            <w:tcBorders>
              <w:left w:val="single" w:sz="8" w:color="636466"/>
              <w:right w:val="single" w:sz="8" w:color="636466"/>
            </w:tcBorders>
            <w:shd w:val="clear" w:color="auto" w:fill="636466"/>
          </w:tcPr>
          <w:p>
            <w:pPr>
              <w:spacing w:after="0"/>
              <w:rPr>
                <w:sz w:val="11"/>
                <w:szCs w:val="11"/>
                <w:color w:val="auto"/>
              </w:rPr>
            </w:pPr>
          </w:p>
        </w:tc>
        <w:tc>
          <w:tcPr>
            <w:tcW w:w="620" w:type="dxa"/>
            <w:vAlign w:val="bottom"/>
            <w:tcBorders>
              <w:right w:val="single" w:sz="8" w:color="636466"/>
            </w:tcBorders>
            <w:shd w:val="clear" w:color="auto" w:fill="636466"/>
          </w:tcPr>
          <w:p>
            <w:pPr>
              <w:spacing w:after="0"/>
              <w:rPr>
                <w:sz w:val="11"/>
                <w:szCs w:val="11"/>
                <w:color w:val="auto"/>
              </w:rPr>
            </w:pPr>
          </w:p>
        </w:tc>
        <w:tc>
          <w:tcPr>
            <w:tcW w:w="780" w:type="dxa"/>
            <w:vAlign w:val="bottom"/>
            <w:tcBorders>
              <w:right w:val="single" w:sz="8" w:color="636466"/>
            </w:tcBorders>
            <w:shd w:val="clear" w:color="auto" w:fill="636466"/>
          </w:tcPr>
          <w:p>
            <w:pPr>
              <w:spacing w:after="0"/>
              <w:rPr>
                <w:sz w:val="11"/>
                <w:szCs w:val="11"/>
                <w:color w:val="auto"/>
              </w:rPr>
            </w:pPr>
          </w:p>
        </w:tc>
        <w:tc>
          <w:tcPr>
            <w:tcW w:w="2900" w:type="dxa"/>
            <w:vAlign w:val="bottom"/>
            <w:tcBorders>
              <w:right w:val="single" w:sz="8" w:color="636466"/>
            </w:tcBorders>
            <w:shd w:val="clear" w:color="auto" w:fill="636466"/>
          </w:tcPr>
          <w:p>
            <w:pPr>
              <w:spacing w:after="0"/>
              <w:rPr>
                <w:sz w:val="11"/>
                <w:szCs w:val="11"/>
                <w:color w:val="auto"/>
              </w:rPr>
            </w:pPr>
          </w:p>
        </w:tc>
        <w:tc>
          <w:tcPr>
            <w:tcW w:w="660" w:type="dxa"/>
            <w:vAlign w:val="bottom"/>
            <w:tcBorders>
              <w:right w:val="single" w:sz="8" w:color="636466"/>
            </w:tcBorders>
            <w:shd w:val="clear" w:color="auto" w:fill="636466"/>
          </w:tcPr>
          <w:p>
            <w:pPr>
              <w:spacing w:after="0"/>
              <w:rPr>
                <w:sz w:val="11"/>
                <w:szCs w:val="11"/>
                <w:color w:val="auto"/>
              </w:rPr>
            </w:pPr>
          </w:p>
        </w:tc>
        <w:tc>
          <w:tcPr>
            <w:tcW w:w="760" w:type="dxa"/>
            <w:vAlign w:val="bottom"/>
            <w:tcBorders>
              <w:right w:val="single" w:sz="8" w:color="636466"/>
            </w:tcBorders>
            <w:shd w:val="clear" w:color="auto" w:fill="636466"/>
          </w:tcPr>
          <w:p>
            <w:pPr>
              <w:spacing w:after="0"/>
              <w:rPr>
                <w:sz w:val="11"/>
                <w:szCs w:val="11"/>
                <w:color w:val="auto"/>
              </w:rPr>
            </w:pPr>
          </w:p>
        </w:tc>
        <w:tc>
          <w:tcPr>
            <w:tcW w:w="120" w:type="dxa"/>
            <w:vAlign w:val="bottom"/>
            <w:shd w:val="clear" w:color="auto" w:fill="636466"/>
          </w:tcPr>
          <w:p>
            <w:pPr>
              <w:spacing w:after="0"/>
              <w:rPr>
                <w:sz w:val="11"/>
                <w:szCs w:val="11"/>
                <w:color w:val="auto"/>
              </w:rPr>
            </w:pPr>
          </w:p>
        </w:tc>
        <w:tc>
          <w:tcPr>
            <w:tcW w:w="1620" w:type="dxa"/>
            <w:vAlign w:val="bottom"/>
            <w:gridSpan w:val="3"/>
            <w:vMerge w:val="continue"/>
            <w:shd w:val="clear" w:color="auto" w:fill="636466"/>
          </w:tcPr>
          <w:p>
            <w:pPr>
              <w:spacing w:after="0"/>
              <w:rPr>
                <w:sz w:val="11"/>
                <w:szCs w:val="11"/>
                <w:color w:val="auto"/>
              </w:rPr>
            </w:pPr>
          </w:p>
        </w:tc>
        <w:tc>
          <w:tcPr>
            <w:tcW w:w="580" w:type="dxa"/>
            <w:vAlign w:val="bottom"/>
            <w:tcBorders>
              <w:right w:val="single" w:sz="8" w:color="636466"/>
            </w:tcBorders>
            <w:shd w:val="clear" w:color="auto" w:fill="636466"/>
          </w:tcPr>
          <w:p>
            <w:pPr>
              <w:spacing w:after="0"/>
              <w:rPr>
                <w:sz w:val="11"/>
                <w:szCs w:val="11"/>
                <w:color w:val="auto"/>
              </w:rPr>
            </w:pPr>
          </w:p>
        </w:tc>
        <w:tc>
          <w:tcPr>
            <w:tcW w:w="128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rPr>
              <w:t>Public</w:t>
            </w:r>
          </w:p>
        </w:tc>
        <w:tc>
          <w:tcPr>
            <w:tcW w:w="0" w:type="dxa"/>
            <w:vAlign w:val="bottom"/>
          </w:tcPr>
          <w:p>
            <w:pPr>
              <w:spacing w:after="0"/>
              <w:rPr>
                <w:sz w:val="1"/>
                <w:szCs w:val="1"/>
                <w:color w:val="auto"/>
              </w:rPr>
            </w:pPr>
          </w:p>
        </w:tc>
      </w:tr>
      <w:tr>
        <w:trPr>
          <w:trHeight w:val="47"/>
        </w:trPr>
        <w:tc>
          <w:tcPr>
            <w:tcW w:w="1940" w:type="dxa"/>
            <w:vAlign w:val="bottom"/>
            <w:tcBorders>
              <w:left w:val="single" w:sz="8" w:color="636466"/>
              <w:right w:val="single" w:sz="8" w:color="636466"/>
            </w:tcBorders>
            <w:shd w:val="clear" w:color="auto" w:fill="636466"/>
          </w:tcPr>
          <w:p>
            <w:pPr>
              <w:spacing w:after="0"/>
              <w:rPr>
                <w:sz w:val="4"/>
                <w:szCs w:val="4"/>
                <w:color w:val="auto"/>
              </w:rPr>
            </w:pPr>
          </w:p>
        </w:tc>
        <w:tc>
          <w:tcPr>
            <w:tcW w:w="620" w:type="dxa"/>
            <w:vAlign w:val="bottom"/>
            <w:tcBorders>
              <w:right w:val="single" w:sz="8" w:color="636466"/>
            </w:tcBorders>
            <w:shd w:val="clear" w:color="auto" w:fill="636466"/>
          </w:tcPr>
          <w:p>
            <w:pPr>
              <w:spacing w:after="0"/>
              <w:rPr>
                <w:sz w:val="4"/>
                <w:szCs w:val="4"/>
                <w:color w:val="auto"/>
              </w:rPr>
            </w:pPr>
          </w:p>
        </w:tc>
        <w:tc>
          <w:tcPr>
            <w:tcW w:w="780" w:type="dxa"/>
            <w:vAlign w:val="bottom"/>
            <w:tcBorders>
              <w:right w:val="single" w:sz="8" w:color="636466"/>
            </w:tcBorders>
            <w:shd w:val="clear" w:color="auto" w:fill="636466"/>
          </w:tcPr>
          <w:p>
            <w:pPr>
              <w:spacing w:after="0"/>
              <w:rPr>
                <w:sz w:val="4"/>
                <w:szCs w:val="4"/>
                <w:color w:val="auto"/>
              </w:rPr>
            </w:pPr>
          </w:p>
        </w:tc>
        <w:tc>
          <w:tcPr>
            <w:tcW w:w="2900" w:type="dxa"/>
            <w:vAlign w:val="bottom"/>
            <w:tcBorders>
              <w:right w:val="single" w:sz="8" w:color="636466"/>
            </w:tcBorders>
            <w:shd w:val="clear" w:color="auto" w:fill="636466"/>
          </w:tcPr>
          <w:p>
            <w:pPr>
              <w:spacing w:after="0"/>
              <w:rPr>
                <w:sz w:val="4"/>
                <w:szCs w:val="4"/>
                <w:color w:val="auto"/>
              </w:rPr>
            </w:pPr>
          </w:p>
        </w:tc>
        <w:tc>
          <w:tcPr>
            <w:tcW w:w="660" w:type="dxa"/>
            <w:vAlign w:val="bottom"/>
            <w:tcBorders>
              <w:right w:val="single" w:sz="8" w:color="636466"/>
            </w:tcBorders>
            <w:shd w:val="clear" w:color="auto" w:fill="636466"/>
          </w:tcPr>
          <w:p>
            <w:pPr>
              <w:spacing w:after="0"/>
              <w:rPr>
                <w:sz w:val="4"/>
                <w:szCs w:val="4"/>
                <w:color w:val="auto"/>
              </w:rPr>
            </w:pPr>
          </w:p>
        </w:tc>
        <w:tc>
          <w:tcPr>
            <w:tcW w:w="760" w:type="dxa"/>
            <w:vAlign w:val="bottom"/>
            <w:tcBorders>
              <w:right w:val="single" w:sz="8" w:color="636466"/>
            </w:tcBorders>
            <w:shd w:val="clear" w:color="auto" w:fill="636466"/>
          </w:tcPr>
          <w:p>
            <w:pPr>
              <w:spacing w:after="0"/>
              <w:rPr>
                <w:sz w:val="4"/>
                <w:szCs w:val="4"/>
                <w:color w:val="auto"/>
              </w:rPr>
            </w:pPr>
          </w:p>
        </w:tc>
        <w:tc>
          <w:tcPr>
            <w:tcW w:w="120" w:type="dxa"/>
            <w:vAlign w:val="bottom"/>
            <w:shd w:val="clear" w:color="auto" w:fill="636466"/>
          </w:tcPr>
          <w:p>
            <w:pPr>
              <w:spacing w:after="0"/>
              <w:rPr>
                <w:sz w:val="4"/>
                <w:szCs w:val="4"/>
                <w:color w:val="auto"/>
              </w:rPr>
            </w:pPr>
          </w:p>
        </w:tc>
        <w:tc>
          <w:tcPr>
            <w:tcW w:w="660" w:type="dxa"/>
            <w:vAlign w:val="bottom"/>
            <w:tcBorders>
              <w:right w:val="single" w:sz="8" w:color="636466"/>
            </w:tcBorders>
            <w:shd w:val="clear" w:color="auto" w:fill="636466"/>
          </w:tcPr>
          <w:p>
            <w:pPr>
              <w:spacing w:after="0"/>
              <w:rPr>
                <w:sz w:val="4"/>
                <w:szCs w:val="4"/>
                <w:color w:val="auto"/>
              </w:rPr>
            </w:pPr>
          </w:p>
        </w:tc>
        <w:tc>
          <w:tcPr>
            <w:tcW w:w="760" w:type="dxa"/>
            <w:vAlign w:val="bottom"/>
            <w:tcBorders>
              <w:right w:val="single" w:sz="8" w:color="636466"/>
            </w:tcBorders>
            <w:shd w:val="clear" w:color="auto" w:fill="636466"/>
          </w:tcPr>
          <w:p>
            <w:pPr>
              <w:spacing w:after="0"/>
              <w:rPr>
                <w:sz w:val="4"/>
                <w:szCs w:val="4"/>
                <w:color w:val="auto"/>
              </w:rPr>
            </w:pPr>
          </w:p>
        </w:tc>
        <w:tc>
          <w:tcPr>
            <w:tcW w:w="200" w:type="dxa"/>
            <w:vAlign w:val="bottom"/>
            <w:shd w:val="clear" w:color="auto" w:fill="636466"/>
          </w:tcPr>
          <w:p>
            <w:pPr>
              <w:spacing w:after="0"/>
              <w:rPr>
                <w:sz w:val="4"/>
                <w:szCs w:val="4"/>
                <w:color w:val="auto"/>
              </w:rPr>
            </w:pPr>
          </w:p>
        </w:tc>
        <w:tc>
          <w:tcPr>
            <w:tcW w:w="580" w:type="dxa"/>
            <w:vAlign w:val="bottom"/>
            <w:tcBorders>
              <w:right w:val="single" w:sz="8" w:color="636466"/>
            </w:tcBorders>
            <w:shd w:val="clear" w:color="auto" w:fill="636466"/>
          </w:tcPr>
          <w:p>
            <w:pPr>
              <w:spacing w:after="0"/>
              <w:rPr>
                <w:sz w:val="4"/>
                <w:szCs w:val="4"/>
                <w:color w:val="auto"/>
              </w:rPr>
            </w:pPr>
          </w:p>
        </w:tc>
        <w:tc>
          <w:tcPr>
            <w:tcW w:w="1280" w:type="dxa"/>
            <w:vAlign w:val="bottom"/>
            <w:tcBorders>
              <w:right w:val="single" w:sz="8" w:color="636466"/>
            </w:tcBorders>
            <w:vMerge w:val="continue"/>
            <w:shd w:val="clear" w:color="auto" w:fill="636466"/>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40" w:type="dxa"/>
            <w:vAlign w:val="bottom"/>
            <w:tcBorders>
              <w:left w:val="single" w:sz="8" w:color="636466"/>
              <w:right w:val="single" w:sz="8" w:color="636466"/>
            </w:tcBorders>
            <w:vMerge w:val="restart"/>
            <w:shd w:val="clear" w:color="auto" w:fill="636466"/>
          </w:tcPr>
          <w:p>
            <w:pPr>
              <w:ind w:left="100"/>
              <w:spacing w:after="0"/>
              <w:rPr>
                <w:sz w:val="20"/>
                <w:szCs w:val="20"/>
                <w:color w:val="auto"/>
              </w:rPr>
            </w:pPr>
            <w:r>
              <w:rPr>
                <w:rFonts w:ascii="Arial" w:cs="Arial" w:eastAsia="Arial" w:hAnsi="Arial"/>
                <w:sz w:val="14"/>
                <w:szCs w:val="14"/>
                <w:b w:val="1"/>
                <w:bCs w:val="1"/>
                <w:color w:val="FFFFFF"/>
              </w:rPr>
              <w:t>Name</w:t>
            </w:r>
          </w:p>
        </w:tc>
        <w:tc>
          <w:tcPr>
            <w:tcW w:w="62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w w:val="98"/>
              </w:rPr>
              <w:t>Age</w:t>
            </w:r>
          </w:p>
        </w:tc>
        <w:tc>
          <w:tcPr>
            <w:tcW w:w="78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rPr>
              <w:t>Start Date</w:t>
            </w:r>
          </w:p>
        </w:tc>
        <w:tc>
          <w:tcPr>
            <w:tcW w:w="2900" w:type="dxa"/>
            <w:vAlign w:val="bottom"/>
            <w:tcBorders>
              <w:right w:val="single" w:sz="8" w:color="636466"/>
            </w:tcBorders>
            <w:vMerge w:val="restart"/>
            <w:shd w:val="clear" w:color="auto" w:fill="636466"/>
          </w:tcPr>
          <w:p>
            <w:pPr>
              <w:ind w:left="1000"/>
              <w:spacing w:after="0"/>
              <w:rPr>
                <w:sz w:val="20"/>
                <w:szCs w:val="20"/>
                <w:color w:val="auto"/>
              </w:rPr>
            </w:pPr>
            <w:r>
              <w:rPr>
                <w:rFonts w:ascii="Arial" w:cs="Arial" w:eastAsia="Arial" w:hAnsi="Arial"/>
                <w:sz w:val="14"/>
                <w:szCs w:val="14"/>
                <w:b w:val="1"/>
                <w:bCs w:val="1"/>
                <w:color w:val="FFFFFF"/>
              </w:rPr>
              <w:t>Background</w:t>
            </w:r>
          </w:p>
        </w:tc>
        <w:tc>
          <w:tcPr>
            <w:tcW w:w="66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rPr>
              <w:t>Indep.</w:t>
            </w:r>
          </w:p>
        </w:tc>
        <w:tc>
          <w:tcPr>
            <w:tcW w:w="760" w:type="dxa"/>
            <w:vAlign w:val="bottom"/>
            <w:tcBorders>
              <w:right w:val="single" w:sz="8" w:color="636466"/>
            </w:tcBorders>
            <w:vMerge w:val="restart"/>
            <w:shd w:val="clear" w:color="auto" w:fill="636466"/>
          </w:tcPr>
          <w:p>
            <w:pPr>
              <w:jc w:val="center"/>
              <w:spacing w:after="0"/>
              <w:rPr>
                <w:sz w:val="20"/>
                <w:szCs w:val="20"/>
                <w:color w:val="auto"/>
              </w:rPr>
            </w:pPr>
            <w:r>
              <w:rPr>
                <w:rFonts w:ascii="Arial" w:cs="Arial" w:eastAsia="Arial" w:hAnsi="Arial"/>
                <w:sz w:val="14"/>
                <w:szCs w:val="14"/>
                <w:b w:val="1"/>
                <w:bCs w:val="1"/>
                <w:color w:val="FFFFFF"/>
                <w:w w:val="98"/>
              </w:rPr>
              <w:t>AC</w:t>
            </w:r>
          </w:p>
        </w:tc>
        <w:tc>
          <w:tcPr>
            <w:tcW w:w="120" w:type="dxa"/>
            <w:vAlign w:val="bottom"/>
            <w:shd w:val="clear" w:color="auto" w:fill="636466"/>
          </w:tcPr>
          <w:p>
            <w:pPr>
              <w:spacing w:after="0"/>
              <w:rPr>
                <w:sz w:val="15"/>
                <w:szCs w:val="15"/>
                <w:color w:val="auto"/>
              </w:rPr>
            </w:pPr>
          </w:p>
        </w:tc>
        <w:tc>
          <w:tcPr>
            <w:tcW w:w="660" w:type="dxa"/>
            <w:vAlign w:val="bottom"/>
            <w:tcBorders>
              <w:right w:val="single" w:sz="8" w:color="636466"/>
            </w:tcBorders>
            <w:vMerge w:val="restart"/>
            <w:shd w:val="clear" w:color="auto" w:fill="636466"/>
          </w:tcPr>
          <w:p>
            <w:pPr>
              <w:jc w:val="center"/>
              <w:ind w:right="48"/>
              <w:spacing w:after="0"/>
              <w:rPr>
                <w:sz w:val="20"/>
                <w:szCs w:val="20"/>
                <w:color w:val="auto"/>
              </w:rPr>
            </w:pPr>
            <w:r>
              <w:rPr>
                <w:rFonts w:ascii="Arial" w:cs="Arial" w:eastAsia="Arial" w:hAnsi="Arial"/>
                <w:sz w:val="14"/>
                <w:szCs w:val="14"/>
                <w:b w:val="1"/>
                <w:bCs w:val="1"/>
                <w:color w:val="FFFFFF"/>
              </w:rPr>
              <w:t>BGC</w:t>
            </w:r>
          </w:p>
        </w:tc>
        <w:tc>
          <w:tcPr>
            <w:tcW w:w="960" w:type="dxa"/>
            <w:vAlign w:val="bottom"/>
            <w:gridSpan w:val="2"/>
            <w:vMerge w:val="restart"/>
            <w:shd w:val="clear" w:color="auto" w:fill="636466"/>
          </w:tcPr>
          <w:p>
            <w:pPr>
              <w:jc w:val="center"/>
              <w:ind w:right="220"/>
              <w:spacing w:after="0"/>
              <w:rPr>
                <w:sz w:val="20"/>
                <w:szCs w:val="20"/>
                <w:color w:val="auto"/>
              </w:rPr>
            </w:pPr>
            <w:r>
              <w:rPr>
                <w:rFonts w:ascii="Arial" w:cs="Arial" w:eastAsia="Arial" w:hAnsi="Arial"/>
                <w:sz w:val="14"/>
                <w:szCs w:val="14"/>
                <w:b w:val="1"/>
                <w:bCs w:val="1"/>
                <w:color w:val="FFFFFF"/>
              </w:rPr>
              <w:t>CHRC</w:t>
            </w:r>
          </w:p>
        </w:tc>
        <w:tc>
          <w:tcPr>
            <w:tcW w:w="580" w:type="dxa"/>
            <w:vAlign w:val="bottom"/>
            <w:tcBorders>
              <w:right w:val="single" w:sz="8" w:color="636466"/>
            </w:tcBorders>
            <w:vMerge w:val="restart"/>
            <w:shd w:val="clear" w:color="auto" w:fill="636466"/>
          </w:tcPr>
          <w:p>
            <w:pPr>
              <w:jc w:val="center"/>
              <w:ind w:right="112"/>
              <w:spacing w:after="0"/>
              <w:rPr>
                <w:sz w:val="20"/>
                <w:szCs w:val="20"/>
                <w:color w:val="auto"/>
              </w:rPr>
            </w:pPr>
            <w:r>
              <w:rPr>
                <w:rFonts w:ascii="Arial" w:cs="Arial" w:eastAsia="Arial" w:hAnsi="Arial"/>
                <w:sz w:val="14"/>
                <w:szCs w:val="14"/>
                <w:b w:val="1"/>
                <w:bCs w:val="1"/>
                <w:color w:val="FFFFFF"/>
              </w:rPr>
              <w:t>EC</w:t>
            </w: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rPr>
              <w:t>Company</w:t>
            </w:r>
          </w:p>
        </w:tc>
        <w:tc>
          <w:tcPr>
            <w:tcW w:w="0" w:type="dxa"/>
            <w:vAlign w:val="bottom"/>
          </w:tcPr>
          <w:p>
            <w:pPr>
              <w:spacing w:after="0"/>
              <w:rPr>
                <w:sz w:val="1"/>
                <w:szCs w:val="1"/>
                <w:color w:val="auto"/>
              </w:rPr>
            </w:pPr>
          </w:p>
        </w:tc>
      </w:tr>
      <w:tr>
        <w:trPr>
          <w:trHeight w:val="196"/>
        </w:trPr>
        <w:tc>
          <w:tcPr>
            <w:tcW w:w="1940" w:type="dxa"/>
            <w:vAlign w:val="bottom"/>
            <w:tcBorders>
              <w:left w:val="single" w:sz="8" w:color="636466"/>
              <w:right w:val="single" w:sz="8" w:color="636466"/>
            </w:tcBorders>
            <w:vMerge w:val="continue"/>
            <w:shd w:val="clear" w:color="auto" w:fill="636466"/>
          </w:tcPr>
          <w:p>
            <w:pPr>
              <w:spacing w:after="0"/>
              <w:rPr>
                <w:sz w:val="17"/>
                <w:szCs w:val="17"/>
                <w:color w:val="auto"/>
              </w:rPr>
            </w:pPr>
          </w:p>
        </w:tc>
        <w:tc>
          <w:tcPr>
            <w:tcW w:w="620" w:type="dxa"/>
            <w:vAlign w:val="bottom"/>
            <w:tcBorders>
              <w:right w:val="single" w:sz="8" w:color="636466"/>
            </w:tcBorders>
            <w:vMerge w:val="continue"/>
            <w:shd w:val="clear" w:color="auto" w:fill="636466"/>
          </w:tcPr>
          <w:p>
            <w:pPr>
              <w:spacing w:after="0"/>
              <w:rPr>
                <w:sz w:val="17"/>
                <w:szCs w:val="17"/>
                <w:color w:val="auto"/>
              </w:rPr>
            </w:pPr>
          </w:p>
        </w:tc>
        <w:tc>
          <w:tcPr>
            <w:tcW w:w="780" w:type="dxa"/>
            <w:vAlign w:val="bottom"/>
            <w:tcBorders>
              <w:right w:val="single" w:sz="8" w:color="636466"/>
            </w:tcBorders>
            <w:vMerge w:val="continue"/>
            <w:shd w:val="clear" w:color="auto" w:fill="636466"/>
          </w:tcPr>
          <w:p>
            <w:pPr>
              <w:spacing w:after="0"/>
              <w:rPr>
                <w:sz w:val="17"/>
                <w:szCs w:val="17"/>
                <w:color w:val="auto"/>
              </w:rPr>
            </w:pPr>
          </w:p>
        </w:tc>
        <w:tc>
          <w:tcPr>
            <w:tcW w:w="2900" w:type="dxa"/>
            <w:vAlign w:val="bottom"/>
            <w:tcBorders>
              <w:right w:val="single" w:sz="8" w:color="636466"/>
            </w:tcBorders>
            <w:vMerge w:val="continue"/>
            <w:shd w:val="clear" w:color="auto" w:fill="636466"/>
          </w:tcPr>
          <w:p>
            <w:pPr>
              <w:spacing w:after="0"/>
              <w:rPr>
                <w:sz w:val="17"/>
                <w:szCs w:val="17"/>
                <w:color w:val="auto"/>
              </w:rPr>
            </w:pPr>
          </w:p>
        </w:tc>
        <w:tc>
          <w:tcPr>
            <w:tcW w:w="660" w:type="dxa"/>
            <w:vAlign w:val="bottom"/>
            <w:tcBorders>
              <w:right w:val="single" w:sz="8" w:color="636466"/>
            </w:tcBorders>
            <w:vMerge w:val="continue"/>
            <w:shd w:val="clear" w:color="auto" w:fill="636466"/>
          </w:tcPr>
          <w:p>
            <w:pPr>
              <w:spacing w:after="0"/>
              <w:rPr>
                <w:sz w:val="17"/>
                <w:szCs w:val="17"/>
                <w:color w:val="auto"/>
              </w:rPr>
            </w:pPr>
          </w:p>
        </w:tc>
        <w:tc>
          <w:tcPr>
            <w:tcW w:w="760" w:type="dxa"/>
            <w:vAlign w:val="bottom"/>
            <w:tcBorders>
              <w:right w:val="single" w:sz="8" w:color="636466"/>
            </w:tcBorders>
            <w:vMerge w:val="continue"/>
            <w:shd w:val="clear" w:color="auto" w:fill="636466"/>
          </w:tcPr>
          <w:p>
            <w:pPr>
              <w:spacing w:after="0"/>
              <w:rPr>
                <w:sz w:val="17"/>
                <w:szCs w:val="17"/>
                <w:color w:val="auto"/>
              </w:rPr>
            </w:pPr>
          </w:p>
        </w:tc>
        <w:tc>
          <w:tcPr>
            <w:tcW w:w="120" w:type="dxa"/>
            <w:vAlign w:val="bottom"/>
            <w:shd w:val="clear" w:color="auto" w:fill="636466"/>
          </w:tcPr>
          <w:p>
            <w:pPr>
              <w:spacing w:after="0"/>
              <w:rPr>
                <w:sz w:val="17"/>
                <w:szCs w:val="17"/>
                <w:color w:val="auto"/>
              </w:rPr>
            </w:pPr>
          </w:p>
        </w:tc>
        <w:tc>
          <w:tcPr>
            <w:tcW w:w="660" w:type="dxa"/>
            <w:vAlign w:val="bottom"/>
            <w:tcBorders>
              <w:right w:val="single" w:sz="8" w:color="636466"/>
            </w:tcBorders>
            <w:vMerge w:val="continue"/>
            <w:shd w:val="clear" w:color="auto" w:fill="636466"/>
          </w:tcPr>
          <w:p>
            <w:pPr>
              <w:spacing w:after="0"/>
              <w:rPr>
                <w:sz w:val="17"/>
                <w:szCs w:val="17"/>
                <w:color w:val="auto"/>
              </w:rPr>
            </w:pPr>
          </w:p>
        </w:tc>
        <w:tc>
          <w:tcPr>
            <w:tcW w:w="960" w:type="dxa"/>
            <w:vAlign w:val="bottom"/>
            <w:gridSpan w:val="2"/>
            <w:vMerge w:val="continue"/>
            <w:shd w:val="clear" w:color="auto" w:fill="636466"/>
          </w:tcPr>
          <w:p>
            <w:pPr>
              <w:spacing w:after="0"/>
              <w:rPr>
                <w:sz w:val="17"/>
                <w:szCs w:val="17"/>
                <w:color w:val="auto"/>
              </w:rPr>
            </w:pPr>
          </w:p>
        </w:tc>
        <w:tc>
          <w:tcPr>
            <w:tcW w:w="580" w:type="dxa"/>
            <w:vAlign w:val="bottom"/>
            <w:tcBorders>
              <w:right w:val="single" w:sz="8" w:color="636466"/>
            </w:tcBorders>
            <w:vMerge w:val="continue"/>
            <w:shd w:val="clear" w:color="auto" w:fill="636466"/>
          </w:tcPr>
          <w:p>
            <w:pPr>
              <w:spacing w:after="0"/>
              <w:rPr>
                <w:sz w:val="17"/>
                <w:szCs w:val="17"/>
                <w:color w:val="auto"/>
              </w:rPr>
            </w:pPr>
          </w:p>
        </w:tc>
        <w:tc>
          <w:tcPr>
            <w:tcW w:w="1280" w:type="dxa"/>
            <w:vAlign w:val="bottom"/>
            <w:tcBorders>
              <w:right w:val="single" w:sz="8" w:color="636466"/>
            </w:tcBorders>
            <w:shd w:val="clear" w:color="auto" w:fill="636466"/>
          </w:tcPr>
          <w:p>
            <w:pPr>
              <w:jc w:val="center"/>
              <w:spacing w:after="0"/>
              <w:rPr>
                <w:sz w:val="20"/>
                <w:szCs w:val="20"/>
                <w:color w:val="auto"/>
              </w:rPr>
            </w:pPr>
            <w:r>
              <w:rPr>
                <w:rFonts w:ascii="Arial" w:cs="Arial" w:eastAsia="Arial" w:hAnsi="Arial"/>
                <w:sz w:val="14"/>
                <w:szCs w:val="14"/>
                <w:b w:val="1"/>
                <w:bCs w:val="1"/>
                <w:color w:val="FFFFFF"/>
                <w:w w:val="99"/>
              </w:rPr>
              <w:t>Boards</w:t>
            </w:r>
          </w:p>
        </w:tc>
        <w:tc>
          <w:tcPr>
            <w:tcW w:w="0" w:type="dxa"/>
            <w:vAlign w:val="bottom"/>
          </w:tcPr>
          <w:p>
            <w:pPr>
              <w:spacing w:after="0"/>
              <w:rPr>
                <w:sz w:val="1"/>
                <w:szCs w:val="1"/>
                <w:color w:val="auto"/>
              </w:rPr>
            </w:pPr>
          </w:p>
        </w:tc>
      </w:tr>
      <w:tr>
        <w:trPr>
          <w:trHeight w:val="97"/>
        </w:trPr>
        <w:tc>
          <w:tcPr>
            <w:tcW w:w="1940" w:type="dxa"/>
            <w:vAlign w:val="bottom"/>
            <w:tcBorders>
              <w:left w:val="single" w:sz="8" w:color="636466"/>
              <w:right w:val="single" w:sz="8" w:color="636466"/>
            </w:tcBorders>
            <w:shd w:val="clear" w:color="auto" w:fill="636466"/>
          </w:tcPr>
          <w:p>
            <w:pPr>
              <w:spacing w:after="0"/>
              <w:rPr>
                <w:sz w:val="8"/>
                <w:szCs w:val="8"/>
                <w:color w:val="auto"/>
              </w:rPr>
            </w:pPr>
          </w:p>
        </w:tc>
        <w:tc>
          <w:tcPr>
            <w:tcW w:w="620" w:type="dxa"/>
            <w:vAlign w:val="bottom"/>
            <w:tcBorders>
              <w:right w:val="single" w:sz="8" w:color="636466"/>
            </w:tcBorders>
            <w:shd w:val="clear" w:color="auto" w:fill="636466"/>
          </w:tcPr>
          <w:p>
            <w:pPr>
              <w:spacing w:after="0"/>
              <w:rPr>
                <w:sz w:val="8"/>
                <w:szCs w:val="8"/>
                <w:color w:val="auto"/>
              </w:rPr>
            </w:pPr>
          </w:p>
        </w:tc>
        <w:tc>
          <w:tcPr>
            <w:tcW w:w="780" w:type="dxa"/>
            <w:vAlign w:val="bottom"/>
            <w:tcBorders>
              <w:right w:val="single" w:sz="8" w:color="636466"/>
            </w:tcBorders>
            <w:shd w:val="clear" w:color="auto" w:fill="636466"/>
          </w:tcPr>
          <w:p>
            <w:pPr>
              <w:spacing w:after="0"/>
              <w:rPr>
                <w:sz w:val="8"/>
                <w:szCs w:val="8"/>
                <w:color w:val="auto"/>
              </w:rPr>
            </w:pPr>
          </w:p>
        </w:tc>
        <w:tc>
          <w:tcPr>
            <w:tcW w:w="2900" w:type="dxa"/>
            <w:vAlign w:val="bottom"/>
            <w:tcBorders>
              <w:right w:val="single" w:sz="8" w:color="636466"/>
            </w:tcBorders>
            <w:shd w:val="clear" w:color="auto" w:fill="636466"/>
          </w:tcPr>
          <w:p>
            <w:pPr>
              <w:spacing w:after="0"/>
              <w:rPr>
                <w:sz w:val="8"/>
                <w:szCs w:val="8"/>
                <w:color w:val="auto"/>
              </w:rPr>
            </w:pPr>
          </w:p>
        </w:tc>
        <w:tc>
          <w:tcPr>
            <w:tcW w:w="660" w:type="dxa"/>
            <w:vAlign w:val="bottom"/>
            <w:tcBorders>
              <w:right w:val="single" w:sz="8" w:color="636466"/>
            </w:tcBorders>
            <w:shd w:val="clear" w:color="auto" w:fill="636466"/>
          </w:tcPr>
          <w:p>
            <w:pPr>
              <w:spacing w:after="0"/>
              <w:rPr>
                <w:sz w:val="8"/>
                <w:szCs w:val="8"/>
                <w:color w:val="auto"/>
              </w:rPr>
            </w:pPr>
          </w:p>
        </w:tc>
        <w:tc>
          <w:tcPr>
            <w:tcW w:w="760" w:type="dxa"/>
            <w:vAlign w:val="bottom"/>
            <w:tcBorders>
              <w:right w:val="single" w:sz="8" w:color="636466"/>
            </w:tcBorders>
            <w:shd w:val="clear" w:color="auto" w:fill="636466"/>
          </w:tcPr>
          <w:p>
            <w:pPr>
              <w:spacing w:after="0"/>
              <w:rPr>
                <w:sz w:val="8"/>
                <w:szCs w:val="8"/>
                <w:color w:val="auto"/>
              </w:rPr>
            </w:pPr>
          </w:p>
        </w:tc>
        <w:tc>
          <w:tcPr>
            <w:tcW w:w="120" w:type="dxa"/>
            <w:vAlign w:val="bottom"/>
            <w:shd w:val="clear" w:color="auto" w:fill="636466"/>
          </w:tcPr>
          <w:p>
            <w:pPr>
              <w:spacing w:after="0"/>
              <w:rPr>
                <w:sz w:val="8"/>
                <w:szCs w:val="8"/>
                <w:color w:val="auto"/>
              </w:rPr>
            </w:pPr>
          </w:p>
        </w:tc>
        <w:tc>
          <w:tcPr>
            <w:tcW w:w="660" w:type="dxa"/>
            <w:vAlign w:val="bottom"/>
            <w:tcBorders>
              <w:right w:val="single" w:sz="8" w:color="636466"/>
            </w:tcBorders>
            <w:shd w:val="clear" w:color="auto" w:fill="636466"/>
          </w:tcPr>
          <w:p>
            <w:pPr>
              <w:spacing w:after="0"/>
              <w:rPr>
                <w:sz w:val="8"/>
                <w:szCs w:val="8"/>
                <w:color w:val="auto"/>
              </w:rPr>
            </w:pPr>
          </w:p>
        </w:tc>
        <w:tc>
          <w:tcPr>
            <w:tcW w:w="760" w:type="dxa"/>
            <w:vAlign w:val="bottom"/>
            <w:tcBorders>
              <w:right w:val="single" w:sz="8" w:color="636466"/>
            </w:tcBorders>
            <w:shd w:val="clear" w:color="auto" w:fill="636466"/>
          </w:tcPr>
          <w:p>
            <w:pPr>
              <w:spacing w:after="0"/>
              <w:rPr>
                <w:sz w:val="8"/>
                <w:szCs w:val="8"/>
                <w:color w:val="auto"/>
              </w:rPr>
            </w:pPr>
          </w:p>
        </w:tc>
        <w:tc>
          <w:tcPr>
            <w:tcW w:w="200" w:type="dxa"/>
            <w:vAlign w:val="bottom"/>
            <w:shd w:val="clear" w:color="auto" w:fill="636466"/>
          </w:tcPr>
          <w:p>
            <w:pPr>
              <w:spacing w:after="0"/>
              <w:rPr>
                <w:sz w:val="8"/>
                <w:szCs w:val="8"/>
                <w:color w:val="auto"/>
              </w:rPr>
            </w:pPr>
          </w:p>
        </w:tc>
        <w:tc>
          <w:tcPr>
            <w:tcW w:w="580" w:type="dxa"/>
            <w:vAlign w:val="bottom"/>
            <w:tcBorders>
              <w:right w:val="single" w:sz="8" w:color="636466"/>
            </w:tcBorders>
            <w:shd w:val="clear" w:color="auto" w:fill="636466"/>
          </w:tcPr>
          <w:p>
            <w:pPr>
              <w:spacing w:after="0"/>
              <w:rPr>
                <w:sz w:val="8"/>
                <w:szCs w:val="8"/>
                <w:color w:val="auto"/>
              </w:rPr>
            </w:pPr>
          </w:p>
        </w:tc>
        <w:tc>
          <w:tcPr>
            <w:tcW w:w="1280" w:type="dxa"/>
            <w:vAlign w:val="bottom"/>
            <w:tcBorders>
              <w:right w:val="single" w:sz="8" w:color="636466"/>
            </w:tcBorders>
            <w:shd w:val="clear" w:color="auto" w:fill="636466"/>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00" w:type="dxa"/>
            <w:vAlign w:val="bottom"/>
          </w:tcPr>
          <w:p>
            <w:pPr>
              <w:jc w:val="center"/>
              <w:ind w:left="1606"/>
              <w:spacing w:after="0"/>
              <w:rPr>
                <w:sz w:val="20"/>
                <w:szCs w:val="20"/>
                <w:color w:val="auto"/>
              </w:rPr>
            </w:pPr>
            <w:r>
              <w:rPr>
                <w:rFonts w:ascii="Arial" w:cs="Arial" w:eastAsia="Arial" w:hAnsi="Arial"/>
                <w:sz w:val="18"/>
                <w:szCs w:val="18"/>
                <w:b w:val="1"/>
                <w:bCs w:val="1"/>
                <w:color w:val="auto"/>
                <w:w w:val="99"/>
              </w:rPr>
              <w:t>Class I</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John W. Norris, III</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68</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2001</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Chairman, Environmental Funders</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vMerge w:val="restart"/>
          </w:tcPr>
          <w:p>
            <w:pPr>
              <w:jc w:val="center"/>
              <w:ind w:right="48"/>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Network</w:t>
            </w: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40" w:type="dxa"/>
            <w:vAlign w:val="bottom"/>
            <w:tcBorders>
              <w:left w:val="single" w:sz="8" w:color="auto"/>
              <w:right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Karen H. Quintos</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62</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2014</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Former EVP and Chief Customer Officer,</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C</w:t>
            </w:r>
          </w:p>
        </w:tc>
        <w:tc>
          <w:tcPr>
            <w:tcW w:w="7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112"/>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Cummins Inc.</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Dell Technologies Inc.</w:t>
            </w: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1940" w:type="dxa"/>
            <w:vAlign w:val="bottom"/>
            <w:tcBorders>
              <w:left w:val="single" w:sz="8" w:color="auto"/>
              <w:right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Shane D. Wall</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2020</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Former Chief Technology</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C</w:t>
            </w: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112"/>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Borders>
              <w:left w:val="single" w:sz="8" w:color="auto"/>
              <w:right w:val="single" w:sz="8" w:color="auto"/>
            </w:tcBorders>
            <w:vMerge w:val="continue"/>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Officer and Global Head,</w:t>
            </w:r>
          </w:p>
        </w:tc>
        <w:tc>
          <w:tcPr>
            <w:tcW w:w="660" w:type="dxa"/>
            <w:vAlign w:val="bottom"/>
            <w:tcBorders>
              <w:right w:val="single" w:sz="8" w:color="auto"/>
            </w:tcBorders>
            <w:vMerge w:val="continue"/>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HP Labs of HP Inc.</w:t>
            </w:r>
          </w:p>
        </w:tc>
        <w:tc>
          <w:tcPr>
            <w:tcW w:w="6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00" w:type="dxa"/>
            <w:vAlign w:val="bottom"/>
          </w:tcPr>
          <w:p>
            <w:pPr>
              <w:jc w:val="center"/>
              <w:ind w:left="1586"/>
              <w:spacing w:after="0"/>
              <w:rPr>
                <w:sz w:val="20"/>
                <w:szCs w:val="20"/>
                <w:color w:val="auto"/>
              </w:rPr>
            </w:pPr>
            <w:r>
              <w:rPr>
                <w:rFonts w:ascii="Arial" w:cs="Arial" w:eastAsia="Arial" w:hAnsi="Arial"/>
                <w:sz w:val="18"/>
                <w:szCs w:val="18"/>
                <w:b w:val="1"/>
                <w:bCs w:val="1"/>
                <w:color w:val="auto"/>
              </w:rPr>
              <w:t>Class II</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Sherry L. Buck</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2019</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Former CFO, W.L. Gore &amp; Associates</w:t>
            </w:r>
          </w:p>
        </w:tc>
        <w:tc>
          <w:tcPr>
            <w:tcW w:w="660" w:type="dxa"/>
            <w:vAlign w:val="bottom"/>
            <w:tcBorders>
              <w:right w:val="single" w:sz="8" w:color="auto"/>
            </w:tcBorders>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 F</w:t>
            </w:r>
          </w:p>
        </w:tc>
        <w:tc>
          <w:tcPr>
            <w:tcW w:w="1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Borders>
              <w:right w:val="single" w:sz="8" w:color="auto"/>
            </w:tcBorders>
          </w:tcPr>
          <w:p>
            <w:pPr>
              <w:jc w:val="center"/>
              <w:ind w:right="112"/>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940" w:type="dxa"/>
            <w:vAlign w:val="bottom"/>
            <w:tcBorders>
              <w:left w:val="single" w:sz="8" w:color="auto"/>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29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Todd J. Teske</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2011</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Independent Chair of the Board; Former</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112"/>
              <w:spacing w:after="0"/>
              <w:rPr>
                <w:sz w:val="20"/>
                <w:szCs w:val="20"/>
                <w:color w:val="auto"/>
              </w:rPr>
            </w:pPr>
            <w:r>
              <w:rPr>
                <w:rFonts w:ascii="Arial" w:cs="Arial" w:eastAsia="Arial" w:hAnsi="Arial"/>
                <w:sz w:val="14"/>
                <w:szCs w:val="14"/>
                <w:b w:val="1"/>
                <w:bCs w:val="1"/>
                <w:color w:val="auto"/>
              </w:rPr>
              <w:t>C</w:t>
            </w:r>
          </w:p>
        </w:tc>
        <w:tc>
          <w:tcPr>
            <w:tcW w:w="1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tcBorders>
              <w:left w:val="single" w:sz="8" w:color="auto"/>
              <w:right w:val="single" w:sz="8" w:color="auto"/>
            </w:tcBorders>
            <w:vMerge w:val="continue"/>
          </w:tcPr>
          <w:p>
            <w:pPr>
              <w:spacing w:after="0"/>
              <w:rPr>
                <w:sz w:val="15"/>
                <w:szCs w:val="15"/>
                <w:color w:val="auto"/>
              </w:rPr>
            </w:pPr>
          </w:p>
        </w:tc>
        <w:tc>
          <w:tcPr>
            <w:tcW w:w="620" w:type="dxa"/>
            <w:vAlign w:val="bottom"/>
            <w:tcBorders>
              <w:right w:val="single" w:sz="8" w:color="auto"/>
            </w:tcBorders>
            <w:vMerge w:val="continue"/>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Chair, President and CEO, Briggs &amp; Stratton</w:t>
            </w:r>
          </w:p>
        </w:tc>
        <w:tc>
          <w:tcPr>
            <w:tcW w:w="660" w:type="dxa"/>
            <w:vAlign w:val="bottom"/>
            <w:tcBorders>
              <w:right w:val="single" w:sz="8" w:color="auto"/>
            </w:tcBorders>
            <w:vMerge w:val="continue"/>
          </w:tcPr>
          <w:p>
            <w:pPr>
              <w:spacing w:after="0"/>
              <w:rPr>
                <w:sz w:val="15"/>
                <w:szCs w:val="15"/>
                <w:color w:val="auto"/>
              </w:rPr>
            </w:pPr>
          </w:p>
        </w:tc>
        <w:tc>
          <w:tcPr>
            <w:tcW w:w="76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2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w:t>
            </w:r>
          </w:p>
        </w:tc>
        <w:tc>
          <w:tcPr>
            <w:tcW w:w="6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Jon Vander Ark</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President and CEO, Republic Services, Inc.</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F</w:t>
            </w: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Republic Services,</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Inc.</w:t>
            </w:r>
          </w:p>
        </w:tc>
        <w:tc>
          <w:tcPr>
            <w:tcW w:w="0" w:type="dxa"/>
            <w:vAlign w:val="bottom"/>
          </w:tcPr>
          <w:p>
            <w:pPr>
              <w:spacing w:after="0"/>
              <w:rPr>
                <w:sz w:val="1"/>
                <w:szCs w:val="1"/>
                <w:color w:val="auto"/>
              </w:rPr>
            </w:pPr>
          </w:p>
        </w:tc>
      </w:tr>
      <w:tr>
        <w:trPr>
          <w:trHeight w:val="48"/>
        </w:trPr>
        <w:tc>
          <w:tcPr>
            <w:tcW w:w="1940" w:type="dxa"/>
            <w:vAlign w:val="bottom"/>
            <w:tcBorders>
              <w:left w:val="single" w:sz="8" w:color="auto"/>
              <w:right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00" w:type="dxa"/>
            <w:vAlign w:val="bottom"/>
          </w:tcPr>
          <w:p>
            <w:pPr>
              <w:jc w:val="center"/>
              <w:ind w:left="1586"/>
              <w:spacing w:after="0"/>
              <w:rPr>
                <w:sz w:val="20"/>
                <w:szCs w:val="20"/>
                <w:color w:val="auto"/>
              </w:rPr>
            </w:pPr>
            <w:r>
              <w:rPr>
                <w:rFonts w:ascii="Arial" w:cs="Arial" w:eastAsia="Arial" w:hAnsi="Arial"/>
                <w:sz w:val="18"/>
                <w:szCs w:val="18"/>
                <w:b w:val="1"/>
                <w:bCs w:val="1"/>
                <w:color w:val="auto"/>
                <w:w w:val="99"/>
              </w:rPr>
              <w:t>Class III</w:t>
            </w: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1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Tracy A. Embree</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52</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2025</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Former President of Otis Americas, a</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right w:val="single" w:sz="8" w:color="auto"/>
            </w:tcBorders>
            <w:vMerge w:val="restart"/>
          </w:tcPr>
          <w:p>
            <w:pPr>
              <w:jc w:val="center"/>
              <w:ind w:right="48"/>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2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KLA Corp.</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division of Otis Worldwide Corp.</w:t>
            </w: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ind w:left="280"/>
              <w:spacing w:after="0"/>
              <w:rPr>
                <w:sz w:val="20"/>
                <w:szCs w:val="20"/>
                <w:color w:val="auto"/>
              </w:rPr>
            </w:pPr>
            <w:r>
              <w:rPr>
                <w:rFonts w:ascii="Arial" w:cs="Arial" w:eastAsia="Arial" w:hAnsi="Arial"/>
                <w:sz w:val="14"/>
                <w:szCs w:val="14"/>
                <w:color w:val="auto"/>
              </w:rPr>
              <w:t>Kirby Corp.</w:t>
            </w:r>
          </w:p>
        </w:tc>
        <w:tc>
          <w:tcPr>
            <w:tcW w:w="0" w:type="dxa"/>
            <w:vAlign w:val="bottom"/>
          </w:tcPr>
          <w:p>
            <w:pPr>
              <w:spacing w:after="0"/>
              <w:rPr>
                <w:sz w:val="1"/>
                <w:szCs w:val="1"/>
                <w:color w:val="auto"/>
              </w:rPr>
            </w:pPr>
          </w:p>
        </w:tc>
      </w:tr>
      <w:tr>
        <w:trPr>
          <w:trHeight w:val="75"/>
        </w:trPr>
        <w:tc>
          <w:tcPr>
            <w:tcW w:w="1940" w:type="dxa"/>
            <w:vAlign w:val="bottom"/>
            <w:tcBorders>
              <w:left w:val="single" w:sz="8" w:color="auto"/>
              <w:right w:val="single" w:sz="8" w:color="auto"/>
            </w:tcBorders>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29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Alok Maskara</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2022</w:t>
            </w:r>
          </w:p>
        </w:tc>
        <w:tc>
          <w:tcPr>
            <w:tcW w:w="29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Chief Executive Officer, Lennox International</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CEO</w:t>
            </w:r>
          </w:p>
        </w:tc>
        <w:tc>
          <w:tcPr>
            <w:tcW w:w="7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112"/>
              <w:spacing w:after="0"/>
              <w:rPr>
                <w:sz w:val="20"/>
                <w:szCs w:val="20"/>
                <w:color w:val="auto"/>
              </w:rPr>
            </w:pPr>
            <w:r>
              <w:rPr>
                <w:rFonts w:ascii="Wingdings" w:cs="Wingdings" w:eastAsia="Wingdings" w:hAnsi="Wingdings"/>
                <w:sz w:val="25"/>
                <w:szCs w:val="25"/>
                <w:b w:val="1"/>
                <w:bCs w:val="1"/>
                <w:color w:val="auto"/>
              </w:rPr>
              <w:t>ü</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Franklin Electric</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continue"/>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Inc.</w:t>
            </w: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 Inc.</w:t>
            </w:r>
          </w:p>
        </w:tc>
        <w:tc>
          <w:tcPr>
            <w:tcW w:w="0" w:type="dxa"/>
            <w:vAlign w:val="bottom"/>
          </w:tcPr>
          <w:p>
            <w:pPr>
              <w:spacing w:after="0"/>
              <w:rPr>
                <w:sz w:val="1"/>
                <w:szCs w:val="1"/>
                <w:color w:val="auto"/>
              </w:rPr>
            </w:pPr>
          </w:p>
        </w:tc>
      </w:tr>
      <w:tr>
        <w:trPr>
          <w:trHeight w:val="48"/>
        </w:trPr>
        <w:tc>
          <w:tcPr>
            <w:tcW w:w="1940" w:type="dxa"/>
            <w:vAlign w:val="bottom"/>
            <w:tcBorders>
              <w:left w:val="single" w:sz="8" w:color="auto"/>
              <w:right w:val="single" w:sz="8" w:color="auto"/>
            </w:tcBorders>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900" w:type="dxa"/>
            <w:vAlign w:val="bottom"/>
            <w:tcBorders>
              <w:righ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Sivasankaran</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60</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290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Former President and CEO, ChampionX</w:t>
            </w:r>
          </w:p>
        </w:tc>
        <w:tc>
          <w:tcPr>
            <w:tcW w:w="6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vMerge w:val="restart"/>
          </w:tcPr>
          <w:p>
            <w:pPr>
              <w:jc w:val="center"/>
              <w:spacing w:after="0"/>
              <w:rPr>
                <w:sz w:val="20"/>
                <w:szCs w:val="20"/>
                <w:color w:val="auto"/>
              </w:rPr>
            </w:pPr>
            <w:r>
              <w:rPr>
                <w:rFonts w:ascii="Wingdings" w:cs="Wingdings" w:eastAsia="Wingdings" w:hAnsi="Wingdings"/>
                <w:sz w:val="25"/>
                <w:szCs w:val="25"/>
                <w:b w:val="1"/>
                <w:bCs w:val="1"/>
                <w:color w:val="auto"/>
              </w:rPr>
              <w:t>ü</w:t>
            </w:r>
          </w:p>
        </w:tc>
        <w:tc>
          <w:tcPr>
            <w:tcW w:w="120" w:type="dxa"/>
            <w:vAlign w:val="bottom"/>
          </w:tcPr>
          <w:p>
            <w:pPr>
              <w:spacing w:after="0"/>
              <w:rPr>
                <w:sz w:val="16"/>
                <w:szCs w:val="16"/>
                <w:color w:val="auto"/>
              </w:rPr>
            </w:pPr>
          </w:p>
        </w:tc>
        <w:tc>
          <w:tcPr>
            <w:tcW w:w="660" w:type="dxa"/>
            <w:vAlign w:val="bottom"/>
            <w:tcBorders>
              <w:right w:val="single" w:sz="8" w:color="auto"/>
            </w:tcBorders>
            <w:vMerge w:val="restart"/>
          </w:tcPr>
          <w:p>
            <w:pPr>
              <w:jc w:val="center"/>
              <w:ind w:right="48"/>
              <w:spacing w:after="0"/>
              <w:rPr>
                <w:sz w:val="20"/>
                <w:szCs w:val="20"/>
                <w:color w:val="auto"/>
              </w:rPr>
            </w:pPr>
            <w:r>
              <w:rPr>
                <w:rFonts w:ascii="Wingdings" w:cs="Wingdings" w:eastAsia="Wingdings" w:hAnsi="Wingdings"/>
                <w:sz w:val="25"/>
                <w:szCs w:val="25"/>
                <w:b w:val="1"/>
                <w:bCs w:val="1"/>
                <w:color w:val="auto"/>
              </w:rPr>
              <w:t>ü</w:t>
            </w:r>
          </w:p>
        </w:tc>
        <w:tc>
          <w:tcPr>
            <w:tcW w:w="7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Solstice Advanced</w:t>
            </w:r>
          </w:p>
        </w:tc>
        <w:tc>
          <w:tcPr>
            <w:tcW w:w="0" w:type="dxa"/>
            <w:vAlign w:val="bottom"/>
          </w:tcPr>
          <w:p>
            <w:pPr>
              <w:spacing w:after="0"/>
              <w:rPr>
                <w:sz w:val="1"/>
                <w:szCs w:val="1"/>
                <w:color w:val="auto"/>
              </w:rPr>
            </w:pPr>
          </w:p>
        </w:tc>
      </w:tr>
      <w:tr>
        <w:trPr>
          <w:trHeight w:val="142"/>
        </w:trPr>
        <w:tc>
          <w:tcPr>
            <w:tcW w:w="194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4"/>
                <w:szCs w:val="14"/>
                <w:color w:val="auto"/>
              </w:rPr>
              <w:t>Somasundaram</w:t>
            </w:r>
          </w:p>
        </w:tc>
        <w:tc>
          <w:tcPr>
            <w:tcW w:w="6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290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Materials Inc.</w:t>
            </w:r>
          </w:p>
        </w:tc>
        <w:tc>
          <w:tcPr>
            <w:tcW w:w="0" w:type="dxa"/>
            <w:vAlign w:val="bottom"/>
          </w:tcPr>
          <w:p>
            <w:pPr>
              <w:spacing w:after="0"/>
              <w:rPr>
                <w:sz w:val="1"/>
                <w:szCs w:val="1"/>
                <w:color w:val="auto"/>
              </w:rPr>
            </w:pPr>
          </w:p>
        </w:tc>
      </w:tr>
      <w:tr>
        <w:trPr>
          <w:trHeight w:val="48"/>
        </w:trPr>
        <w:tc>
          <w:tcPr>
            <w:tcW w:w="1940" w:type="dxa"/>
            <w:vAlign w:val="bottom"/>
            <w:tcBorders>
              <w:left w:val="single" w:sz="8" w:color="auto"/>
              <w:righ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2900" w:type="dxa"/>
            <w:vAlign w:val="bottom"/>
            <w:tcBorders>
              <w:right w:val="single" w:sz="8" w:color="auto"/>
            </w:tcBorders>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29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12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7780" w:type="dxa"/>
            <w:vAlign w:val="bottom"/>
            <w:gridSpan w:val="7"/>
          </w:tcPr>
          <w:p>
            <w:pPr>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BGC </w:t>
            </w:r>
            <w:r>
              <w:rPr>
                <w:rFonts w:ascii="Arial" w:cs="Arial" w:eastAsia="Arial" w:hAnsi="Arial"/>
                <w:sz w:val="14"/>
                <w:szCs w:val="14"/>
                <w:color w:val="auto"/>
              </w:rPr>
              <w:t>– Board Governance Committee;</w:t>
            </w:r>
            <w:r>
              <w:rPr>
                <w:rFonts w:ascii="Arial" w:cs="Arial" w:eastAsia="Arial" w:hAnsi="Arial"/>
                <w:sz w:val="14"/>
                <w:szCs w:val="14"/>
                <w:b w:val="1"/>
                <w:bCs w:val="1"/>
                <w:color w:val="auto"/>
              </w:rPr>
              <w:t xml:space="preserve"> CHRC </w:t>
            </w:r>
            <w:r>
              <w:rPr>
                <w:rFonts w:ascii="Arial" w:cs="Arial" w:eastAsia="Arial" w:hAnsi="Arial"/>
                <w:sz w:val="14"/>
                <w:szCs w:val="14"/>
                <w:color w:val="auto"/>
              </w:rPr>
              <w:t>– Compensation &amp; Human Resources Committee;</w:t>
            </w: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24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EC </w:t>
            </w:r>
            <w:r>
              <w:rPr>
                <w:rFonts w:ascii="Arial" w:cs="Arial" w:eastAsia="Arial" w:hAnsi="Arial"/>
                <w:sz w:val="14"/>
                <w:szCs w:val="14"/>
                <w:color w:val="auto"/>
              </w:rPr>
              <w:t>– Executive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 Chair;</w:t>
            </w:r>
            <w:r>
              <w:rPr>
                <w:rFonts w:ascii="Arial" w:cs="Arial" w:eastAsia="Arial" w:hAnsi="Arial"/>
                <w:sz w:val="14"/>
                <w:szCs w:val="14"/>
                <w:b w:val="1"/>
                <w:bCs w:val="1"/>
                <w:color w:val="auto"/>
              </w:rPr>
              <w:t xml:space="preserve"> F </w:t>
            </w:r>
            <w:r>
              <w:rPr>
                <w:rFonts w:ascii="Arial" w:cs="Arial" w:eastAsia="Arial" w:hAnsi="Arial"/>
                <w:sz w:val="14"/>
                <w:szCs w:val="14"/>
                <w:color w:val="auto"/>
              </w:rPr>
              <w:t>– Financial expert</w:t>
            </w: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94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TENURE</w:t>
            </w:r>
          </w:p>
        </w:tc>
        <w:tc>
          <w:tcPr>
            <w:tcW w:w="3560" w:type="dxa"/>
            <w:vAlign w:val="bottom"/>
            <w:gridSpan w:val="2"/>
          </w:tcPr>
          <w:p>
            <w:pPr>
              <w:jc w:val="center"/>
              <w:ind w:left="886"/>
              <w:spacing w:after="0"/>
              <w:rPr>
                <w:sz w:val="20"/>
                <w:szCs w:val="20"/>
                <w:color w:val="auto"/>
              </w:rPr>
            </w:pPr>
            <w:r>
              <w:rPr>
                <w:rFonts w:ascii="Arial" w:cs="Arial" w:eastAsia="Arial" w:hAnsi="Arial"/>
                <w:sz w:val="14"/>
                <w:szCs w:val="14"/>
                <w:b w:val="1"/>
                <w:bCs w:val="1"/>
                <w:color w:val="auto"/>
              </w:rPr>
              <w:t>BOARD COMPOSITION</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3"/>
          </w:tcPr>
          <w:p>
            <w:pPr>
              <w:ind w:left="400"/>
              <w:spacing w:after="0"/>
              <w:rPr>
                <w:sz w:val="20"/>
                <w:szCs w:val="20"/>
                <w:color w:val="auto"/>
              </w:rPr>
            </w:pPr>
            <w:r>
              <w:rPr>
                <w:rFonts w:ascii="Arial" w:cs="Arial" w:eastAsia="Arial" w:hAnsi="Arial"/>
                <w:sz w:val="14"/>
                <w:szCs w:val="14"/>
                <w:b w:val="1"/>
                <w:bCs w:val="1"/>
                <w:color w:val="auto"/>
              </w:rPr>
              <w:t>INDEPENDENCE</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-4284345</wp:posOffset>
            </wp:positionV>
            <wp:extent cx="19545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5453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61595</wp:posOffset>
            </wp:positionV>
            <wp:extent cx="5915025" cy="1560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15025"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9" w:name="page10"/>
    <w:bookmarkEnd w:id="9"/>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t>Executive Summary</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-12065</wp:posOffset>
            </wp:positionV>
            <wp:extent cx="51949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directors bring a well-rounded variety of experience and skills and represent a mix of deep knowledge of the Company and fresh perspectives. The experience and skills that the Board considers in evaluating its membership, and which inform Board succession planning and our director nomination processes, are highlighted in the following table. The table also identifies which directors have particularly strong experience and skills in the areas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23430" cy="4594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3430" cy="459486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82"/>
        </w:trPr>
        <w:tc>
          <w:tcPr>
            <w:tcW w:w="710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w:t>
            </w:r>
          </w:p>
        </w:tc>
        <w:tc>
          <w:tcPr>
            <w:tcW w:w="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w:t>
            </w:r>
          </w:p>
        </w:tc>
        <w:tc>
          <w:tcPr>
            <w:tcW w:w="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  </w:t>
            </w:r>
          </w:p>
        </w:tc>
        <w:tc>
          <w:tcPr>
            <w:tcW w:w="46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w:t>
            </w:r>
          </w:p>
        </w:tc>
        <w:tc>
          <w:tcPr>
            <w:tcW w:w="4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 </w:t>
            </w: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20"/>
                <w:szCs w:val="20"/>
                <w:color w:val="auto"/>
              </w:rPr>
              <w:t> </w:t>
            </w:r>
          </w:p>
        </w:tc>
      </w:tr>
    </w:tbl>
    <w:p>
      <w:pPr>
        <w:spacing w:after="0" w:line="12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FFFFFF"/>
        </w:rPr>
        <w:t>Director Skills and Experience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Financial/Accounting</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top w:val="single" w:sz="8" w:color="auto"/>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9"/>
                <w:szCs w:val="19"/>
                <w:color w:val="auto"/>
              </w:rPr>
            </w:pP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6"/>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Finance &amp; financial accounting expertise, including experience as a financial officer, accounting officer,</w:t>
            </w: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controller, accountant, or auditor</w:t>
            </w: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Executive Leadership</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as a C-Suite executive of a public company</w:t>
            </w: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Manufacturing/Distribution</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managing large scale manufacturing or distribution operations</w:t>
            </w: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Environmental Sustainability/Climate-Related Risks</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environmental sustainability/climate-related risks</w:t>
            </w: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ERM</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enterprise risk management, including identifying, assessing &amp; managing significant risks</w:t>
            </w: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Human Capital Management</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5"/>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Experience establishing and leading compensation and benefit programs, career development programs &amp;</w:t>
            </w: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inclusion &amp; belonging efforts</w:t>
            </w: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Marketing/Sales</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growing market share and revenue through a variety of go-to-market channels</w:t>
            </w: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Cybersecurity</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Work experience or a certification in cybersecurity or experience in security architecture</w:t>
            </w: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Innovation/Technology</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29"/>
        </w:trPr>
        <w:tc>
          <w:tcPr>
            <w:tcW w:w="7100" w:type="dxa"/>
            <w:vAlign w:val="bottom"/>
            <w:tcBorders>
              <w:right w:val="single" w:sz="8" w:color="auto"/>
            </w:tcBorders>
            <w:vMerge w:val="restart"/>
          </w:tcPr>
          <w:p>
            <w:pPr>
              <w:ind w:left="120"/>
              <w:spacing w:after="0"/>
              <w:rPr>
                <w:sz w:val="20"/>
                <w:szCs w:val="20"/>
                <w:color w:val="auto"/>
              </w:rPr>
            </w:pPr>
            <w:r>
              <w:rPr>
                <w:rFonts w:ascii="Arial" w:cs="Arial" w:eastAsia="Arial" w:hAnsi="Arial"/>
                <w:sz w:val="14"/>
                <w:szCs w:val="14"/>
                <w:color w:val="auto"/>
              </w:rPr>
              <w:t>Experience in engineering, design &amp; technology innovation</w:t>
            </w: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tcBorders>
              <w:right w:val="single" w:sz="8" w:color="auto"/>
            </w:tcBorders>
            <w:vMerge w:val="continue"/>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7100" w:type="dxa"/>
            <w:vAlign w:val="bottom"/>
            <w:tcBorders>
              <w:right w:val="single" w:sz="8" w:color="auto"/>
            </w:tcBorders>
            <w:vMerge w:val="continue"/>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Strategic Planning/Oversight</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tcBorders>
              <w:right w:val="single" w:sz="8" w:color="auto"/>
            </w:tcBorders>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460" w:type="dxa"/>
            <w:vAlign w:val="bottom"/>
            <w:gridSpan w:val="2"/>
            <w:vMerge w:val="restart"/>
          </w:tcPr>
          <w:p>
            <w:pPr>
              <w:ind w:left="120"/>
              <w:spacing w:after="0"/>
              <w:rPr>
                <w:sz w:val="20"/>
                <w:szCs w:val="20"/>
                <w:color w:val="auto"/>
              </w:rPr>
            </w:pPr>
            <w:r>
              <w:rPr>
                <w:rFonts w:ascii="Wingdings" w:cs="Wingdings" w:eastAsia="Wingdings" w:hAnsi="Wingdings"/>
                <w:sz w:val="25"/>
                <w:szCs w:val="25"/>
                <w:b w:val="1"/>
                <w:bCs w:val="1"/>
                <w:color w:val="auto"/>
              </w:rPr>
              <w:t>ü</w:t>
            </w:r>
          </w:p>
        </w:tc>
        <w:tc>
          <w:tcPr>
            <w:tcW w:w="0" w:type="dxa"/>
            <w:vAlign w:val="bottom"/>
          </w:tcPr>
          <w:p>
            <w:pPr>
              <w:spacing w:after="0"/>
              <w:rPr>
                <w:sz w:val="1"/>
                <w:szCs w:val="1"/>
                <w:color w:val="auto"/>
              </w:rPr>
            </w:pPr>
          </w:p>
        </w:tc>
      </w:tr>
      <w:tr>
        <w:trPr>
          <w:trHeight w:val="175"/>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Experience in strategic planning, developing business strategies &amp; mergers &amp; acquisitions in large</w:t>
            </w: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10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organizations operating in multiple geographies</w:t>
            </w: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60" w:type="dxa"/>
            <w:vAlign w:val="bottom"/>
            <w:tcBorders>
              <w:bottom w:val="single" w:sz="8" w:color="auto"/>
              <w:right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7100" w:type="dxa"/>
            <w:vAlign w:val="bottom"/>
          </w:tcPr>
          <w:p>
            <w:pPr>
              <w:ind w:left="5680"/>
              <w:spacing w:after="0"/>
              <w:rPr>
                <w:sz w:val="20"/>
                <w:szCs w:val="20"/>
                <w:color w:val="auto"/>
              </w:rPr>
            </w:pPr>
            <w:r>
              <w:rPr>
                <w:rFonts w:ascii="Arial" w:cs="Arial" w:eastAsia="Arial" w:hAnsi="Arial"/>
                <w:sz w:val="18"/>
                <w:szCs w:val="18"/>
                <w:color w:val="auto"/>
              </w:rPr>
              <w:t>-6-</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10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0" w:name="page11"/>
    <w:bookmarkEnd w:id="10"/>
    <w:p>
      <w:pPr>
        <w:ind w:left="360"/>
        <w:spacing w:after="0"/>
        <w:rPr>
          <w:sz w:val="20"/>
          <w:szCs w:val="20"/>
          <w:color w:val="auto"/>
        </w:rPr>
      </w:pPr>
      <w:r>
        <w:rPr>
          <w:rFonts w:ascii="Arial" w:cs="Arial" w:eastAsia="Arial" w:hAnsi="Arial"/>
          <w:sz w:val="29"/>
          <w:szCs w:val="29"/>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832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t>Executive Summary</w:t>
      </w: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-12065</wp:posOffset>
            </wp:positionV>
            <wp:extent cx="4877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77435" cy="8255"/>
                    </a:xfrm>
                    <a:prstGeom prst="rect">
                      <a:avLst/>
                    </a:prstGeom>
                    <a:noFill/>
                  </pic:spPr>
                </pic:pic>
              </a:graphicData>
            </a:graphic>
          </wp:anchor>
        </w:drawing>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management team and the Board are focused on serving the long-term interests of Lennox’s stockholders. The Board’s primary responsibility is the oversight of the Company’s management team, and the Board has a number of measures in place to continually enhance Board composition, efficiency, and effectiveness, demonstrated through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Independent Board Chair</w:t>
            </w:r>
          </w:p>
        </w:tc>
        <w:tc>
          <w:tcPr>
            <w:tcW w:w="360" w:type="dxa"/>
            <w:vAlign w:val="bottom"/>
          </w:tcPr>
          <w:p>
            <w:pPr>
              <w:spacing w:after="0"/>
              <w:rPr>
                <w:sz w:val="17"/>
                <w:szCs w:val="17"/>
                <w:color w:val="auto"/>
              </w:rPr>
            </w:pPr>
          </w:p>
        </w:tc>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Mandatory Board Retirement age: 75</w:t>
            </w: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Majority Voting </w:t>
            </w:r>
            <w:r>
              <w:rPr>
                <w:rFonts w:ascii="Arial" w:cs="Arial" w:eastAsia="Arial" w:hAnsi="Arial"/>
                <w:sz w:val="14"/>
                <w:szCs w:val="14"/>
                <w:color w:val="auto"/>
              </w:rPr>
              <w:t>(with carve-out in case of contested</w:t>
            </w: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w:t>
            </w: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Key Committees 100% independent </w:t>
            </w:r>
            <w:r>
              <w:rPr>
                <w:rFonts w:ascii="Arial" w:cs="Arial" w:eastAsia="Arial" w:hAnsi="Arial"/>
                <w:sz w:val="14"/>
                <w:szCs w:val="14"/>
                <w:color w:val="auto"/>
              </w:rPr>
              <w:t>(Audit, Compensation, and Governance</w:t>
            </w:r>
          </w:p>
        </w:tc>
        <w:tc>
          <w:tcPr>
            <w:tcW w:w="0" w:type="dxa"/>
            <w:vAlign w:val="bottom"/>
          </w:tcPr>
          <w:p>
            <w:pPr>
              <w:spacing w:after="0"/>
              <w:rPr>
                <w:sz w:val="1"/>
                <w:szCs w:val="1"/>
                <w:color w:val="auto"/>
              </w:rPr>
            </w:pPr>
          </w:p>
        </w:tc>
      </w:tr>
      <w:tr>
        <w:trPr>
          <w:trHeight w:val="102"/>
        </w:trPr>
        <w:tc>
          <w:tcPr>
            <w:tcW w:w="5440" w:type="dxa"/>
            <w:vAlign w:val="bottom"/>
            <w:vMerge w:val="restart"/>
          </w:tcPr>
          <w:p>
            <w:pPr>
              <w:ind w:left="20"/>
              <w:spacing w:after="0"/>
              <w:rPr>
                <w:sz w:val="20"/>
                <w:szCs w:val="20"/>
                <w:color w:val="auto"/>
              </w:rPr>
            </w:pPr>
            <w:r>
              <w:rPr>
                <w:rFonts w:ascii="Arial" w:cs="Arial" w:eastAsia="Arial" w:hAnsi="Arial"/>
                <w:sz w:val="14"/>
                <w:szCs w:val="14"/>
                <w:color w:val="auto"/>
              </w:rPr>
              <w:t>elections)</w:t>
            </w:r>
          </w:p>
        </w:tc>
        <w:tc>
          <w:tcPr>
            <w:tcW w:w="360" w:type="dxa"/>
            <w:vAlign w:val="bottom"/>
            <w:vMerge w:val="continue"/>
          </w:tcPr>
          <w:p>
            <w:pPr>
              <w:spacing w:after="0"/>
              <w:rPr>
                <w:sz w:val="8"/>
                <w:szCs w:val="8"/>
                <w:color w:val="auto"/>
              </w:rPr>
            </w:pPr>
          </w:p>
        </w:tc>
        <w:tc>
          <w:tcPr>
            <w:tcW w:w="5440" w:type="dxa"/>
            <w:vAlign w:val="bottom"/>
            <w:vMerge w:val="restart"/>
          </w:tcPr>
          <w:p>
            <w:pPr>
              <w:ind w:left="20"/>
              <w:spacing w:after="0"/>
              <w:rPr>
                <w:sz w:val="20"/>
                <w:szCs w:val="20"/>
                <w:color w:val="auto"/>
              </w:rPr>
            </w:pPr>
            <w:r>
              <w:rPr>
                <w:rFonts w:ascii="Arial" w:cs="Arial" w:eastAsia="Arial" w:hAnsi="Arial"/>
                <w:sz w:val="14"/>
                <w:szCs w:val="14"/>
                <w:color w:val="auto"/>
              </w:rPr>
              <w:t>(nominating) Committees)</w:t>
            </w:r>
          </w:p>
        </w:tc>
        <w:tc>
          <w:tcPr>
            <w:tcW w:w="0" w:type="dxa"/>
            <w:vAlign w:val="bottom"/>
          </w:tcPr>
          <w:p>
            <w:pPr>
              <w:spacing w:after="0"/>
              <w:rPr>
                <w:sz w:val="1"/>
                <w:szCs w:val="1"/>
                <w:color w:val="auto"/>
              </w:rPr>
            </w:pPr>
          </w:p>
        </w:tc>
      </w:tr>
      <w:tr>
        <w:trPr>
          <w:trHeight w:val="88"/>
        </w:trPr>
        <w:tc>
          <w:tcPr>
            <w:tcW w:w="5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440" w:type="dxa"/>
            <w:vAlign w:val="bottom"/>
            <w:tcBorders>
              <w:bottom w:val="single" w:sz="8" w:color="636466"/>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Borders>
              <w:bottom w:val="single" w:sz="8" w:color="6364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No Directors Attended Less than 75% of Meetings</w:t>
            </w:r>
          </w:p>
        </w:tc>
        <w:tc>
          <w:tcPr>
            <w:tcW w:w="360" w:type="dxa"/>
            <w:vAlign w:val="bottom"/>
          </w:tcPr>
          <w:p>
            <w:pPr>
              <w:spacing w:after="0"/>
              <w:rPr>
                <w:sz w:val="22"/>
                <w:szCs w:val="22"/>
                <w:color w:val="auto"/>
              </w:rPr>
            </w:pPr>
          </w:p>
        </w:tc>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Anti-Hedging and Pledging Policies</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 xml:space="preserve">Board is </w:t>
            </w:r>
            <w:r>
              <w:rPr>
                <w:rFonts w:ascii="Arial" w:cs="Arial" w:eastAsia="Arial" w:hAnsi="Arial"/>
                <w:sz w:val="14"/>
                <w:szCs w:val="14"/>
                <w:b w:val="1"/>
                <w:bCs w:val="1"/>
                <w:color w:val="auto"/>
              </w:rPr>
              <w:t>89% independent</w:t>
            </w:r>
            <w:r>
              <w:rPr>
                <w:rFonts w:ascii="Arial" w:cs="Arial" w:eastAsia="Arial" w:hAnsi="Arial"/>
                <w:sz w:val="14"/>
                <w:szCs w:val="14"/>
                <w:color w:val="auto"/>
              </w:rPr>
              <w:t xml:space="preserve"> (</w:t>
            </w:r>
            <w:r>
              <w:rPr>
                <w:rFonts w:ascii="Arial" w:cs="Arial" w:eastAsia="Arial" w:hAnsi="Arial"/>
                <w:sz w:val="14"/>
                <w:szCs w:val="14"/>
                <w:b w:val="1"/>
                <w:bCs w:val="1"/>
                <w:color w:val="auto"/>
              </w:rPr>
              <w:t>8</w:t>
            </w:r>
            <w:r>
              <w:rPr>
                <w:rFonts w:ascii="Arial" w:cs="Arial" w:eastAsia="Arial" w:hAnsi="Arial"/>
                <w:sz w:val="14"/>
                <w:szCs w:val="14"/>
                <w:color w:val="auto"/>
              </w:rPr>
              <w:t xml:space="preserve"> out of </w:t>
            </w:r>
            <w:r>
              <w:rPr>
                <w:rFonts w:ascii="Arial" w:cs="Arial" w:eastAsia="Arial" w:hAnsi="Arial"/>
                <w:sz w:val="14"/>
                <w:szCs w:val="14"/>
                <w:b w:val="1"/>
                <w:bCs w:val="1"/>
                <w:color w:val="auto"/>
              </w:rPr>
              <w:t>9</w:t>
            </w:r>
            <w:r>
              <w:rPr>
                <w:rFonts w:ascii="Arial" w:cs="Arial" w:eastAsia="Arial" w:hAnsi="Arial"/>
                <w:sz w:val="14"/>
                <w:szCs w:val="14"/>
                <w:color w:val="auto"/>
              </w:rPr>
              <w:t xml:space="preserve"> directors)</w:t>
            </w:r>
          </w:p>
        </w:tc>
        <w:tc>
          <w:tcPr>
            <w:tcW w:w="360" w:type="dxa"/>
            <w:vAlign w:val="bottom"/>
          </w:tcPr>
          <w:p>
            <w:pPr>
              <w:spacing w:after="0"/>
              <w:rPr>
                <w:sz w:val="22"/>
                <w:szCs w:val="22"/>
                <w:color w:val="auto"/>
              </w:rPr>
            </w:pPr>
          </w:p>
        </w:tc>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No Material Related-Party Transactions</w:t>
            </w: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Regularly Scheduled Executive Sessions </w:t>
            </w:r>
            <w:r>
              <w:rPr>
                <w:rFonts w:ascii="Arial" w:cs="Arial" w:eastAsia="Arial" w:hAnsi="Arial"/>
                <w:sz w:val="14"/>
                <w:szCs w:val="14"/>
                <w:color w:val="auto"/>
              </w:rPr>
              <w:t>of non-</w:t>
            </w:r>
          </w:p>
        </w:tc>
        <w:tc>
          <w:tcPr>
            <w:tcW w:w="360" w:type="dxa"/>
            <w:vAlign w:val="bottom"/>
          </w:tcPr>
          <w:p>
            <w:pPr>
              <w:spacing w:after="0"/>
              <w:rPr>
                <w:sz w:val="20"/>
                <w:szCs w:val="20"/>
                <w:color w:val="auto"/>
              </w:rPr>
            </w:pPr>
          </w:p>
        </w:tc>
        <w:tc>
          <w:tcPr>
            <w:tcW w:w="5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3 Independent Board Members </w:t>
            </w:r>
            <w:r>
              <w:rPr>
                <w:rFonts w:ascii="Arial" w:cs="Arial" w:eastAsia="Arial" w:hAnsi="Arial"/>
                <w:sz w:val="14"/>
                <w:szCs w:val="14"/>
                <w:color w:val="auto"/>
              </w:rPr>
              <w:t>added in the last 2 yrs</w:t>
            </w:r>
          </w:p>
        </w:tc>
        <w:tc>
          <w:tcPr>
            <w:tcW w:w="0" w:type="dxa"/>
            <w:vAlign w:val="bottom"/>
          </w:tcPr>
          <w:p>
            <w:pPr>
              <w:spacing w:after="0"/>
              <w:rPr>
                <w:sz w:val="1"/>
                <w:szCs w:val="1"/>
                <w:color w:val="auto"/>
              </w:rPr>
            </w:pPr>
          </w:p>
        </w:tc>
      </w:tr>
      <w:tr>
        <w:trPr>
          <w:trHeight w:val="102"/>
        </w:trPr>
        <w:tc>
          <w:tcPr>
            <w:tcW w:w="5440" w:type="dxa"/>
            <w:vAlign w:val="bottom"/>
            <w:vMerge w:val="restart"/>
          </w:tcPr>
          <w:p>
            <w:pPr>
              <w:ind w:left="20"/>
              <w:spacing w:after="0"/>
              <w:rPr>
                <w:sz w:val="20"/>
                <w:szCs w:val="20"/>
                <w:color w:val="auto"/>
              </w:rPr>
            </w:pPr>
            <w:r>
              <w:rPr>
                <w:rFonts w:ascii="Arial" w:cs="Arial" w:eastAsia="Arial" w:hAnsi="Arial"/>
                <w:sz w:val="14"/>
                <w:szCs w:val="14"/>
                <w:color w:val="auto"/>
              </w:rPr>
              <w:t>management directors</w:t>
            </w:r>
          </w:p>
        </w:tc>
        <w:tc>
          <w:tcPr>
            <w:tcW w:w="360" w:type="dxa"/>
            <w:vAlign w:val="bottom"/>
          </w:tcPr>
          <w:p>
            <w:pPr>
              <w:spacing w:after="0"/>
              <w:rPr>
                <w:sz w:val="8"/>
                <w:szCs w:val="8"/>
                <w:color w:val="auto"/>
              </w:rPr>
            </w:pPr>
          </w:p>
        </w:tc>
        <w:tc>
          <w:tcPr>
            <w:tcW w:w="5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4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5440" w:type="dxa"/>
            <w:vAlign w:val="bottom"/>
            <w:tcBorders>
              <w:bottom w:val="single" w:sz="8" w:color="636466"/>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Borders>
              <w:bottom w:val="single" w:sz="8" w:color="6364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Women hold Board leadership positions </w:t>
            </w:r>
            <w:r>
              <w:rPr>
                <w:rFonts w:ascii="Arial" w:cs="Arial" w:eastAsia="Arial" w:hAnsi="Arial"/>
                <w:sz w:val="14"/>
                <w:szCs w:val="14"/>
                <w:color w:val="auto"/>
              </w:rPr>
              <w:t>(Governance (nominating) Committee</w:t>
            </w:r>
          </w:p>
        </w:tc>
        <w:tc>
          <w:tcPr>
            <w:tcW w:w="36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Succession Planning </w:t>
            </w:r>
            <w:r>
              <w:rPr>
                <w:rFonts w:ascii="Arial" w:cs="Arial" w:eastAsia="Arial" w:hAnsi="Arial"/>
                <w:sz w:val="14"/>
                <w:szCs w:val="14"/>
                <w:color w:val="auto"/>
              </w:rPr>
              <w:t>annually for key executives;</w:t>
            </w:r>
            <w:r>
              <w:rPr>
                <w:rFonts w:ascii="Arial" w:cs="Arial" w:eastAsia="Arial" w:hAnsi="Arial"/>
                <w:sz w:val="14"/>
                <w:szCs w:val="14"/>
                <w:b w:val="1"/>
                <w:bCs w:val="1"/>
                <w:color w:val="auto"/>
              </w:rPr>
              <w:t xml:space="preserve"> CEO Succession</w:t>
            </w:r>
          </w:p>
        </w:tc>
        <w:tc>
          <w:tcPr>
            <w:tcW w:w="0" w:type="dxa"/>
            <w:vAlign w:val="bottom"/>
          </w:tcPr>
          <w:p>
            <w:pPr>
              <w:spacing w:after="0"/>
              <w:rPr>
                <w:sz w:val="1"/>
                <w:szCs w:val="1"/>
                <w:color w:val="auto"/>
              </w:rPr>
            </w:pPr>
          </w:p>
        </w:tc>
      </w:tr>
      <w:tr>
        <w:trPr>
          <w:trHeight w:val="205"/>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&amp; Audit Committee chairs)</w:t>
            </w:r>
          </w:p>
        </w:tc>
        <w:tc>
          <w:tcPr>
            <w:tcW w:w="360" w:type="dxa"/>
            <w:vAlign w:val="bottom"/>
          </w:tcPr>
          <w:p>
            <w:pPr>
              <w:spacing w:after="0"/>
              <w:rPr>
                <w:sz w:val="17"/>
                <w:szCs w:val="17"/>
                <w:color w:val="auto"/>
              </w:rPr>
            </w:pPr>
          </w:p>
        </w:tc>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34"/>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No Overboarding </w:t>
            </w:r>
            <w:r>
              <w:rPr>
                <w:rFonts w:ascii="Arial" w:cs="Arial" w:eastAsia="Arial" w:hAnsi="Arial"/>
                <w:sz w:val="14"/>
                <w:szCs w:val="14"/>
                <w:color w:val="auto"/>
              </w:rPr>
              <w:t>(directors not permitted to serve on more than four other public</w:t>
            </w:r>
          </w:p>
        </w:tc>
        <w:tc>
          <w:tcPr>
            <w:tcW w:w="3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Stock Ownership Guidelines </w:t>
            </w:r>
            <w:r>
              <w:rPr>
                <w:rFonts w:ascii="Arial" w:cs="Arial" w:eastAsia="Arial" w:hAnsi="Arial"/>
                <w:sz w:val="14"/>
                <w:szCs w:val="14"/>
                <w:color w:val="auto"/>
              </w:rPr>
              <w:t>(5x retainer for Directors; 6x annual base salary for</w:t>
            </w:r>
          </w:p>
        </w:tc>
        <w:tc>
          <w:tcPr>
            <w:tcW w:w="0" w:type="dxa"/>
            <w:vAlign w:val="bottom"/>
          </w:tcPr>
          <w:p>
            <w:pPr>
              <w:spacing w:after="0"/>
              <w:rPr>
                <w:sz w:val="1"/>
                <w:szCs w:val="1"/>
                <w:color w:val="auto"/>
              </w:rPr>
            </w:pPr>
          </w:p>
        </w:tc>
      </w:tr>
      <w:tr>
        <w:trPr>
          <w:trHeight w:val="190"/>
        </w:trPr>
        <w:tc>
          <w:tcPr>
            <w:tcW w:w="5440" w:type="dxa"/>
            <w:vAlign w:val="bottom"/>
          </w:tcPr>
          <w:p>
            <w:pPr>
              <w:ind w:left="20"/>
              <w:spacing w:after="0"/>
              <w:rPr>
                <w:sz w:val="20"/>
                <w:szCs w:val="20"/>
                <w:color w:val="auto"/>
              </w:rPr>
            </w:pPr>
            <w:r>
              <w:rPr>
                <w:rFonts w:ascii="Arial" w:cs="Arial" w:eastAsia="Arial" w:hAnsi="Arial"/>
                <w:sz w:val="14"/>
                <w:szCs w:val="14"/>
                <w:color w:val="auto"/>
              </w:rPr>
              <w:t>company boards)</w:t>
            </w:r>
          </w:p>
        </w:tc>
        <w:tc>
          <w:tcPr>
            <w:tcW w:w="360" w:type="dxa"/>
            <w:vAlign w:val="bottom"/>
          </w:tcPr>
          <w:p>
            <w:pPr>
              <w:spacing w:after="0"/>
              <w:rPr>
                <w:sz w:val="16"/>
                <w:szCs w:val="16"/>
                <w:color w:val="auto"/>
              </w:rPr>
            </w:pPr>
          </w:p>
        </w:tc>
        <w:tc>
          <w:tcPr>
            <w:tcW w:w="5440" w:type="dxa"/>
            <w:vAlign w:val="bottom"/>
          </w:tcPr>
          <w:p>
            <w:pPr>
              <w:ind w:left="20"/>
              <w:spacing w:after="0"/>
              <w:rPr>
                <w:sz w:val="20"/>
                <w:szCs w:val="20"/>
                <w:color w:val="auto"/>
              </w:rPr>
            </w:pPr>
            <w:r>
              <w:rPr>
                <w:rFonts w:ascii="Arial" w:cs="Arial" w:eastAsia="Arial" w:hAnsi="Arial"/>
                <w:sz w:val="14"/>
                <w:szCs w:val="14"/>
                <w:color w:val="auto"/>
              </w:rPr>
              <w:t>CEO; and 3x annual base salary for EVPs)</w:t>
            </w:r>
          </w:p>
        </w:tc>
        <w:tc>
          <w:tcPr>
            <w:tcW w:w="0" w:type="dxa"/>
            <w:vAlign w:val="bottom"/>
          </w:tcPr>
          <w:p>
            <w:pPr>
              <w:spacing w:after="0"/>
              <w:rPr>
                <w:sz w:val="1"/>
                <w:szCs w:val="1"/>
                <w:color w:val="auto"/>
              </w:rPr>
            </w:pPr>
          </w:p>
        </w:tc>
      </w:tr>
      <w:tr>
        <w:trPr>
          <w:trHeight w:val="22"/>
        </w:trPr>
        <w:tc>
          <w:tcPr>
            <w:tcW w:w="5440" w:type="dxa"/>
            <w:vAlign w:val="bottom"/>
            <w:tcBorders>
              <w:bottom w:val="single" w:sz="8" w:color="636466"/>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40" w:type="dxa"/>
            <w:vAlign w:val="bottom"/>
            <w:tcBorders>
              <w:bottom w:val="single" w:sz="8" w:color="63646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 xml:space="preserve">Annual Self-Evaluation </w:t>
            </w:r>
            <w:r>
              <w:rPr>
                <w:rFonts w:ascii="Arial" w:cs="Arial" w:eastAsia="Arial" w:hAnsi="Arial"/>
                <w:sz w:val="14"/>
                <w:szCs w:val="14"/>
                <w:color w:val="auto"/>
              </w:rPr>
              <w:t>by the Board and its committees</w:t>
            </w:r>
          </w:p>
        </w:tc>
        <w:tc>
          <w:tcPr>
            <w:tcW w:w="360" w:type="dxa"/>
            <w:vAlign w:val="bottom"/>
          </w:tcPr>
          <w:p>
            <w:pPr>
              <w:spacing w:after="0"/>
              <w:rPr>
                <w:sz w:val="22"/>
                <w:szCs w:val="22"/>
                <w:color w:val="auto"/>
              </w:rPr>
            </w:pPr>
          </w:p>
        </w:tc>
        <w:tc>
          <w:tcPr>
            <w:tcW w:w="5440" w:type="dxa"/>
            <w:vAlign w:val="bottom"/>
            <w:tcBorders>
              <w:bottom w:val="single" w:sz="8" w:color="636466"/>
            </w:tcBorders>
          </w:tcPr>
          <w:p>
            <w:pPr>
              <w:ind w:left="20"/>
              <w:spacing w:after="0"/>
              <w:rPr>
                <w:sz w:val="20"/>
                <w:szCs w:val="20"/>
                <w:color w:val="auto"/>
              </w:rPr>
            </w:pPr>
            <w:r>
              <w:rPr>
                <w:rFonts w:ascii="Arial" w:cs="Arial" w:eastAsia="Arial" w:hAnsi="Arial"/>
                <w:sz w:val="14"/>
                <w:szCs w:val="14"/>
                <w:b w:val="1"/>
                <w:bCs w:val="1"/>
                <w:color w:val="auto"/>
              </w:rPr>
              <w:t>One Class of Voting Stock</w:t>
            </w:r>
          </w:p>
        </w:tc>
        <w:tc>
          <w:tcPr>
            <w:tcW w:w="0" w:type="dxa"/>
            <w:vAlign w:val="bottom"/>
          </w:tcPr>
          <w:p>
            <w:pPr>
              <w:spacing w:after="0"/>
              <w:rPr>
                <w:sz w:val="1"/>
                <w:szCs w:val="1"/>
                <w:color w:val="auto"/>
              </w:rPr>
            </w:pPr>
          </w:p>
        </w:tc>
      </w:tr>
      <w:tr>
        <w:trPr>
          <w:trHeight w:val="254"/>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 xml:space="preserve">Individual evaluation </w:t>
            </w:r>
            <w:r>
              <w:rPr>
                <w:rFonts w:ascii="Arial" w:cs="Arial" w:eastAsia="Arial" w:hAnsi="Arial"/>
                <w:sz w:val="14"/>
                <w:szCs w:val="14"/>
                <w:color w:val="auto"/>
              </w:rPr>
              <w:t>for director nominees</w:t>
            </w:r>
          </w:p>
        </w:tc>
        <w:tc>
          <w:tcPr>
            <w:tcW w:w="36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No Poison Pill</w:t>
            </w:r>
          </w:p>
        </w:tc>
        <w:tc>
          <w:tcPr>
            <w:tcW w:w="0" w:type="dxa"/>
            <w:vAlign w:val="bottom"/>
          </w:tcPr>
          <w:p>
            <w:pPr>
              <w:spacing w:after="0"/>
              <w:rPr>
                <w:sz w:val="1"/>
                <w:szCs w:val="1"/>
                <w:color w:val="auto"/>
              </w:rPr>
            </w:pPr>
          </w:p>
        </w:tc>
      </w:tr>
      <w:tr>
        <w:trPr>
          <w:trHeight w:val="70"/>
        </w:trPr>
        <w:tc>
          <w:tcPr>
            <w:tcW w:w="5440" w:type="dxa"/>
            <w:vAlign w:val="bottom"/>
            <w:tcBorders>
              <w:bottom w:val="single" w:sz="8" w:color="636466"/>
            </w:tcBorders>
          </w:tcPr>
          <w:p>
            <w:pPr>
              <w:spacing w:after="0"/>
              <w:rPr>
                <w:sz w:val="6"/>
                <w:szCs w:val="6"/>
                <w:color w:val="auto"/>
              </w:rPr>
            </w:pPr>
          </w:p>
        </w:tc>
        <w:tc>
          <w:tcPr>
            <w:tcW w:w="360" w:type="dxa"/>
            <w:vAlign w:val="bottom"/>
          </w:tcPr>
          <w:p>
            <w:pPr>
              <w:spacing w:after="0"/>
              <w:rPr>
                <w:sz w:val="6"/>
                <w:szCs w:val="6"/>
                <w:color w:val="auto"/>
              </w:rPr>
            </w:pPr>
          </w:p>
        </w:tc>
        <w:tc>
          <w:tcPr>
            <w:tcW w:w="5440" w:type="dxa"/>
            <w:vAlign w:val="bottom"/>
            <w:tcBorders>
              <w:bottom w:val="single" w:sz="8" w:color="63646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-12065</wp:posOffset>
            </wp:positionV>
            <wp:extent cx="5460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238"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Board and its committees have oversight of important topics, as shown below, and are highly engaged in working through issues and discussing plans in both formal and informal meetings.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Full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Culture &amp; Values</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Front-end Digital Customer Experience</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CEO Succession Planning &amp; Compensation</w:t>
            </w:r>
          </w:p>
        </w:tc>
        <w:tc>
          <w:tcPr>
            <w:tcW w:w="0" w:type="dxa"/>
            <w:vAlign w:val="bottom"/>
          </w:tcPr>
          <w:p>
            <w:pPr>
              <w:spacing w:after="0"/>
              <w:rPr>
                <w:sz w:val="1"/>
                <w:szCs w:val="1"/>
                <w:color w:val="auto"/>
              </w:rPr>
            </w:pPr>
          </w:p>
        </w:tc>
      </w:tr>
      <w:tr>
        <w:trPr>
          <w:trHeight w:val="216"/>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Financial Performance</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Advanced Technology &amp; Artificial Intelligence</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Engagement Survey</w:t>
            </w:r>
          </w:p>
        </w:tc>
        <w:tc>
          <w:tcPr>
            <w:tcW w:w="0" w:type="dxa"/>
            <w:vAlign w:val="bottom"/>
          </w:tcPr>
          <w:p>
            <w:pPr>
              <w:spacing w:after="0"/>
              <w:rPr>
                <w:sz w:val="1"/>
                <w:szCs w:val="1"/>
                <w:color w:val="auto"/>
              </w:rPr>
            </w:pPr>
          </w:p>
        </w:tc>
      </w:tr>
      <w:tr>
        <w:trPr>
          <w:trHeight w:val="193"/>
        </w:trPr>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tcPr>
          <w:p>
            <w:pPr>
              <w:ind w:left="40"/>
              <w:spacing w:after="0"/>
              <w:rPr>
                <w:sz w:val="20"/>
                <w:szCs w:val="20"/>
                <w:color w:val="auto"/>
              </w:rPr>
            </w:pPr>
            <w:r>
              <w:rPr>
                <w:rFonts w:ascii="Arial" w:cs="Arial" w:eastAsia="Arial" w:hAnsi="Arial"/>
                <w:sz w:val="13"/>
                <w:szCs w:val="13"/>
                <w:color w:val="auto"/>
              </w:rPr>
              <w:t>Stockholder Value Creation</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Sustainable Product Development &amp; Innovation (including</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Energy, Waste, Water &amp; Refrigerant Management</w:t>
            </w:r>
          </w:p>
        </w:tc>
        <w:tc>
          <w:tcPr>
            <w:tcW w:w="0" w:type="dxa"/>
            <w:vAlign w:val="bottom"/>
          </w:tcPr>
          <w:p>
            <w:pPr>
              <w:spacing w:after="0"/>
              <w:rPr>
                <w:sz w:val="1"/>
                <w:szCs w:val="1"/>
                <w:color w:val="auto"/>
              </w:rPr>
            </w:pPr>
          </w:p>
        </w:tc>
      </w:tr>
      <w:tr>
        <w:trPr>
          <w:trHeight w:val="166"/>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M&amp;A/Strategy</w:t>
            </w:r>
          </w:p>
        </w:tc>
        <w:tc>
          <w:tcPr>
            <w:tcW w:w="3760" w:type="dxa"/>
            <w:vAlign w:val="bottom"/>
            <w:gridSpan w:val="2"/>
          </w:tcPr>
          <w:p>
            <w:pPr>
              <w:ind w:left="260"/>
              <w:spacing w:after="0"/>
              <w:rPr>
                <w:sz w:val="20"/>
                <w:szCs w:val="20"/>
                <w:color w:val="auto"/>
              </w:rPr>
            </w:pPr>
            <w:r>
              <w:rPr>
                <w:rFonts w:ascii="Arial" w:cs="Arial" w:eastAsia="Arial" w:hAnsi="Arial"/>
                <w:sz w:val="13"/>
                <w:szCs w:val="13"/>
                <w:color w:val="auto"/>
              </w:rPr>
              <w:t>Product Safety)</w:t>
            </w: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Community Involvement &amp; Charitable Giving</w:t>
            </w:r>
          </w:p>
        </w:tc>
        <w:tc>
          <w:tcPr>
            <w:tcW w:w="0" w:type="dxa"/>
            <w:vAlign w:val="bottom"/>
          </w:tcPr>
          <w:p>
            <w:pPr>
              <w:spacing w:after="0"/>
              <w:rPr>
                <w:sz w:val="1"/>
                <w:szCs w:val="1"/>
                <w:color w:val="auto"/>
              </w:rPr>
            </w:pPr>
          </w:p>
        </w:tc>
      </w:tr>
      <w:tr>
        <w:trPr>
          <w:trHeight w:val="73"/>
        </w:trPr>
        <w:tc>
          <w:tcPr>
            <w:tcW w:w="220" w:type="dxa"/>
            <w:vAlign w:val="bottom"/>
            <w:vMerge w:val="continue"/>
          </w:tcPr>
          <w:p>
            <w:pPr>
              <w:spacing w:after="0"/>
              <w:rPr>
                <w:sz w:val="6"/>
                <w:szCs w:val="6"/>
                <w:color w:val="auto"/>
              </w:rPr>
            </w:pPr>
          </w:p>
        </w:tc>
        <w:tc>
          <w:tcPr>
            <w:tcW w:w="3520" w:type="dxa"/>
            <w:vAlign w:val="bottom"/>
            <w:gridSpan w:val="2"/>
            <w:vMerge w:val="continue"/>
          </w:tcPr>
          <w:p>
            <w:pPr>
              <w:spacing w:after="0"/>
              <w:rPr>
                <w:sz w:val="6"/>
                <w:szCs w:val="6"/>
                <w:color w:val="auto"/>
              </w:rPr>
            </w:pPr>
          </w:p>
        </w:tc>
        <w:tc>
          <w:tcPr>
            <w:tcW w:w="376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Technology Infrastructure &amp; Cybersecurity</w:t>
            </w: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Key Strategic Initiatives</w:t>
            </w:r>
          </w:p>
        </w:tc>
        <w:tc>
          <w:tcPr>
            <w:tcW w:w="3760" w:type="dxa"/>
            <w:vAlign w:val="bottom"/>
            <w:gridSpan w:val="2"/>
            <w:vMerge w:val="continue"/>
          </w:tcPr>
          <w:p>
            <w:pPr>
              <w:spacing w:after="0"/>
              <w:rPr>
                <w:sz w:val="12"/>
                <w:szCs w:val="12"/>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Government Relations &amp; Regulations</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3760" w:type="dxa"/>
            <w:vAlign w:val="bottom"/>
            <w:gridSpan w:val="2"/>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Supply Chain &amp; Logistics</w:t>
            </w: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20" w:type="dxa"/>
            <w:vAlign w:val="bottom"/>
            <w:vMerge w:val="restart"/>
          </w:tcPr>
          <w:p>
            <w:pPr>
              <w:ind w:left="100"/>
              <w:spacing w:after="0"/>
              <w:rPr>
                <w:sz w:val="20"/>
                <w:szCs w:val="20"/>
                <w:color w:val="auto"/>
              </w:rPr>
            </w:pPr>
            <w:r>
              <w:rPr>
                <w:rFonts w:ascii="Arial" w:cs="Arial" w:eastAsia="Arial" w:hAnsi="Arial"/>
                <w:sz w:val="14"/>
                <w:szCs w:val="14"/>
                <w:color w:val="auto"/>
              </w:rPr>
              <w:t>•</w:t>
            </w:r>
          </w:p>
        </w:tc>
        <w:tc>
          <w:tcPr>
            <w:tcW w:w="3520" w:type="dxa"/>
            <w:vAlign w:val="bottom"/>
            <w:gridSpan w:val="2"/>
            <w:vMerge w:val="restart"/>
          </w:tcPr>
          <w:p>
            <w:pPr>
              <w:ind w:left="40"/>
              <w:spacing w:after="0"/>
              <w:rPr>
                <w:sz w:val="20"/>
                <w:szCs w:val="20"/>
                <w:color w:val="auto"/>
              </w:rPr>
            </w:pPr>
            <w:r>
              <w:rPr>
                <w:rFonts w:ascii="Arial" w:cs="Arial" w:eastAsia="Arial" w:hAnsi="Arial"/>
                <w:sz w:val="13"/>
                <w:szCs w:val="13"/>
                <w:color w:val="auto"/>
              </w:rPr>
              <w:t>Stockholder Rights</w:t>
            </w:r>
          </w:p>
        </w:tc>
        <w:tc>
          <w:tcPr>
            <w:tcW w:w="3760" w:type="dxa"/>
            <w:vAlign w:val="bottom"/>
            <w:gridSpan w:val="2"/>
            <w:vMerge w:val="continue"/>
          </w:tcPr>
          <w:p>
            <w:pPr>
              <w:spacing w:after="0"/>
              <w:rPr>
                <w:sz w:val="12"/>
                <w:szCs w:val="12"/>
                <w:color w:val="auto"/>
              </w:rPr>
            </w:pP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ERM Oversight</w:t>
            </w:r>
          </w:p>
        </w:tc>
        <w:tc>
          <w:tcPr>
            <w:tcW w:w="0" w:type="dxa"/>
            <w:vAlign w:val="bottom"/>
          </w:tcPr>
          <w:p>
            <w:pPr>
              <w:spacing w:after="0"/>
              <w:rPr>
                <w:sz w:val="1"/>
                <w:szCs w:val="1"/>
                <w:color w:val="auto"/>
              </w:rPr>
            </w:pPr>
          </w:p>
        </w:tc>
      </w:tr>
      <w:tr>
        <w:trPr>
          <w:trHeight w:val="68"/>
        </w:trPr>
        <w:tc>
          <w:tcPr>
            <w:tcW w:w="220" w:type="dxa"/>
            <w:vAlign w:val="bottom"/>
            <w:vMerge w:val="continue"/>
          </w:tcPr>
          <w:p>
            <w:pPr>
              <w:spacing w:after="0"/>
              <w:rPr>
                <w:sz w:val="5"/>
                <w:szCs w:val="5"/>
                <w:color w:val="auto"/>
              </w:rPr>
            </w:pPr>
          </w:p>
        </w:tc>
        <w:tc>
          <w:tcPr>
            <w:tcW w:w="3520" w:type="dxa"/>
            <w:vAlign w:val="bottom"/>
            <w:gridSpan w:val="2"/>
            <w:vMerge w:val="continue"/>
          </w:tcPr>
          <w:p>
            <w:pPr>
              <w:spacing w:after="0"/>
              <w:rPr>
                <w:sz w:val="5"/>
                <w:szCs w:val="5"/>
                <w:color w:val="auto"/>
              </w:rPr>
            </w:pPr>
          </w:p>
        </w:tc>
        <w:tc>
          <w:tcPr>
            <w:tcW w:w="3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20" w:type="dxa"/>
            <w:vAlign w:val="bottom"/>
            <w:tcBorders>
              <w:bottom w:val="single" w:sz="8" w:color="C60C35"/>
            </w:tcBorders>
          </w:tcPr>
          <w:p>
            <w:pPr>
              <w:spacing w:after="0"/>
              <w:rPr>
                <w:sz w:val="4"/>
                <w:szCs w:val="4"/>
                <w:color w:val="auto"/>
              </w:rPr>
            </w:pPr>
          </w:p>
        </w:tc>
        <w:tc>
          <w:tcPr>
            <w:tcW w:w="3380" w:type="dxa"/>
            <w:vAlign w:val="bottom"/>
            <w:tcBorders>
              <w:bottom w:val="single" w:sz="8" w:color="C60C35"/>
            </w:tcBorders>
          </w:tcPr>
          <w:p>
            <w:pPr>
              <w:spacing w:after="0"/>
              <w:rPr>
                <w:sz w:val="4"/>
                <w:szCs w:val="4"/>
                <w:color w:val="auto"/>
              </w:rPr>
            </w:pPr>
          </w:p>
        </w:tc>
        <w:tc>
          <w:tcPr>
            <w:tcW w:w="140" w:type="dxa"/>
            <w:vAlign w:val="bottom"/>
            <w:tcBorders>
              <w:bottom w:val="single" w:sz="8" w:color="C60C35"/>
            </w:tcBorders>
          </w:tcPr>
          <w:p>
            <w:pPr>
              <w:spacing w:after="0"/>
              <w:rPr>
                <w:sz w:val="4"/>
                <w:szCs w:val="4"/>
                <w:color w:val="auto"/>
              </w:rPr>
            </w:pPr>
          </w:p>
        </w:tc>
        <w:tc>
          <w:tcPr>
            <w:tcW w:w="3760" w:type="dxa"/>
            <w:vAlign w:val="bottom"/>
            <w:tcBorders>
              <w:bottom w:val="single" w:sz="8" w:color="C60C35"/>
            </w:tcBorders>
            <w:gridSpan w:val="2"/>
          </w:tcPr>
          <w:p>
            <w:pPr>
              <w:spacing w:after="0"/>
              <w:rPr>
                <w:sz w:val="4"/>
                <w:szCs w:val="4"/>
                <w:color w:val="auto"/>
              </w:rPr>
            </w:pPr>
          </w:p>
        </w:tc>
        <w:tc>
          <w:tcPr>
            <w:tcW w:w="3740" w:type="dxa"/>
            <w:vAlign w:val="bottom"/>
            <w:tcBorders>
              <w:bottom w:val="single" w:sz="8" w:color="C60C35"/>
            </w:tcBorders>
          </w:tcPr>
          <w:p>
            <w:pPr>
              <w:spacing w:after="0"/>
              <w:rPr>
                <w:sz w:val="4"/>
                <w:szCs w:val="4"/>
                <w:color w:val="auto"/>
              </w:rPr>
            </w:pPr>
          </w:p>
        </w:tc>
        <w:tc>
          <w:tcPr>
            <w:tcW w:w="0" w:type="dxa"/>
            <w:vAlign w:val="bottom"/>
          </w:tcPr>
          <w:p>
            <w:pPr>
              <w:spacing w:after="0"/>
              <w:rPr>
                <w:sz w:val="1"/>
                <w:szCs w:val="1"/>
                <w:color w:val="auto"/>
              </w:rPr>
            </w:pPr>
          </w:p>
        </w:tc>
      </w:tr>
      <w:tr>
        <w:trPr>
          <w:trHeight w:val="491"/>
        </w:trPr>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60" w:type="dxa"/>
            <w:vAlign w:val="bottom"/>
            <w:gridSpan w:val="2"/>
          </w:tcPr>
          <w:p>
            <w:pPr>
              <w:ind w:left="1820"/>
              <w:spacing w:after="0"/>
              <w:rPr>
                <w:sz w:val="20"/>
                <w:szCs w:val="20"/>
                <w:color w:val="auto"/>
              </w:rPr>
            </w:pPr>
            <w:r>
              <w:rPr>
                <w:rFonts w:ascii="Arial" w:cs="Arial" w:eastAsia="Arial" w:hAnsi="Arial"/>
                <w:sz w:val="29"/>
                <w:szCs w:val="29"/>
                <w:b w:val="1"/>
                <w:bCs w:val="1"/>
                <w:color w:val="auto"/>
              </w:rPr>
              <w: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600" w:type="dxa"/>
            <w:vAlign w:val="bottom"/>
            <w:tcBorders>
              <w:bottom w:val="single" w:sz="8" w:color="C60C35"/>
            </w:tcBorders>
            <w:gridSpan w:val="2"/>
          </w:tcPr>
          <w:p>
            <w:pPr>
              <w:spacing w:after="0"/>
              <w:rPr>
                <w:sz w:val="10"/>
                <w:szCs w:val="10"/>
                <w:color w:val="auto"/>
              </w:rPr>
            </w:pPr>
          </w:p>
        </w:tc>
        <w:tc>
          <w:tcPr>
            <w:tcW w:w="140" w:type="dxa"/>
            <w:vAlign w:val="bottom"/>
            <w:tcBorders>
              <w:bottom w:val="single" w:sz="8" w:color="C60C35"/>
            </w:tcBorders>
          </w:tcPr>
          <w:p>
            <w:pPr>
              <w:spacing w:after="0"/>
              <w:rPr>
                <w:sz w:val="10"/>
                <w:szCs w:val="10"/>
                <w:color w:val="auto"/>
              </w:rPr>
            </w:pPr>
          </w:p>
        </w:tc>
        <w:tc>
          <w:tcPr>
            <w:tcW w:w="3620" w:type="dxa"/>
            <w:vAlign w:val="bottom"/>
            <w:tcBorders>
              <w:bottom w:val="single" w:sz="8" w:color="C60C35"/>
            </w:tcBorders>
          </w:tcPr>
          <w:p>
            <w:pPr>
              <w:spacing w:after="0"/>
              <w:rPr>
                <w:sz w:val="10"/>
                <w:szCs w:val="10"/>
                <w:color w:val="auto"/>
              </w:rPr>
            </w:pPr>
          </w:p>
        </w:tc>
        <w:tc>
          <w:tcPr>
            <w:tcW w:w="140" w:type="dxa"/>
            <w:vAlign w:val="bottom"/>
            <w:tcBorders>
              <w:bottom w:val="single" w:sz="8" w:color="C60C35"/>
            </w:tcBorders>
          </w:tcPr>
          <w:p>
            <w:pPr>
              <w:spacing w:after="0"/>
              <w:rPr>
                <w:sz w:val="10"/>
                <w:szCs w:val="10"/>
                <w:color w:val="auto"/>
              </w:rPr>
            </w:pPr>
          </w:p>
        </w:tc>
        <w:tc>
          <w:tcPr>
            <w:tcW w:w="3740" w:type="dxa"/>
            <w:vAlign w:val="bottom"/>
            <w:tcBorders>
              <w:bottom w:val="single" w:sz="8" w:color="C60C35"/>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740" w:type="dxa"/>
            <w:vAlign w:val="bottom"/>
            <w:gridSpan w:val="3"/>
            <w:shd w:val="clear" w:color="auto" w:fill="F2F2F2"/>
          </w:tcPr>
          <w:p>
            <w:pPr>
              <w:ind w:left="100"/>
              <w:spacing w:after="0"/>
              <w:rPr>
                <w:sz w:val="20"/>
                <w:szCs w:val="20"/>
                <w:color w:val="auto"/>
              </w:rPr>
            </w:pPr>
            <w:r>
              <w:rPr>
                <w:rFonts w:ascii="Arial" w:cs="Arial" w:eastAsia="Arial" w:hAnsi="Arial"/>
                <w:sz w:val="14"/>
                <w:szCs w:val="14"/>
                <w:b w:val="1"/>
                <w:bCs w:val="1"/>
                <w:color w:val="auto"/>
              </w:rPr>
              <w:t>Board-level Committees</w:t>
            </w:r>
          </w:p>
        </w:tc>
        <w:tc>
          <w:tcPr>
            <w:tcW w:w="3620" w:type="dxa"/>
            <w:vAlign w:val="bottom"/>
            <w:shd w:val="clear" w:color="auto" w:fill="F2F2F2"/>
          </w:tcPr>
          <w:p>
            <w:pPr>
              <w:spacing w:after="0"/>
              <w:rPr>
                <w:sz w:val="19"/>
                <w:szCs w:val="19"/>
                <w:color w:val="auto"/>
              </w:rPr>
            </w:pPr>
          </w:p>
        </w:tc>
        <w:tc>
          <w:tcPr>
            <w:tcW w:w="140" w:type="dxa"/>
            <w:vAlign w:val="bottom"/>
            <w:shd w:val="clear" w:color="auto" w:fill="F2F2F2"/>
          </w:tcPr>
          <w:p>
            <w:pPr>
              <w:spacing w:after="0"/>
              <w:rPr>
                <w:sz w:val="19"/>
                <w:szCs w:val="19"/>
                <w:color w:val="auto"/>
              </w:rPr>
            </w:pPr>
          </w:p>
        </w:tc>
        <w:tc>
          <w:tcPr>
            <w:tcW w:w="3740" w:type="dxa"/>
            <w:vAlign w:val="bottom"/>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100"/>
              <w:spacing w:after="0"/>
              <w:rPr>
                <w:sz w:val="20"/>
                <w:szCs w:val="20"/>
                <w:color w:val="auto"/>
              </w:rPr>
            </w:pPr>
            <w:r>
              <w:rPr>
                <w:rFonts w:ascii="Arial" w:cs="Arial" w:eastAsia="Arial" w:hAnsi="Arial"/>
                <w:sz w:val="14"/>
                <w:szCs w:val="14"/>
                <w:b w:val="1"/>
                <w:bCs w:val="1"/>
                <w:color w:val="auto"/>
              </w:rPr>
              <w:t>Audit Committee</w:t>
            </w:r>
          </w:p>
        </w:tc>
        <w:tc>
          <w:tcPr>
            <w:tcW w:w="3760" w:type="dxa"/>
            <w:vAlign w:val="bottom"/>
            <w:gridSpan w:val="2"/>
          </w:tcPr>
          <w:p>
            <w:pPr>
              <w:ind w:left="100"/>
              <w:spacing w:after="0"/>
              <w:rPr>
                <w:sz w:val="20"/>
                <w:szCs w:val="20"/>
                <w:color w:val="auto"/>
              </w:rPr>
            </w:pPr>
            <w:r>
              <w:rPr>
                <w:rFonts w:ascii="Arial" w:cs="Arial" w:eastAsia="Arial" w:hAnsi="Arial"/>
                <w:sz w:val="14"/>
                <w:szCs w:val="14"/>
                <w:b w:val="1"/>
                <w:bCs w:val="1"/>
                <w:color w:val="auto"/>
              </w:rPr>
              <w:t>Board Governance Committee</w:t>
            </w:r>
          </w:p>
        </w:tc>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Comp &amp; HR Committee</w:t>
            </w:r>
          </w:p>
        </w:tc>
        <w:tc>
          <w:tcPr>
            <w:tcW w:w="0" w:type="dxa"/>
            <w:vAlign w:val="bottom"/>
          </w:tcPr>
          <w:p>
            <w:pPr>
              <w:spacing w:after="0"/>
              <w:rPr>
                <w:sz w:val="1"/>
                <w:szCs w:val="1"/>
                <w:color w:val="auto"/>
              </w:rPr>
            </w:pPr>
          </w:p>
        </w:tc>
      </w:tr>
      <w:tr>
        <w:trPr>
          <w:trHeight w:val="70"/>
        </w:trPr>
        <w:tc>
          <w:tcPr>
            <w:tcW w:w="3600" w:type="dxa"/>
            <w:vAlign w:val="bottom"/>
            <w:tcBorders>
              <w:bottom w:val="single" w:sz="8" w:color="C60C35"/>
            </w:tcBorders>
            <w:gridSpan w:val="2"/>
          </w:tcPr>
          <w:p>
            <w:pPr>
              <w:spacing w:after="0"/>
              <w:rPr>
                <w:sz w:val="6"/>
                <w:szCs w:val="6"/>
                <w:color w:val="auto"/>
              </w:rPr>
            </w:pPr>
          </w:p>
        </w:tc>
        <w:tc>
          <w:tcPr>
            <w:tcW w:w="140" w:type="dxa"/>
            <w:vAlign w:val="bottom"/>
          </w:tcPr>
          <w:p>
            <w:pPr>
              <w:spacing w:after="0"/>
              <w:rPr>
                <w:sz w:val="6"/>
                <w:szCs w:val="6"/>
                <w:color w:val="auto"/>
              </w:rPr>
            </w:pPr>
          </w:p>
        </w:tc>
        <w:tc>
          <w:tcPr>
            <w:tcW w:w="3620" w:type="dxa"/>
            <w:vAlign w:val="bottom"/>
            <w:tcBorders>
              <w:bottom w:val="single" w:sz="8" w:color="C60C35"/>
            </w:tcBorders>
          </w:tcPr>
          <w:p>
            <w:pPr>
              <w:spacing w:after="0"/>
              <w:rPr>
                <w:sz w:val="6"/>
                <w:szCs w:val="6"/>
                <w:color w:val="auto"/>
              </w:rPr>
            </w:pPr>
          </w:p>
        </w:tc>
        <w:tc>
          <w:tcPr>
            <w:tcW w:w="140" w:type="dxa"/>
            <w:vAlign w:val="bottom"/>
          </w:tcPr>
          <w:p>
            <w:pPr>
              <w:spacing w:after="0"/>
              <w:rPr>
                <w:sz w:val="6"/>
                <w:szCs w:val="6"/>
                <w:color w:val="auto"/>
              </w:rPr>
            </w:pPr>
          </w:p>
        </w:tc>
        <w:tc>
          <w:tcPr>
            <w:tcW w:w="3740" w:type="dxa"/>
            <w:vAlign w:val="bottom"/>
            <w:tcBorders>
              <w:bottom w:val="single" w:sz="8" w:color="C60C35"/>
            </w:tcBorders>
          </w:tcPr>
          <w:p>
            <w:pPr>
              <w:spacing w:after="0"/>
              <w:rPr>
                <w:sz w:val="6"/>
                <w:szCs w:val="6"/>
                <w:color w:val="auto"/>
              </w:rPr>
            </w:pPr>
          </w:p>
        </w:tc>
        <w:tc>
          <w:tcPr>
            <w:tcW w:w="0" w:type="dxa"/>
            <w:vAlign w:val="bottom"/>
          </w:tcPr>
          <w:p>
            <w:pPr>
              <w:spacing w:after="0"/>
              <w:rPr>
                <w:sz w:val="1"/>
                <w:szCs w:val="1"/>
                <w:color w:val="auto"/>
              </w:rPr>
            </w:pPr>
          </w:p>
        </w:tc>
      </w:tr>
      <w:tr>
        <w:trPr>
          <w:trHeight w:val="282"/>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Climate Change Regulation &amp; SEC Disclosure</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Stockholder Rights</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CEO Succession Planning &amp; Compensation</w:t>
            </w:r>
          </w:p>
        </w:tc>
        <w:tc>
          <w:tcPr>
            <w:tcW w:w="0" w:type="dxa"/>
            <w:vAlign w:val="bottom"/>
          </w:tcPr>
          <w:p>
            <w:pPr>
              <w:spacing w:after="0"/>
              <w:rPr>
                <w:sz w:val="1"/>
                <w:szCs w:val="1"/>
                <w:color w:val="auto"/>
              </w:rPr>
            </w:pP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Business Ethics, Compliance &amp; Anti-Corruption</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Board Succession Planning &amp; Composition</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Executive Compensation</w:t>
            </w:r>
          </w:p>
        </w:tc>
        <w:tc>
          <w:tcPr>
            <w:tcW w:w="0" w:type="dxa"/>
            <w:vAlign w:val="bottom"/>
          </w:tcPr>
          <w:p>
            <w:pPr>
              <w:spacing w:after="0"/>
              <w:rPr>
                <w:sz w:val="1"/>
                <w:szCs w:val="1"/>
                <w:color w:val="auto"/>
              </w:rPr>
            </w:pPr>
          </w:p>
        </w:tc>
      </w:tr>
      <w:tr>
        <w:trPr>
          <w:trHeight w:val="216"/>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Accounting &amp; Tax Transparency</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Annual Board, Committee &amp; Peer Evaluation Process</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Health &amp; Safety</w:t>
            </w:r>
          </w:p>
        </w:tc>
        <w:tc>
          <w:tcPr>
            <w:tcW w:w="0" w:type="dxa"/>
            <w:vAlign w:val="bottom"/>
          </w:tcPr>
          <w:p>
            <w:pPr>
              <w:spacing w:after="0"/>
              <w:rPr>
                <w:sz w:val="1"/>
                <w:szCs w:val="1"/>
                <w:color w:val="auto"/>
              </w:rPr>
            </w:pPr>
          </w:p>
        </w:tc>
      </w:tr>
      <w:tr>
        <w:trPr>
          <w:trHeight w:val="193"/>
        </w:trPr>
        <w:tc>
          <w:tcPr>
            <w:tcW w:w="3740" w:type="dxa"/>
            <w:vAlign w:val="bottom"/>
            <w:gridSpan w:val="3"/>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ERM Processes &amp; Policies</w:t>
            </w:r>
          </w:p>
        </w:tc>
        <w:tc>
          <w:tcPr>
            <w:tcW w:w="376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Corporate Governance Guidelines &amp; Charters</w:t>
            </w:r>
          </w:p>
        </w:tc>
        <w:tc>
          <w:tcPr>
            <w:tcW w:w="374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Employee Engagement, Experience, Training &amp; Development</w:t>
            </w:r>
          </w:p>
        </w:tc>
        <w:tc>
          <w:tcPr>
            <w:tcW w:w="0" w:type="dxa"/>
            <w:vAlign w:val="bottom"/>
          </w:tcPr>
          <w:p>
            <w:pPr>
              <w:spacing w:after="0"/>
              <w:rPr>
                <w:sz w:val="1"/>
                <w:szCs w:val="1"/>
                <w:color w:val="auto"/>
              </w:rPr>
            </w:pPr>
          </w:p>
        </w:tc>
      </w:tr>
      <w:tr>
        <w:trPr>
          <w:trHeight w:val="166"/>
        </w:trPr>
        <w:tc>
          <w:tcPr>
            <w:tcW w:w="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Pr>
          <w:p>
            <w:pPr>
              <w:ind w:left="260"/>
              <w:spacing w:after="0"/>
              <w:rPr>
                <w:sz w:val="20"/>
                <w:szCs w:val="20"/>
                <w:color w:val="auto"/>
              </w:rPr>
            </w:pPr>
            <w:r>
              <w:rPr>
                <w:rFonts w:ascii="Arial" w:cs="Arial" w:eastAsia="Arial" w:hAnsi="Arial"/>
                <w:sz w:val="13"/>
                <w:szCs w:val="13"/>
                <w:color w:val="auto"/>
              </w:rPr>
              <w:t>(including Leadership Development)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0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Pay Equity, Benefits &amp;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11" w:name="page12"/>
    <w:bookmarkEnd w:id="11"/>
    <w:p>
      <w:pPr>
        <w:ind w:left="3500"/>
        <w:spacing w:after="0"/>
        <w:rPr>
          <w:sz w:val="20"/>
          <w:szCs w:val="20"/>
          <w:color w:val="auto"/>
        </w:rPr>
      </w:pPr>
      <w:r>
        <w:rPr>
          <w:rFonts w:ascii="Arial" w:cs="Arial" w:eastAsia="Arial" w:hAnsi="Arial"/>
          <w:sz w:val="29"/>
          <w:szCs w:val="29"/>
          <w:b w:val="1"/>
          <w:bCs w:val="1"/>
          <w:color w:val="C60C35"/>
        </w:rPr>
        <w:drawing>
          <wp:anchor simplePos="0" relativeHeight="251657728" behindDoc="1" locked="0" layoutInCell="0" allowOverlap="1">
            <wp:simplePos x="0" y="0"/>
            <wp:positionH relativeFrom="page">
              <wp:posOffset>208280</wp:posOffset>
            </wp:positionH>
            <wp:positionV relativeFrom="page">
              <wp:posOffset>517525</wp:posOffset>
            </wp:positionV>
            <wp:extent cx="71151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890"/>
                    </a:xfrm>
                    <a:prstGeom prst="rect">
                      <a:avLst/>
                    </a:prstGeom>
                    <a:noFill/>
                  </pic:spPr>
                </pic:pic>
              </a:graphicData>
            </a:graphic>
          </wp:anchor>
        </w:drawing>
        <w:t>Proposals Requiring Your Vote</w:t>
      </w:r>
    </w:p>
    <w:p>
      <w:pPr>
        <w:spacing w:after="0" w:line="193" w:lineRule="exact"/>
        <w:rPr>
          <w:sz w:val="20"/>
          <w:szCs w:val="20"/>
          <w:color w:val="auto"/>
        </w:rPr>
      </w:pPr>
    </w:p>
    <w:p>
      <w:pPr>
        <w:ind w:left="4840"/>
        <w:spacing w:after="0"/>
        <w:rPr>
          <w:sz w:val="20"/>
          <w:szCs w:val="20"/>
          <w:color w:val="auto"/>
        </w:rPr>
      </w:pPr>
      <w:r>
        <w:rPr>
          <w:rFonts w:ascii="Arial" w:cs="Arial" w:eastAsia="Arial" w:hAnsi="Arial"/>
          <w:sz w:val="29"/>
          <w:szCs w:val="29"/>
          <w:b w:val="1"/>
          <w:bCs w:val="1"/>
          <w:color w:val="C60C35"/>
        </w:rPr>
        <w:t>Proposal 1</w:t>
      </w:r>
    </w:p>
    <w:p>
      <w:pPr>
        <w:spacing w:after="0" w:line="34"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C60C3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31115</wp:posOffset>
            </wp:positionV>
            <wp:extent cx="71151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66"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Our Bylaws provide that our Board may be composed of no less than three and no more than 15 members. The size of our Board is currently fixed at nine members, divided into three classes, with each class serving a three-year term.</w:t>
      </w:r>
    </w:p>
    <w:p>
      <w:pPr>
        <w:spacing w:after="0" w:line="8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Upon the recommendation of the Board Governance Committee, the Board has nominated three Class I directors for re-election of a three-year term expiring at the 2029 Annual Meeting of Stockholders. The Board has nominated the directors using the process and criteria described in the “Corporate Governance—Board Refreshment and Nomination Process” section of this Proxy Statement.</w:t>
      </w:r>
    </w:p>
    <w:p>
      <w:pPr>
        <w:spacing w:after="0" w:line="1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For each director and director nominee, we have included a biographical description below that includes the specific experience, attributes, and skills that led to the Board’s conclusion that such person should serve as a director of the Company at this time in light of our business and structure.</w:t>
      </w:r>
    </w:p>
    <w:p>
      <w:pPr>
        <w:spacing w:after="0" w:line="108"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If any director nominee becomes unavailable to serve, the persons named in the accompanying Proxy Card may vote for any alternate designated by the incumbent Board, or the number of directors constituting the Board may be reduced.</w:t>
      </w:r>
    </w:p>
    <w:p>
      <w:pPr>
        <w:spacing w:after="0" w:line="38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21"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The Board has nominated the following directors for re-election as Class I directors for a three-year term expiring at the 2029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126365</wp:posOffset>
            </wp:positionV>
            <wp:extent cx="5974715" cy="5915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74715" cy="591502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sectPr>
      </w:pPr>
    </w:p>
    <w:p>
      <w:pPr>
        <w:spacing w:after="0" w:line="292" w:lineRule="exact"/>
        <w:rPr>
          <w:sz w:val="20"/>
          <w:szCs w:val="20"/>
          <w:color w:val="auto"/>
        </w:rPr>
      </w:pPr>
    </w:p>
    <w:p>
      <w:pPr>
        <w:jc w:val="center"/>
        <w:ind w:left="600"/>
        <w:spacing w:after="0"/>
        <w:rPr>
          <w:sz w:val="20"/>
          <w:szCs w:val="20"/>
          <w:color w:val="auto"/>
        </w:rPr>
      </w:pPr>
      <w:r>
        <w:rPr>
          <w:rFonts w:ascii="Arial" w:cs="Arial" w:eastAsia="Arial" w:hAnsi="Arial"/>
          <w:sz w:val="21"/>
          <w:szCs w:val="21"/>
          <w:b w:val="1"/>
          <w:bCs w:val="1"/>
          <w:color w:val="C6093B"/>
        </w:rPr>
        <w:t>John W. Norris,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Class I</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Independent Director</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68</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2001</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Board Governance</w:t>
      </w:r>
    </w:p>
    <w:p>
      <w:pPr>
        <w:spacing w:after="0" w:line="12" w:lineRule="exact"/>
        <w:rPr>
          <w:sz w:val="20"/>
          <w:szCs w:val="20"/>
          <w:color w:val="auto"/>
        </w:rPr>
      </w:pPr>
    </w:p>
    <w:p>
      <w:pPr>
        <w:ind w:left="1100" w:right="180"/>
        <w:spacing w:after="0" w:line="266" w:lineRule="auto"/>
        <w:rPr>
          <w:sz w:val="20"/>
          <w:szCs w:val="20"/>
          <w:color w:val="auto"/>
        </w:rPr>
      </w:pPr>
      <w:r>
        <w:rPr>
          <w:rFonts w:ascii="Arial" w:cs="Arial" w:eastAsia="Arial" w:hAnsi="Arial"/>
          <w:sz w:val="18"/>
          <w:szCs w:val="18"/>
          <w:i w:val="1"/>
          <w:iCs w:val="1"/>
          <w:color w:val="auto"/>
        </w:rPr>
        <w:t>Compensation and Human Resources</w:t>
      </w:r>
    </w:p>
    <w:p>
      <w:pPr>
        <w:spacing w:after="0" w:line="10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Manufacturing/Distribution</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Sustainability</w:t>
      </w:r>
    </w:p>
    <w:p>
      <w:pPr>
        <w:ind w:left="1100"/>
        <w:spacing w:after="0"/>
        <w:rPr>
          <w:sz w:val="20"/>
          <w:szCs w:val="20"/>
          <w:color w:val="auto"/>
        </w:rPr>
      </w:pPr>
      <w:r>
        <w:rPr>
          <w:rFonts w:ascii="Arial" w:cs="Arial" w:eastAsia="Arial" w:hAnsi="Arial"/>
          <w:sz w:val="17"/>
          <w:szCs w:val="17"/>
          <w:color w:val="auto"/>
        </w:rPr>
        <w:t>Enterprise Risk Management</w:t>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Human Capital Management</w:t>
      </w:r>
    </w:p>
    <w:p>
      <w:pPr>
        <w:ind w:left="1100"/>
        <w:spacing w:after="0"/>
        <w:rPr>
          <w:sz w:val="20"/>
          <w:szCs w:val="20"/>
          <w:color w:val="auto"/>
        </w:rPr>
      </w:pPr>
      <w:r>
        <w:rPr>
          <w:rFonts w:ascii="Arial" w:cs="Arial" w:eastAsia="Arial" w:hAnsi="Arial"/>
          <w:sz w:val="18"/>
          <w:szCs w:val="18"/>
          <w:color w:val="auto"/>
        </w:rPr>
        <w:t>Strategic Planning/Oversight</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142" w:lineRule="exact"/>
        <w:rPr>
          <w:sz w:val="20"/>
          <w:szCs w:val="20"/>
          <w:color w:val="auto"/>
        </w:rPr>
      </w:pPr>
    </w:p>
    <w:p>
      <w:pPr>
        <w:ind w:left="660" w:right="760" w:hanging="328"/>
        <w:spacing w:after="0" w:line="238"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Founding Chairman of two philanthropic collaboratives, the Environmental Funders Network and Climate Change Funders Forum, both focused on strategically aligning resources to address climate adaptation and mitigation strategies in Maine (2005 – present)</w:t>
      </w:r>
    </w:p>
    <w:p>
      <w:pPr>
        <w:spacing w:after="0" w:line="4" w:lineRule="exact"/>
        <w:rPr>
          <w:rFonts w:ascii="Arial" w:cs="Arial" w:eastAsia="Arial" w:hAnsi="Arial"/>
          <w:sz w:val="14"/>
          <w:szCs w:val="14"/>
          <w:color w:val="auto"/>
        </w:rPr>
      </w:pPr>
    </w:p>
    <w:p>
      <w:pPr>
        <w:ind w:left="660" w:right="760" w:hanging="328"/>
        <w:spacing w:after="0" w:line="229"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Co-founder of Maine Network Partners, an organization supporting grassroots leaders and non-profit organizations in developing collaborative solutions to achieve greater impact (2007 – 2021)</w:t>
      </w:r>
    </w:p>
    <w:p>
      <w:pPr>
        <w:spacing w:after="0" w:line="1" w:lineRule="exact"/>
        <w:rPr>
          <w:rFonts w:ascii="Arial" w:cs="Arial" w:eastAsia="Arial" w:hAnsi="Arial"/>
          <w:sz w:val="14"/>
          <w:szCs w:val="14"/>
          <w:color w:val="auto"/>
        </w:rPr>
      </w:pPr>
    </w:p>
    <w:p>
      <w:pPr>
        <w:ind w:left="660" w:right="1060" w:hanging="328"/>
        <w:spacing w:after="0" w:line="234"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Program Officer - Rural Tourism Development, Northern Forest Center (2006 – 2007)</w:t>
      </w:r>
    </w:p>
    <w:p>
      <w:pPr>
        <w:spacing w:after="0" w:line="1" w:lineRule="exact"/>
        <w:rPr>
          <w:rFonts w:ascii="Arial" w:cs="Arial" w:eastAsia="Arial" w:hAnsi="Arial"/>
          <w:sz w:val="14"/>
          <w:szCs w:val="14"/>
          <w:color w:val="auto"/>
        </w:rPr>
      </w:pPr>
    </w:p>
    <w:p>
      <w:pPr>
        <w:ind w:left="660" w:right="940" w:hanging="328"/>
        <w:spacing w:after="0" w:line="234"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Associate Director of Philanthropy, Maine Chapter of The Nature Conservancy (2001 – 2005)</w:t>
      </w:r>
    </w:p>
    <w:p>
      <w:pPr>
        <w:spacing w:after="0" w:line="1" w:lineRule="exact"/>
        <w:rPr>
          <w:rFonts w:ascii="Arial" w:cs="Arial" w:eastAsia="Arial" w:hAnsi="Arial"/>
          <w:sz w:val="14"/>
          <w:szCs w:val="14"/>
          <w:color w:val="auto"/>
        </w:rPr>
      </w:pPr>
    </w:p>
    <w:p>
      <w:pPr>
        <w:ind w:left="660" w:right="960" w:hanging="328"/>
        <w:spacing w:after="0" w:line="234"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Co-Founder and President of Borealis, Inc., an outdoor products manufacturer (1988 – 2000)</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7"/>
          <w:szCs w:val="17"/>
          <w:color w:val="auto"/>
        </w:rPr>
        <w:t>Peace Corps in Jamaica, small business development (1985 – 1987)</w:t>
      </w:r>
    </w:p>
    <w:p>
      <w:pPr>
        <w:spacing w:after="0" w:line="7" w:lineRule="exact"/>
        <w:rPr>
          <w:rFonts w:ascii="Arial" w:cs="Arial" w:eastAsia="Arial" w:hAnsi="Arial"/>
          <w:sz w:val="13"/>
          <w:szCs w:val="13"/>
          <w:color w:val="auto"/>
        </w:rPr>
      </w:pPr>
    </w:p>
    <w:p>
      <w:pPr>
        <w:ind w:left="660" w:right="780" w:hanging="328"/>
        <w:spacing w:after="0" w:line="234" w:lineRule="auto"/>
        <w:tabs>
          <w:tab w:leader="none" w:pos="656" w:val="left"/>
        </w:tabs>
        <w:numPr>
          <w:ilvl w:val="0"/>
          <w:numId w:val="7"/>
        </w:numPr>
        <w:rPr>
          <w:rFonts w:ascii="Arial" w:cs="Arial" w:eastAsia="Arial" w:hAnsi="Arial"/>
          <w:sz w:val="14"/>
          <w:szCs w:val="14"/>
          <w:color w:val="auto"/>
        </w:rPr>
      </w:pPr>
      <w:r>
        <w:rPr>
          <w:rFonts w:ascii="Arial" w:cs="Arial" w:eastAsia="Arial" w:hAnsi="Arial"/>
          <w:sz w:val="18"/>
          <w:szCs w:val="18"/>
          <w:color w:val="auto"/>
        </w:rPr>
        <w:t>Graduate School Intern, Lennox Industries Inc. (a subsidiary of the Company) (1983)</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8"/>
          <w:szCs w:val="18"/>
          <w:color w:val="auto"/>
        </w:rPr>
        <w:t>Senior Credit Analyst, Fort Worth National Bank (1980 – 1982)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38" w:lineRule="exact"/>
        <w:rPr>
          <w:sz w:val="20"/>
          <w:szCs w:val="20"/>
          <w:color w:val="auto"/>
        </w:rPr>
      </w:pPr>
    </w:p>
    <w:p>
      <w:pPr>
        <w:ind w:left="660" w:right="1280" w:hanging="328"/>
        <w:spacing w:after="0" w:line="242" w:lineRule="auto"/>
        <w:tabs>
          <w:tab w:leader="none" w:pos="656"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(2019 – present) and Chair (2020 – present), Camp Chippewa for Boys</w:t>
      </w:r>
    </w:p>
    <w:p>
      <w:pPr>
        <w:spacing w:after="0" w:line="1" w:lineRule="exact"/>
        <w:rPr>
          <w:rFonts w:ascii="Arial" w:cs="Arial" w:eastAsia="Arial" w:hAnsi="Arial"/>
          <w:sz w:val="14"/>
          <w:szCs w:val="14"/>
          <w:color w:val="auto"/>
        </w:rPr>
      </w:pPr>
    </w:p>
    <w:p>
      <w:pPr>
        <w:ind w:left="660" w:right="820" w:hanging="328"/>
        <w:spacing w:after="0" w:line="234" w:lineRule="auto"/>
        <w:tabs>
          <w:tab w:leader="none" w:pos="656" w:val="left"/>
        </w:tabs>
        <w:numPr>
          <w:ilvl w:val="0"/>
          <w:numId w:val="8"/>
        </w:numPr>
        <w:rPr>
          <w:rFonts w:ascii="Arial" w:cs="Arial" w:eastAsia="Arial" w:hAnsi="Arial"/>
          <w:sz w:val="14"/>
          <w:szCs w:val="14"/>
          <w:color w:val="auto"/>
        </w:rPr>
      </w:pPr>
      <w:r>
        <w:rPr>
          <w:rFonts w:ascii="Arial" w:cs="Arial" w:eastAsia="Arial" w:hAnsi="Arial"/>
          <w:sz w:val="18"/>
          <w:szCs w:val="18"/>
          <w:color w:val="auto"/>
        </w:rPr>
        <w:t>Trustee (2008 – 2018) and Chair (2016 – 2018), Maine Chapter of the Nature Conservancy</w:t>
      </w:r>
    </w:p>
    <w:p>
      <w:pPr>
        <w:spacing w:after="0" w:line="1" w:lineRule="exact"/>
        <w:rPr>
          <w:rFonts w:ascii="Arial" w:cs="Arial" w:eastAsia="Arial" w:hAnsi="Arial"/>
          <w:sz w:val="14"/>
          <w:szCs w:val="14"/>
          <w:color w:val="auto"/>
        </w:rPr>
      </w:pPr>
    </w:p>
    <w:p>
      <w:pPr>
        <w:ind w:left="660" w:hanging="328"/>
        <w:spacing w:after="0" w:line="234"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Northern Forest Canoe Trail (2013 – 2016)</w:t>
      </w:r>
    </w:p>
    <w:p>
      <w:pPr>
        <w:ind w:left="660" w:hanging="328"/>
        <w:spacing w:after="0" w:line="219"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Maine Philanthropy Center (2005 – 2011)</w:t>
      </w:r>
    </w:p>
    <w:p>
      <w:pPr>
        <w:ind w:left="660" w:hanging="328"/>
        <w:spacing w:after="0" w:line="234"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Maine Wilderness Guides Organization (2005 – 2011)</w:t>
      </w:r>
    </w:p>
    <w:p>
      <w:pPr>
        <w:ind w:left="660" w:hanging="328"/>
        <w:spacing w:after="0" w:line="234"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Cape Elizabeth Education Foundation (2006 – 2009)</w:t>
      </w:r>
    </w:p>
    <w:p>
      <w:pPr>
        <w:ind w:left="660" w:hanging="328"/>
        <w:spacing w:after="0" w:line="234"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8"/>
          <w:szCs w:val="18"/>
          <w:color w:val="auto"/>
        </w:rPr>
        <w:t>Director, Center for Cultural Exchange (2004 – 2005)</w:t>
      </w:r>
    </w:p>
    <w:p>
      <w:pPr>
        <w:ind w:left="660" w:right="940" w:hanging="328"/>
        <w:spacing w:after="0" w:line="250" w:lineRule="auto"/>
        <w:tabs>
          <w:tab w:leader="none" w:pos="656" w:val="left"/>
        </w:tabs>
        <w:numPr>
          <w:ilvl w:val="0"/>
          <w:numId w:val="8"/>
        </w:numPr>
        <w:rPr>
          <w:rFonts w:ascii="Arial" w:cs="Arial" w:eastAsia="Arial" w:hAnsi="Arial"/>
          <w:sz w:val="14"/>
          <w:szCs w:val="14"/>
          <w:color w:val="auto"/>
        </w:rPr>
      </w:pPr>
      <w:r>
        <w:rPr>
          <w:rFonts w:ascii="Arial" w:cs="Arial" w:eastAsia="Arial" w:hAnsi="Arial"/>
          <w:sz w:val="18"/>
          <w:szCs w:val="18"/>
          <w:color w:val="auto"/>
        </w:rPr>
        <w:t>Completed Economist course on Climate Change and Business: Sustainability, Risk and the Push for Net Zero (2022)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8"/>
          <w:szCs w:val="18"/>
          <w:color w:val="auto"/>
        </w:rPr>
        <w:t>B.B.A. in Finance and Economics, Texas Christian University</w:t>
      </w:r>
    </w:p>
    <w:p>
      <w:pPr>
        <w:spacing w:after="0" w:line="9" w:lineRule="exact"/>
        <w:rPr>
          <w:rFonts w:ascii="Arial" w:cs="Arial" w:eastAsia="Arial" w:hAnsi="Arial"/>
          <w:sz w:val="14"/>
          <w:szCs w:val="14"/>
          <w:color w:val="auto"/>
        </w:rPr>
      </w:pPr>
    </w:p>
    <w:p>
      <w:pPr>
        <w:ind w:left="660" w:right="1220" w:hanging="328"/>
        <w:spacing w:after="0" w:line="250" w:lineRule="auto"/>
        <w:tabs>
          <w:tab w:leader="none" w:pos="656" w:val="left"/>
        </w:tabs>
        <w:numPr>
          <w:ilvl w:val="0"/>
          <w:numId w:val="9"/>
        </w:numPr>
        <w:rPr>
          <w:rFonts w:ascii="Arial" w:cs="Arial" w:eastAsia="Arial" w:hAnsi="Arial"/>
          <w:sz w:val="14"/>
          <w:szCs w:val="14"/>
          <w:color w:val="auto"/>
        </w:rPr>
      </w:pPr>
      <w:r>
        <w:rPr>
          <w:rFonts w:ascii="Arial" w:cs="Arial" w:eastAsia="Arial" w:hAnsi="Arial"/>
          <w:sz w:val="18"/>
          <w:szCs w:val="18"/>
          <w:color w:val="auto"/>
        </w:rPr>
        <w:t>M.B.A. in Organizational Behavior and Strategy, University of Michigan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38" w:lineRule="exact"/>
        <w:rPr>
          <w:sz w:val="20"/>
          <w:szCs w:val="20"/>
          <w:color w:val="auto"/>
        </w:rPr>
      </w:pPr>
    </w:p>
    <w:p>
      <w:pPr>
        <w:ind w:right="700"/>
        <w:spacing w:after="0" w:line="245" w:lineRule="auto"/>
        <w:rPr>
          <w:sz w:val="20"/>
          <w:szCs w:val="20"/>
          <w:color w:val="auto"/>
        </w:rPr>
      </w:pPr>
      <w:r>
        <w:rPr>
          <w:rFonts w:ascii="Arial" w:cs="Arial" w:eastAsia="Arial" w:hAnsi="Arial"/>
          <w:sz w:val="18"/>
          <w:szCs w:val="18"/>
          <w:color w:val="auto"/>
        </w:rPr>
        <w:t>Mr. Norris contributes substantial experience and knowledge on climate risk and environmental issues, benefitting the Company in its sustainability journey. Mr. Norris also provides organizational development insights from founding both non-profit and for-profit companies.</w:t>
      </w:r>
    </w:p>
    <w:p>
      <w:pPr>
        <w:spacing w:after="0" w:line="200" w:lineRule="exact"/>
        <w:rPr>
          <w:sz w:val="20"/>
          <w:szCs w:val="20"/>
          <w:color w:val="auto"/>
        </w:rPr>
      </w:pPr>
    </w:p>
    <w:p>
      <w:pPr>
        <w:sectPr>
          <w:pgSz w:w="11900" w:h="16838" w:orient="portrait"/>
          <w:cols w:equalWidth="0" w:num="2">
            <w:col w:w="3420" w:space="540"/>
            <w:col w:w="6720"/>
          </w:cols>
          <w:pgMar w:left="320" w:top="769" w:right="899"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769" w:right="899" w:bottom="1440" w:gutter="0" w:footer="0" w:header="0"/>
          <w:type w:val="continuous"/>
        </w:sectPr>
      </w:pPr>
    </w:p>
    <w:bookmarkStart w:id="13" w:name="page14"/>
    <w:bookmarkEnd w:id="13"/>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Karen H. Quintos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Governance (Chair)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w:t>
      </w:r>
    </w:p>
    <w:p>
      <w:pPr>
        <w:spacing w:after="0" w:line="27" w:lineRule="exact"/>
        <w:rPr>
          <w:sz w:val="20"/>
          <w:szCs w:val="20"/>
          <w:color w:val="auto"/>
        </w:rPr>
      </w:pPr>
    </w:p>
    <w:p>
      <w:pPr>
        <w:ind w:right="200"/>
        <w:spacing w:after="0" w:line="381" w:lineRule="auto"/>
        <w:rPr>
          <w:sz w:val="20"/>
          <w:szCs w:val="20"/>
          <w:color w:val="auto"/>
        </w:rPr>
      </w:pPr>
      <w:r>
        <w:rPr>
          <w:rFonts w:ascii="Arial" w:cs="Arial" w:eastAsia="Arial" w:hAnsi="Arial"/>
          <w:sz w:val="17"/>
          <w:szCs w:val="17"/>
          <w:color w:val="auto"/>
        </w:rPr>
        <w:t>Manufacturing/Distribution Sustainability ERM</w:t>
      </w:r>
    </w:p>
    <w:p>
      <w:pPr>
        <w:spacing w:after="0" w:line="235" w:lineRule="auto"/>
        <w:rPr>
          <w:sz w:val="20"/>
          <w:szCs w:val="20"/>
          <w:color w:val="auto"/>
        </w:rPr>
      </w:pPr>
      <w:r>
        <w:rPr>
          <w:rFonts w:ascii="Arial" w:cs="Arial" w:eastAsia="Arial" w:hAnsi="Arial"/>
          <w:sz w:val="18"/>
          <w:szCs w:val="18"/>
          <w:color w:val="auto"/>
        </w:rPr>
        <w:t>Marketing/Sales</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-197485</wp:posOffset>
            </wp:positionV>
            <wp:extent cx="5974715" cy="5280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74715" cy="5280660"/>
                    </a:xfrm>
                    <a:prstGeom prst="rect">
                      <a:avLst/>
                    </a:prstGeom>
                    <a:noFill/>
                  </pic:spPr>
                </pic:pic>
              </a:graphicData>
            </a:graphic>
          </wp:anchor>
        </w:drawing>
      </w:r>
    </w:p>
    <w:p>
      <w:pPr>
        <w:spacing w:after="0" w:line="122" w:lineRule="exact"/>
        <w:rPr>
          <w:sz w:val="20"/>
          <w:szCs w:val="20"/>
          <w:color w:val="auto"/>
        </w:rPr>
      </w:pPr>
    </w:p>
    <w:p>
      <w:pPr>
        <w:ind w:left="640" w:right="39" w:hanging="315"/>
        <w:spacing w:after="0" w:line="237" w:lineRule="auto"/>
        <w:tabs>
          <w:tab w:leader="none" w:pos="636" w:val="left"/>
        </w:tabs>
        <w:numPr>
          <w:ilvl w:val="0"/>
          <w:numId w:val="10"/>
        </w:numPr>
        <w:rPr>
          <w:rFonts w:ascii="Arial" w:cs="Arial" w:eastAsia="Arial" w:hAnsi="Arial"/>
          <w:sz w:val="14"/>
          <w:szCs w:val="14"/>
          <w:color w:val="auto"/>
        </w:rPr>
      </w:pPr>
      <w:r>
        <w:rPr>
          <w:rFonts w:ascii="Arial" w:cs="Arial" w:eastAsia="Arial" w:hAnsi="Arial"/>
          <w:sz w:val="18"/>
          <w:szCs w:val="18"/>
          <w:color w:val="auto"/>
        </w:rPr>
        <w:t>Retired; Executive Vice President and Chief Customer Officer, including responsibility for ESG and Diversity (2016 – 2020); Senior Vice President and Chief Marketing Officer (2010 – 2016); Vice President of Public Sector Marketing and North America Commercial (2008 – 2010); and other executive roles in services, support, and supply chain management (2000 – 2008), Dell Technologies Inc., a technology leader that provides essential infrastructure for organizations to build their digital future, transform IT, and protect their most important information</w:t>
      </w:r>
    </w:p>
    <w:p>
      <w:pPr>
        <w:ind w:left="640" w:right="239" w:hanging="315"/>
        <w:spacing w:after="0" w:line="226" w:lineRule="auto"/>
        <w:tabs>
          <w:tab w:leader="none" w:pos="636" w:val="left"/>
        </w:tabs>
        <w:numPr>
          <w:ilvl w:val="0"/>
          <w:numId w:val="10"/>
        </w:numPr>
        <w:rPr>
          <w:rFonts w:ascii="Arial" w:cs="Arial" w:eastAsia="Arial" w:hAnsi="Arial"/>
          <w:sz w:val="14"/>
          <w:szCs w:val="14"/>
          <w:color w:val="auto"/>
        </w:rPr>
      </w:pPr>
      <w:r>
        <w:rPr>
          <w:rFonts w:ascii="Arial" w:cs="Arial" w:eastAsia="Arial" w:hAnsi="Arial"/>
          <w:sz w:val="18"/>
          <w:szCs w:val="18"/>
          <w:color w:val="auto"/>
        </w:rPr>
        <w:t>Vice President, Operations &amp; Technology, Citigroup North America Inc., a financial services corporation (1997 – 2000)</w:t>
      </w:r>
    </w:p>
    <w:p>
      <w:pPr>
        <w:spacing w:after="0" w:line="1" w:lineRule="exact"/>
        <w:rPr>
          <w:rFonts w:ascii="Arial" w:cs="Arial" w:eastAsia="Arial" w:hAnsi="Arial"/>
          <w:sz w:val="14"/>
          <w:szCs w:val="14"/>
          <w:color w:val="auto"/>
        </w:rPr>
      </w:pPr>
    </w:p>
    <w:p>
      <w:pPr>
        <w:jc w:val="both"/>
        <w:ind w:left="640" w:right="199" w:hanging="315"/>
        <w:spacing w:after="0" w:line="242" w:lineRule="auto"/>
        <w:tabs>
          <w:tab w:leader="none" w:pos="636" w:val="left"/>
        </w:tabs>
        <w:numPr>
          <w:ilvl w:val="0"/>
          <w:numId w:val="10"/>
        </w:numPr>
        <w:rPr>
          <w:rFonts w:ascii="Arial" w:cs="Arial" w:eastAsia="Arial" w:hAnsi="Arial"/>
          <w:sz w:val="14"/>
          <w:szCs w:val="14"/>
          <w:color w:val="auto"/>
        </w:rPr>
      </w:pPr>
      <w:r>
        <w:rPr>
          <w:rFonts w:ascii="Arial" w:cs="Arial" w:eastAsia="Arial" w:hAnsi="Arial"/>
          <w:sz w:val="18"/>
          <w:szCs w:val="18"/>
          <w:color w:val="auto"/>
        </w:rPr>
        <w:t>Director of Packaging (1996 – 1997) and Director of Global Supply Chain Management (1993 – 1996), Merck &amp; Co., a pharmaceutical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40" w:right="459" w:hanging="315"/>
        <w:spacing w:after="0" w:line="245" w:lineRule="auto"/>
        <w:tabs>
          <w:tab w:leader="none" w:pos="636" w:val="left"/>
        </w:tabs>
        <w:numPr>
          <w:ilvl w:val="0"/>
          <w:numId w:val="11"/>
        </w:numPr>
        <w:rPr>
          <w:rFonts w:ascii="Arial" w:cs="Arial" w:eastAsia="Arial" w:hAnsi="Arial"/>
          <w:sz w:val="14"/>
          <w:szCs w:val="14"/>
          <w:color w:val="auto"/>
        </w:rPr>
      </w:pPr>
      <w:r>
        <w:rPr>
          <w:rFonts w:ascii="Arial" w:cs="Arial" w:eastAsia="Arial" w:hAnsi="Arial"/>
          <w:sz w:val="18"/>
          <w:szCs w:val="18"/>
          <w:color w:val="auto"/>
        </w:rPr>
        <w:t>Cummins Inc., a global power technology leader that designs, engineers, manufactures, distributes, and services engines and related technologies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40" w:hanging="315"/>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8"/>
          <w:szCs w:val="18"/>
          <w:color w:val="auto"/>
        </w:rPr>
        <w:t>Board of Trustees, Pennsylvania State University</w:t>
      </w:r>
    </w:p>
    <w:p>
      <w:pPr>
        <w:spacing w:after="0" w:line="13" w:lineRule="exact"/>
        <w:rPr>
          <w:rFonts w:ascii="Arial" w:cs="Arial" w:eastAsia="Arial" w:hAnsi="Arial"/>
          <w:sz w:val="14"/>
          <w:szCs w:val="14"/>
          <w:color w:val="auto"/>
        </w:rPr>
      </w:pPr>
    </w:p>
    <w:p>
      <w:pPr>
        <w:ind w:left="640" w:right="99" w:hanging="315"/>
        <w:spacing w:after="0" w:line="230" w:lineRule="auto"/>
        <w:tabs>
          <w:tab w:leader="none" w:pos="636" w:val="left"/>
        </w:tabs>
        <w:numPr>
          <w:ilvl w:val="0"/>
          <w:numId w:val="12"/>
        </w:numPr>
        <w:rPr>
          <w:rFonts w:ascii="Arial" w:cs="Arial" w:eastAsia="Arial" w:hAnsi="Arial"/>
          <w:sz w:val="14"/>
          <w:szCs w:val="14"/>
          <w:color w:val="auto"/>
        </w:rPr>
      </w:pPr>
      <w:r>
        <w:rPr>
          <w:rFonts w:ascii="Arial" w:cs="Arial" w:eastAsia="Arial" w:hAnsi="Arial"/>
          <w:sz w:val="18"/>
          <w:szCs w:val="18"/>
          <w:color w:val="auto"/>
        </w:rPr>
        <w:t>Chair of the Board of Visitors of Pennsylvania State University Smeal’s College of Business, where she was a 2014 recipient of the Smeal College of Business’ highest honor, the Distinguished Alumni Award</w:t>
      </w:r>
    </w:p>
    <w:p>
      <w:pPr>
        <w:spacing w:after="0" w:line="3" w:lineRule="exact"/>
        <w:rPr>
          <w:rFonts w:ascii="Arial" w:cs="Arial" w:eastAsia="Arial" w:hAnsi="Arial"/>
          <w:sz w:val="14"/>
          <w:szCs w:val="14"/>
          <w:color w:val="auto"/>
        </w:rPr>
      </w:pPr>
    </w:p>
    <w:p>
      <w:pPr>
        <w:ind w:left="640" w:hanging="315"/>
        <w:spacing w:after="0" w:line="234" w:lineRule="auto"/>
        <w:tabs>
          <w:tab w:leader="none" w:pos="640" w:val="left"/>
        </w:tabs>
        <w:numPr>
          <w:ilvl w:val="0"/>
          <w:numId w:val="12"/>
        </w:numPr>
        <w:rPr>
          <w:rFonts w:ascii="Arial" w:cs="Arial" w:eastAsia="Arial" w:hAnsi="Arial"/>
          <w:sz w:val="14"/>
          <w:szCs w:val="14"/>
          <w:color w:val="auto"/>
        </w:rPr>
      </w:pPr>
      <w:r>
        <w:rPr>
          <w:rFonts w:ascii="Arial" w:cs="Arial" w:eastAsia="Arial" w:hAnsi="Arial"/>
          <w:sz w:val="18"/>
          <w:szCs w:val="18"/>
          <w:color w:val="auto"/>
        </w:rPr>
        <w:t>Director, the National Center for Missing and Exploited Children</w:t>
      </w:r>
    </w:p>
    <w:p>
      <w:pPr>
        <w:ind w:left="640" w:hanging="315"/>
        <w:spacing w:after="0"/>
        <w:tabs>
          <w:tab w:leader="none" w:pos="640" w:val="left"/>
        </w:tabs>
        <w:numPr>
          <w:ilvl w:val="0"/>
          <w:numId w:val="12"/>
        </w:numPr>
        <w:rPr>
          <w:rFonts w:ascii="Arial" w:cs="Arial" w:eastAsia="Arial" w:hAnsi="Arial"/>
          <w:sz w:val="14"/>
          <w:szCs w:val="14"/>
          <w:color w:val="auto"/>
        </w:rPr>
      </w:pPr>
      <w:r>
        <w:rPr>
          <w:rFonts w:ascii="Arial" w:cs="Arial" w:eastAsia="Arial" w:hAnsi="Arial"/>
          <w:sz w:val="18"/>
          <w:szCs w:val="18"/>
          <w:color w:val="auto"/>
        </w:rPr>
        <w:t>Director, TGEN (Translational Genomics Research Institute)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40" w:hanging="315"/>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B.S. in Supply Chain Management, Pennsylvania State University</w:t>
      </w:r>
    </w:p>
    <w:p>
      <w:pPr>
        <w:spacing w:after="0" w:line="9" w:lineRule="exact"/>
        <w:rPr>
          <w:rFonts w:ascii="Arial" w:cs="Arial" w:eastAsia="Arial" w:hAnsi="Arial"/>
          <w:sz w:val="14"/>
          <w:szCs w:val="14"/>
          <w:color w:val="auto"/>
        </w:rPr>
      </w:pPr>
    </w:p>
    <w:p>
      <w:pPr>
        <w:ind w:left="640" w:hanging="315"/>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8"/>
          <w:szCs w:val="18"/>
          <w:color w:val="auto"/>
        </w:rPr>
        <w:t>M.B.A. in Marketing and International Business, New York University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Ms. Quintos’ supervisory experience in the areas of marketing, branding,</w:t>
      </w:r>
    </w:p>
    <w:p>
      <w:pPr>
        <w:spacing w:after="0" w:line="14" w:lineRule="exact"/>
        <w:rPr>
          <w:sz w:val="20"/>
          <w:szCs w:val="20"/>
          <w:color w:val="auto"/>
        </w:rPr>
      </w:pPr>
    </w:p>
    <w:p>
      <w:pPr>
        <w:ind w:right="259"/>
        <w:spacing w:after="0" w:line="237" w:lineRule="auto"/>
        <w:rPr>
          <w:sz w:val="20"/>
          <w:szCs w:val="20"/>
          <w:color w:val="auto"/>
        </w:rPr>
      </w:pPr>
      <w:r>
        <w:rPr>
          <w:rFonts w:ascii="Arial" w:cs="Arial" w:eastAsia="Arial" w:hAnsi="Arial"/>
          <w:sz w:val="18"/>
          <w:szCs w:val="18"/>
          <w:color w:val="auto"/>
        </w:rPr>
        <w:t>communications, sustainability, operations, and supply chain management brings broad knowledge of these issues to the Board.</w:t>
      </w:r>
    </w:p>
    <w:p>
      <w:pPr>
        <w:spacing w:after="0" w:line="200" w:lineRule="exact"/>
        <w:rPr>
          <w:sz w:val="20"/>
          <w:szCs w:val="20"/>
          <w:color w:val="auto"/>
        </w:rPr>
      </w:pPr>
    </w:p>
    <w:p>
      <w:pPr>
        <w:sectPr>
          <w:pgSz w:w="11900" w:h="16838" w:orient="portrait"/>
          <w:cols w:equalWidth="0" w:num="2">
            <w:col w:w="2280" w:space="600"/>
            <w:col w:w="6159"/>
          </w:cols>
          <w:pgMar w:left="1420" w:top="919"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183515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14" w:name="page15"/>
    <w:bookmarkEnd w:id="14"/>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Shane D.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2020</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Human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Resources (Chair)</w:t>
      </w:r>
    </w:p>
    <w:p>
      <w:pPr>
        <w:spacing w:after="0"/>
        <w:rPr>
          <w:sz w:val="20"/>
          <w:szCs w:val="20"/>
          <w:color w:val="auto"/>
        </w:rPr>
      </w:pPr>
      <w:r>
        <w:rPr>
          <w:rFonts w:ascii="Arial" w:cs="Arial" w:eastAsia="Arial" w:hAnsi="Arial"/>
          <w:sz w:val="18"/>
          <w:szCs w:val="18"/>
          <w:i w:val="1"/>
          <w:iCs w:val="1"/>
          <w:color w:val="auto"/>
        </w:rPr>
        <w:t>Executive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Executive Leadership Manufacturing/Distribution ERM</w:t>
      </w:r>
    </w:p>
    <w:p>
      <w:pPr>
        <w:spacing w:after="0" w:line="1"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Marketing/Sales Cybersecurity 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-197485</wp:posOffset>
            </wp:positionV>
            <wp:extent cx="5974715" cy="46545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74715" cy="4654550"/>
                    </a:xfrm>
                    <a:prstGeom prst="rect">
                      <a:avLst/>
                    </a:prstGeom>
                    <a:noFill/>
                  </pic:spPr>
                </pic:pic>
              </a:graphicData>
            </a:graphic>
          </wp:anchor>
        </w:drawing>
      </w:r>
    </w:p>
    <w:p>
      <w:pPr>
        <w:spacing w:after="0" w:line="28" w:lineRule="exact"/>
        <w:rPr>
          <w:sz w:val="20"/>
          <w:szCs w:val="20"/>
          <w:color w:val="auto"/>
        </w:rPr>
      </w:pPr>
    </w:p>
    <w:p>
      <w:pPr>
        <w:ind w:left="640" w:right="199" w:hanging="315"/>
        <w:spacing w:after="0" w:line="246"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8"/>
          <w:szCs w:val="18"/>
          <w:color w:val="auto"/>
        </w:rPr>
        <w:t>Retired; Special Advisor to Chief Executive Officer (2020 – 2023); Chief Technology Officer and Global Head (2015 – 2020), HP Labs of HP Inc., a global information technology company</w:t>
      </w:r>
    </w:p>
    <w:p>
      <w:pPr>
        <w:spacing w:after="0" w:line="2" w:lineRule="exact"/>
        <w:rPr>
          <w:rFonts w:ascii="Arial" w:cs="Arial" w:eastAsia="Arial" w:hAnsi="Arial"/>
          <w:sz w:val="14"/>
          <w:szCs w:val="14"/>
          <w:color w:val="auto"/>
        </w:rPr>
      </w:pPr>
    </w:p>
    <w:p>
      <w:pPr>
        <w:ind w:left="640" w:right="99" w:hanging="315"/>
        <w:spacing w:after="0"/>
        <w:tabs>
          <w:tab w:leader="none" w:pos="636" w:val="left"/>
        </w:tabs>
        <w:numPr>
          <w:ilvl w:val="0"/>
          <w:numId w:val="14"/>
        </w:numPr>
        <w:rPr>
          <w:rFonts w:ascii="Arial" w:cs="Arial" w:eastAsia="Arial" w:hAnsi="Arial"/>
          <w:sz w:val="14"/>
          <w:szCs w:val="14"/>
          <w:color w:val="auto"/>
        </w:rPr>
      </w:pPr>
      <w:r>
        <w:rPr>
          <w:rFonts w:ascii="Arial" w:cs="Arial" w:eastAsia="Arial" w:hAnsi="Arial"/>
          <w:sz w:val="18"/>
          <w:szCs w:val="18"/>
          <w:color w:val="auto"/>
        </w:rPr>
        <w:t>Chief Technology Officer and Senior Vice President of Printing and Personal Systems, Hewlett-Packard Company, a predecessor of HP Inc. (2012 – 2015)</w:t>
      </w:r>
    </w:p>
    <w:p>
      <w:pPr>
        <w:ind w:left="640" w:right="159" w:hanging="315"/>
        <w:spacing w:after="0"/>
        <w:tabs>
          <w:tab w:leader="none" w:pos="636" w:val="left"/>
        </w:tabs>
        <w:numPr>
          <w:ilvl w:val="0"/>
          <w:numId w:val="14"/>
        </w:numPr>
        <w:rPr>
          <w:rFonts w:ascii="Arial" w:cs="Arial" w:eastAsia="Arial" w:hAnsi="Arial"/>
          <w:sz w:val="14"/>
          <w:szCs w:val="14"/>
          <w:color w:val="auto"/>
        </w:rPr>
      </w:pPr>
      <w:r>
        <w:rPr>
          <w:rFonts w:ascii="Arial" w:cs="Arial" w:eastAsia="Arial" w:hAnsi="Arial"/>
          <w:sz w:val="18"/>
          <w:szCs w:val="18"/>
          <w:color w:val="auto"/>
        </w:rPr>
        <w:t>Vice President, Strategy &amp; Product Management, Mobile Platform Group (2007 – 2012); Vice President &amp; General Manager, Channel Products Group (2004 – 2007); Vice President &amp; General Manager, Corporate Technology Group (2000 – 2004); and Director, New Business Development (1998 – 2000), Intel Corporation, a technology company</w:t>
      </w:r>
    </w:p>
    <w:p>
      <w:pPr>
        <w:ind w:left="640" w:right="79" w:hanging="315"/>
        <w:spacing w:after="0" w:line="242"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8"/>
          <w:szCs w:val="18"/>
          <w:color w:val="auto"/>
        </w:rPr>
        <w:t>Co-Founder and Chief Technology Officer of PrintPaks, a spin-out of Hewlett-Packard Company (1995 – 1998)</w:t>
      </w:r>
    </w:p>
    <w:p>
      <w:pPr>
        <w:spacing w:after="0" w:line="1" w:lineRule="exact"/>
        <w:rPr>
          <w:rFonts w:ascii="Arial" w:cs="Arial" w:eastAsia="Arial" w:hAnsi="Arial"/>
          <w:sz w:val="14"/>
          <w:szCs w:val="14"/>
          <w:color w:val="auto"/>
        </w:rPr>
      </w:pPr>
    </w:p>
    <w:p>
      <w:pPr>
        <w:ind w:left="640" w:right="619" w:hanging="315"/>
        <w:spacing w:after="0" w:line="250" w:lineRule="auto"/>
        <w:tabs>
          <w:tab w:leader="none" w:pos="636" w:val="left"/>
        </w:tabs>
        <w:numPr>
          <w:ilvl w:val="0"/>
          <w:numId w:val="14"/>
        </w:numPr>
        <w:rPr>
          <w:rFonts w:ascii="Arial" w:cs="Arial" w:eastAsia="Arial" w:hAnsi="Arial"/>
          <w:sz w:val="14"/>
          <w:szCs w:val="14"/>
          <w:color w:val="auto"/>
        </w:rPr>
      </w:pPr>
      <w:r>
        <w:rPr>
          <w:rFonts w:ascii="Arial" w:cs="Arial" w:eastAsia="Arial" w:hAnsi="Arial"/>
          <w:sz w:val="18"/>
          <w:szCs w:val="18"/>
          <w:color w:val="auto"/>
        </w:rPr>
        <w:t>Various engineering and management roles, Hewlett-Packard Company (1986 – 1995)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40" w:right="99" w:hanging="315"/>
        <w:spacing w:after="0" w:line="253"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8"/>
          <w:szCs w:val="18"/>
          <w:color w:val="auto"/>
        </w:rPr>
        <w:t>Partner, Fusion Fund, an early stage venture capital firm focused on industrial, enterprise, and healthcare technologies</w:t>
      </w:r>
    </w:p>
    <w:p>
      <w:pPr>
        <w:ind w:left="640" w:right="259" w:hanging="315"/>
        <w:spacing w:after="0" w:line="242" w:lineRule="auto"/>
        <w:tabs>
          <w:tab w:leader="none" w:pos="636" w:val="left"/>
        </w:tabs>
        <w:numPr>
          <w:ilvl w:val="0"/>
          <w:numId w:val="15"/>
        </w:numPr>
        <w:rPr>
          <w:rFonts w:ascii="Arial" w:cs="Arial" w:eastAsia="Arial" w:hAnsi="Arial"/>
          <w:sz w:val="14"/>
          <w:szCs w:val="14"/>
          <w:color w:val="auto"/>
        </w:rPr>
      </w:pPr>
      <w:r>
        <w:rPr>
          <w:rFonts w:ascii="Arial" w:cs="Arial" w:eastAsia="Arial" w:hAnsi="Arial"/>
          <w:sz w:val="18"/>
          <w:szCs w:val="18"/>
          <w:color w:val="auto"/>
        </w:rPr>
        <w:t>Senior Advisor and Board Member, Arsenal Capital Partners, a specialized private equity firm focused on specialty industrials and healthcare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15"/>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8"/>
          <w:szCs w:val="18"/>
          <w:color w:val="auto"/>
        </w:rPr>
        <w:t>B.S. in Computer Engineering, Oregon State University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61" w:lineRule="exact"/>
        <w:rPr>
          <w:sz w:val="20"/>
          <w:szCs w:val="20"/>
          <w:color w:val="auto"/>
        </w:rPr>
      </w:pPr>
    </w:p>
    <w:p>
      <w:pPr>
        <w:ind w:right="659"/>
        <w:spacing w:after="0" w:line="252" w:lineRule="auto"/>
        <w:rPr>
          <w:sz w:val="20"/>
          <w:szCs w:val="20"/>
          <w:color w:val="auto"/>
        </w:rPr>
      </w:pPr>
      <w:r>
        <w:rPr>
          <w:rFonts w:ascii="Arial" w:cs="Arial" w:eastAsia="Arial" w:hAnsi="Arial"/>
          <w:sz w:val="18"/>
          <w:szCs w:val="18"/>
          <w:color w:val="auto"/>
        </w:rPr>
        <w:t>An experienced former Chief Technology Officer, Mr. Wall contributes extensive technology, AI, and cybersecurity experience, as well as meaningful experience in executive leadership and diverse business development within large global companies.</w:t>
      </w:r>
    </w:p>
    <w:p>
      <w:pPr>
        <w:spacing w:after="0" w:line="200" w:lineRule="exact"/>
        <w:rPr>
          <w:sz w:val="20"/>
          <w:szCs w:val="20"/>
          <w:color w:val="auto"/>
        </w:rPr>
      </w:pPr>
    </w:p>
    <w:p>
      <w:pPr>
        <w:sectPr>
          <w:pgSz w:w="11900" w:h="16838" w:orient="portrait"/>
          <w:cols w:equalWidth="0" w:num="2">
            <w:col w:w="2280" w:space="600"/>
            <w:col w:w="6159"/>
          </w:cols>
          <w:pgMar w:left="1420" w:top="919"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C60C35"/>
        </w:rPr>
        <w:t>THE BOARD RECOMMENDS A VOTE “FOR”</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C60C35"/>
        </w:rPr>
        <w:t>THE ELECTION OF EACH OF THE ABOVE NOMINEES.</w:t>
      </w:r>
    </w:p>
    <w:p>
      <w:pPr>
        <w:spacing w:after="0" w:line="2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The following Class II directors’ terms will continue until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128905</wp:posOffset>
            </wp:positionV>
            <wp:extent cx="5974715" cy="382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74715" cy="382333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C60C35"/>
        </w:rPr>
        <w:t>Sherry L. Buck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Class II</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Independent Director</w:t>
      </w:r>
    </w:p>
    <w:p>
      <w:pPr>
        <w:spacing w:after="0" w:line="8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62</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2019</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Audit – Financial Expert &amp;</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Chair</w:t>
      </w:r>
    </w:p>
    <w:p>
      <w:pPr>
        <w:ind w:left="1100"/>
        <w:spacing w:after="0"/>
        <w:rPr>
          <w:sz w:val="20"/>
          <w:szCs w:val="20"/>
          <w:color w:val="auto"/>
        </w:rPr>
      </w:pPr>
      <w:r>
        <w:rPr>
          <w:rFonts w:ascii="Arial" w:cs="Arial" w:eastAsia="Arial" w:hAnsi="Arial"/>
          <w:sz w:val="18"/>
          <w:szCs w:val="18"/>
          <w:i w:val="1"/>
          <w:iCs w:val="1"/>
          <w:color w:val="auto"/>
        </w:rPr>
        <w:t>Executive</w:t>
      </w:r>
    </w:p>
    <w:p>
      <w:pPr>
        <w:spacing w:after="0" w:line="155"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Financial Accounting</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Executive Leadership</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Manufacturing/Distribution</w:t>
      </w:r>
    </w:p>
    <w:p>
      <w:pPr>
        <w:ind w:left="1100"/>
        <w:spacing w:after="0" w:line="234" w:lineRule="auto"/>
        <w:rPr>
          <w:sz w:val="20"/>
          <w:szCs w:val="20"/>
          <w:color w:val="auto"/>
        </w:rPr>
      </w:pPr>
      <w:r>
        <w:rPr>
          <w:rFonts w:ascii="Arial" w:cs="Arial" w:eastAsia="Arial" w:hAnsi="Arial"/>
          <w:sz w:val="18"/>
          <w:szCs w:val="18"/>
          <w:color w:val="auto"/>
        </w:rPr>
        <w:t>ERM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Human Capital Management</w:t>
      </w:r>
    </w:p>
    <w:p>
      <w:pPr>
        <w:spacing w:after="0" w:line="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61" w:lineRule="exact"/>
        <w:rPr>
          <w:sz w:val="20"/>
          <w:szCs w:val="20"/>
          <w:color w:val="auto"/>
        </w:rPr>
      </w:pPr>
    </w:p>
    <w:p>
      <w:pPr>
        <w:ind w:left="660" w:right="199" w:hanging="328"/>
        <w:spacing w:after="0" w:line="242" w:lineRule="auto"/>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Retired; Chief Financial Officer, W.L. Gore &amp; Associates Inc., a multinational advanced materials company providing solutions for medical device, fabric laminates, aerospace, pharmaceuticals, mobile electronics, and other applications across diverse industries (2021 – 2025)</w:t>
      </w:r>
    </w:p>
    <w:p>
      <w:pPr>
        <w:ind w:left="660" w:right="439" w:hanging="328"/>
        <w:spacing w:after="0"/>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Senior Vice President and Chief Financial Officer, Waters Corporation, a specialty measurement company serving the life, materials, and food sciences industries (2017 – 2020)</w:t>
      </w:r>
    </w:p>
    <w:p>
      <w:pPr>
        <w:ind w:left="660" w:right="459" w:hanging="328"/>
        <w:spacing w:after="0"/>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Vice President, Chief Financial Officer, Libbey Inc., a global manufacturer and marketer of glass tableware products (2012 – 2016)</w:t>
      </w:r>
    </w:p>
    <w:p>
      <w:pPr>
        <w:ind w:left="660" w:right="19" w:hanging="328"/>
        <w:spacing w:after="0" w:line="242" w:lineRule="auto"/>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Senior finance and operating leadership roles, Whirlpool Corporation, a leading global appliance manufacturer (1993 – 2012)</w:t>
      </w:r>
    </w:p>
    <w:p>
      <w:pPr>
        <w:spacing w:after="0" w:line="1" w:lineRule="exact"/>
        <w:rPr>
          <w:rFonts w:ascii="Arial" w:cs="Arial" w:eastAsia="Arial" w:hAnsi="Arial"/>
          <w:sz w:val="14"/>
          <w:szCs w:val="14"/>
          <w:color w:val="auto"/>
        </w:rPr>
      </w:pPr>
    </w:p>
    <w:p>
      <w:pPr>
        <w:ind w:left="660" w:right="839" w:hanging="328"/>
        <w:spacing w:after="0" w:line="256" w:lineRule="auto"/>
        <w:tabs>
          <w:tab w:leader="none" w:pos="656" w:val="left"/>
        </w:tabs>
        <w:numPr>
          <w:ilvl w:val="0"/>
          <w:numId w:val="17"/>
        </w:numPr>
        <w:rPr>
          <w:rFonts w:ascii="Arial" w:cs="Arial" w:eastAsia="Arial" w:hAnsi="Arial"/>
          <w:sz w:val="13"/>
          <w:szCs w:val="13"/>
          <w:color w:val="auto"/>
        </w:rPr>
      </w:pPr>
      <w:r>
        <w:rPr>
          <w:rFonts w:ascii="Arial" w:cs="Arial" w:eastAsia="Arial" w:hAnsi="Arial"/>
          <w:sz w:val="17"/>
          <w:szCs w:val="17"/>
          <w:color w:val="auto"/>
        </w:rPr>
        <w:t>Director, Overseas Accounting and Internal Audit Manager, TransWorld Airlines, a major airline (1988 – 1992)</w:t>
      </w:r>
    </w:p>
    <w:p>
      <w:pPr>
        <w:spacing w:after="0" w:line="1" w:lineRule="exact"/>
        <w:rPr>
          <w:rFonts w:ascii="Arial" w:cs="Arial" w:eastAsia="Arial" w:hAnsi="Arial"/>
          <w:sz w:val="13"/>
          <w:szCs w:val="13"/>
          <w:color w:val="auto"/>
        </w:rPr>
      </w:pPr>
    </w:p>
    <w:p>
      <w:pPr>
        <w:ind w:left="660" w:right="219" w:hanging="328"/>
        <w:spacing w:after="0" w:line="250" w:lineRule="auto"/>
        <w:tabs>
          <w:tab w:leader="none" w:pos="656" w:val="left"/>
        </w:tabs>
        <w:numPr>
          <w:ilvl w:val="0"/>
          <w:numId w:val="17"/>
        </w:numPr>
        <w:rPr>
          <w:rFonts w:ascii="Arial" w:cs="Arial" w:eastAsia="Arial" w:hAnsi="Arial"/>
          <w:sz w:val="14"/>
          <w:szCs w:val="14"/>
          <w:color w:val="auto"/>
        </w:rPr>
      </w:pPr>
      <w:r>
        <w:rPr>
          <w:rFonts w:ascii="Arial" w:cs="Arial" w:eastAsia="Arial" w:hAnsi="Arial"/>
          <w:sz w:val="18"/>
          <w:szCs w:val="18"/>
          <w:color w:val="auto"/>
        </w:rPr>
        <w:t>Senior Auditor, Price Waterhouse, a public accounting firm (1985 – 1988)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6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8"/>
          <w:szCs w:val="18"/>
          <w:color w:val="auto"/>
        </w:rPr>
        <w:t>B.S. in Accounting, University of Missouri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239"/>
        <w:spacing w:after="0" w:line="261" w:lineRule="auto"/>
        <w:rPr>
          <w:sz w:val="20"/>
          <w:szCs w:val="20"/>
          <w:color w:val="auto"/>
        </w:rPr>
      </w:pPr>
      <w:r>
        <w:rPr>
          <w:rFonts w:ascii="Arial" w:cs="Arial" w:eastAsia="Arial" w:hAnsi="Arial"/>
          <w:sz w:val="18"/>
          <w:szCs w:val="18"/>
          <w:color w:val="auto"/>
        </w:rPr>
        <w:t>Ms. Buck contributes extensive financial and leadership experience gained from her long tenure as a CFO. She adds industry expertise through her positions in large global manufacturing companies.</w:t>
      </w:r>
    </w:p>
    <w:p>
      <w:pPr>
        <w:spacing w:after="0" w:line="467" w:lineRule="exact"/>
        <w:rPr>
          <w:sz w:val="20"/>
          <w:szCs w:val="20"/>
          <w:color w:val="auto"/>
        </w:rPr>
      </w:pPr>
    </w:p>
    <w:p>
      <w:pPr>
        <w:sectPr>
          <w:pgSz w:w="11900" w:h="16838" w:orient="portrait"/>
          <w:cols w:equalWidth="0" w:num="2">
            <w:col w:w="3380" w:space="580"/>
            <w:col w:w="6179"/>
          </w:cols>
          <w:pgMar w:left="320" w:top="769" w:right="1440"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6" w:name="page17"/>
    <w:bookmarkEnd w:id="16"/>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Todd J. Teske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Chair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2011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ind w:right="380"/>
        <w:spacing w:after="0" w:line="316" w:lineRule="auto"/>
        <w:rPr>
          <w:sz w:val="20"/>
          <w:szCs w:val="20"/>
          <w:color w:val="auto"/>
        </w:rPr>
      </w:pPr>
      <w:r>
        <w:rPr>
          <w:rFonts w:ascii="Arial" w:cs="Arial" w:eastAsia="Arial" w:hAnsi="Arial"/>
          <w:sz w:val="17"/>
          <w:szCs w:val="17"/>
          <w:i w:val="1"/>
          <w:iCs w:val="1"/>
          <w:color w:val="auto"/>
        </w:rPr>
        <w:t>Audit – Financial Expert Executive (Chair)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Financial/Accounting</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Executive Leadership Manufacturing/Distribution Sustainability</w:t>
      </w:r>
    </w:p>
    <w:p>
      <w:pPr>
        <w:spacing w:after="0" w:line="235"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Marketing/Sales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Cybersecurity</w:t>
      </w:r>
    </w:p>
    <w:p>
      <w:pPr>
        <w:spacing w:after="0" w:line="234" w:lineRule="auto"/>
        <w:rPr>
          <w:sz w:val="20"/>
          <w:szCs w:val="20"/>
          <w:color w:val="auto"/>
        </w:rPr>
      </w:pPr>
      <w:r>
        <w:rPr>
          <w:rFonts w:ascii="Arial" w:cs="Arial" w:eastAsia="Arial" w:hAnsi="Arial"/>
          <w:sz w:val="18"/>
          <w:szCs w:val="18"/>
          <w:color w:val="auto"/>
        </w:rPr>
        <w:t>Innovation/Technology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-197485</wp:posOffset>
            </wp:positionV>
            <wp:extent cx="5974715" cy="45262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74715" cy="4526280"/>
                    </a:xfrm>
                    <a:prstGeom prst="rect">
                      <a:avLst/>
                    </a:prstGeom>
                    <a:noFill/>
                  </pic:spPr>
                </pic:pic>
              </a:graphicData>
            </a:graphic>
          </wp:anchor>
        </w:drawing>
      </w:r>
    </w:p>
    <w:p>
      <w:pPr>
        <w:spacing w:after="0" w:line="28"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14"/>
          <w:szCs w:val="14"/>
          <w:color w:val="auto"/>
        </w:rPr>
      </w:pPr>
      <w:r>
        <w:rPr>
          <w:rFonts w:ascii="Arial" w:cs="Arial" w:eastAsia="Arial" w:hAnsi="Arial"/>
          <w:sz w:val="18"/>
          <w:szCs w:val="18"/>
          <w:color w:val="auto"/>
        </w:rPr>
        <w:t>Independent Board Chair (2022 – present)</w:t>
      </w:r>
    </w:p>
    <w:p>
      <w:pPr>
        <w:spacing w:after="0" w:line="27" w:lineRule="exact"/>
        <w:rPr>
          <w:rFonts w:ascii="Arial" w:cs="Arial" w:eastAsia="Arial" w:hAnsi="Arial"/>
          <w:sz w:val="14"/>
          <w:szCs w:val="14"/>
          <w:color w:val="auto"/>
        </w:rPr>
      </w:pPr>
    </w:p>
    <w:p>
      <w:pPr>
        <w:ind w:left="640" w:hanging="315"/>
        <w:spacing w:after="0" w:line="234"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8"/>
          <w:szCs w:val="18"/>
          <w:color w:val="auto"/>
        </w:rPr>
        <w:t>Interim CEO (March 23, 2022 – May 9, 2022)</w:t>
      </w:r>
    </w:p>
    <w:p>
      <w:pPr>
        <w:ind w:left="640" w:hanging="315"/>
        <w:spacing w:after="0" w:line="234" w:lineRule="auto"/>
        <w:tabs>
          <w:tab w:leader="none" w:pos="640" w:val="left"/>
        </w:tabs>
        <w:numPr>
          <w:ilvl w:val="0"/>
          <w:numId w:val="19"/>
        </w:numPr>
        <w:rPr>
          <w:rFonts w:ascii="Arial" w:cs="Arial" w:eastAsia="Arial" w:hAnsi="Arial"/>
          <w:sz w:val="14"/>
          <w:szCs w:val="14"/>
          <w:color w:val="auto"/>
        </w:rPr>
      </w:pPr>
      <w:r>
        <w:rPr>
          <w:rFonts w:ascii="Arial" w:cs="Arial" w:eastAsia="Arial" w:hAnsi="Arial"/>
          <w:sz w:val="18"/>
          <w:szCs w:val="18"/>
          <w:color w:val="auto"/>
        </w:rPr>
        <w:t>Lead Independent Director (2015 – 2022)</w:t>
      </w:r>
    </w:p>
    <w:p>
      <w:pPr>
        <w:ind w:left="640" w:right="39" w:hanging="315"/>
        <w:spacing w:after="0"/>
        <w:tabs>
          <w:tab w:leader="none" w:pos="636" w:val="left"/>
        </w:tabs>
        <w:numPr>
          <w:ilvl w:val="0"/>
          <w:numId w:val="19"/>
        </w:numPr>
        <w:rPr>
          <w:rFonts w:ascii="Arial" w:cs="Arial" w:eastAsia="Arial" w:hAnsi="Arial"/>
          <w:sz w:val="14"/>
          <w:szCs w:val="14"/>
          <w:color w:val="auto"/>
        </w:rPr>
      </w:pPr>
      <w:r>
        <w:rPr>
          <w:rFonts w:ascii="Arial" w:cs="Arial" w:eastAsia="Arial" w:hAnsi="Arial"/>
          <w:sz w:val="18"/>
          <w:szCs w:val="18"/>
          <w:color w:val="auto"/>
        </w:rPr>
        <w:t>Chair, President, and Chief Executive Officer (2010 – 2020); President and Chief Operating Officer (2008 – 2009); Executive Vice President and Chief Operating Officer (2005 – 2008); and other senior-level positions including President of its power products business, head of corporate development and Controller (1999 – 2005), Briggs &amp; Stratton Corporation, a manufacturer of gasoline engines for outdoor power equipment, portable generators, and lawn and garden powered equipment and related accessories</w:t>
      </w:r>
    </w:p>
    <w:p>
      <w:pPr>
        <w:spacing w:after="0" w:line="4" w:lineRule="exact"/>
        <w:rPr>
          <w:rFonts w:ascii="Arial" w:cs="Arial" w:eastAsia="Arial" w:hAnsi="Arial"/>
          <w:sz w:val="14"/>
          <w:szCs w:val="14"/>
          <w:color w:val="auto"/>
        </w:rPr>
      </w:pPr>
    </w:p>
    <w:p>
      <w:pPr>
        <w:ind w:left="640" w:right="119" w:hanging="315"/>
        <w:spacing w:after="0" w:line="272" w:lineRule="auto"/>
        <w:tabs>
          <w:tab w:leader="none" w:pos="636" w:val="left"/>
        </w:tabs>
        <w:numPr>
          <w:ilvl w:val="0"/>
          <w:numId w:val="19"/>
        </w:numPr>
        <w:rPr>
          <w:rFonts w:ascii="Arial" w:cs="Arial" w:eastAsia="Arial" w:hAnsi="Arial"/>
          <w:sz w:val="13"/>
          <w:szCs w:val="13"/>
          <w:color w:val="auto"/>
        </w:rPr>
      </w:pPr>
      <w:r>
        <w:rPr>
          <w:rFonts w:ascii="Arial" w:cs="Arial" w:eastAsia="Arial" w:hAnsi="Arial"/>
          <w:sz w:val="17"/>
          <w:szCs w:val="17"/>
          <w:color w:val="auto"/>
        </w:rPr>
        <w:t>Briggs &amp; Stratton filed a voluntary petition for bankruptcy under Chapter 11 of the U.S. Bankruptcy Code in July 2020. In September 2020, Briggs &amp; Stratton was acquired and exited bankruptcy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40" w:right="459" w:hanging="315"/>
        <w:spacing w:after="0" w:line="246" w:lineRule="auto"/>
        <w:tabs>
          <w:tab w:leader="none" w:pos="636" w:val="left"/>
        </w:tabs>
        <w:numPr>
          <w:ilvl w:val="0"/>
          <w:numId w:val="20"/>
        </w:numPr>
        <w:rPr>
          <w:rFonts w:ascii="Arial" w:cs="Arial" w:eastAsia="Arial" w:hAnsi="Arial"/>
          <w:sz w:val="14"/>
          <w:szCs w:val="14"/>
          <w:color w:val="auto"/>
        </w:rPr>
      </w:pPr>
      <w:r>
        <w:rPr>
          <w:rFonts w:ascii="Arial" w:cs="Arial" w:eastAsia="Arial" w:hAnsi="Arial"/>
          <w:sz w:val="18"/>
          <w:szCs w:val="18"/>
          <w:color w:val="auto"/>
        </w:rPr>
        <w:t>Director, Badger Meter, Inc., a publicly traded leading innovator, manufacturer and marketer of flow measurement and control products (2009 – 2020)</w:t>
      </w:r>
    </w:p>
    <w:p>
      <w:pPr>
        <w:spacing w:after="0" w:line="2" w:lineRule="exact"/>
        <w:rPr>
          <w:rFonts w:ascii="Arial" w:cs="Arial" w:eastAsia="Arial" w:hAnsi="Arial"/>
          <w:sz w:val="14"/>
          <w:szCs w:val="14"/>
          <w:color w:val="auto"/>
        </w:rPr>
      </w:pPr>
    </w:p>
    <w:p>
      <w:pPr>
        <w:ind w:left="640" w:hanging="315"/>
        <w:spacing w:after="0"/>
        <w:tabs>
          <w:tab w:leader="none" w:pos="640" w:val="left"/>
        </w:tabs>
        <w:numPr>
          <w:ilvl w:val="0"/>
          <w:numId w:val="20"/>
        </w:numPr>
        <w:rPr>
          <w:rFonts w:ascii="Arial" w:cs="Arial" w:eastAsia="Arial" w:hAnsi="Arial"/>
          <w:sz w:val="14"/>
          <w:szCs w:val="14"/>
          <w:color w:val="auto"/>
        </w:rPr>
      </w:pPr>
      <w:r>
        <w:rPr>
          <w:rFonts w:ascii="Arial" w:cs="Arial" w:eastAsia="Arial" w:hAnsi="Arial"/>
          <w:sz w:val="18"/>
          <w:szCs w:val="18"/>
          <w:color w:val="auto"/>
        </w:rPr>
        <w:t>Licensed CPA (inactive)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4"/>
          <w:szCs w:val="14"/>
          <w:color w:val="auto"/>
        </w:rPr>
      </w:pPr>
      <w:r>
        <w:rPr>
          <w:rFonts w:ascii="Arial" w:cs="Arial" w:eastAsia="Arial" w:hAnsi="Arial"/>
          <w:sz w:val="18"/>
          <w:szCs w:val="18"/>
          <w:color w:val="auto"/>
        </w:rPr>
        <w:t>B.S. in Accounting, University of Wisconsin Oshkosh</w:t>
      </w:r>
    </w:p>
    <w:p>
      <w:pPr>
        <w:spacing w:after="0" w:line="13" w:lineRule="exact"/>
        <w:rPr>
          <w:rFonts w:ascii="Arial" w:cs="Arial" w:eastAsia="Arial" w:hAnsi="Arial"/>
          <w:sz w:val="14"/>
          <w:szCs w:val="14"/>
          <w:color w:val="auto"/>
        </w:rPr>
      </w:pPr>
    </w:p>
    <w:p>
      <w:pPr>
        <w:ind w:left="640" w:right="119" w:hanging="315"/>
        <w:spacing w:after="0" w:line="266" w:lineRule="auto"/>
        <w:tabs>
          <w:tab w:leader="none" w:pos="636" w:val="left"/>
        </w:tabs>
        <w:numPr>
          <w:ilvl w:val="0"/>
          <w:numId w:val="21"/>
        </w:numPr>
        <w:rPr>
          <w:rFonts w:ascii="Arial" w:cs="Arial" w:eastAsia="Arial" w:hAnsi="Arial"/>
          <w:sz w:val="14"/>
          <w:szCs w:val="14"/>
          <w:color w:val="auto"/>
        </w:rPr>
      </w:pPr>
      <w:r>
        <w:rPr>
          <w:rFonts w:ascii="Arial" w:cs="Arial" w:eastAsia="Arial" w:hAnsi="Arial"/>
          <w:sz w:val="18"/>
          <w:szCs w:val="18"/>
          <w:color w:val="auto"/>
        </w:rPr>
        <w:t>Masters of Management, Northwestern University Kellogg School of Management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99"/>
        <w:spacing w:after="0" w:line="252" w:lineRule="auto"/>
        <w:rPr>
          <w:sz w:val="20"/>
          <w:szCs w:val="20"/>
          <w:color w:val="auto"/>
        </w:rPr>
      </w:pPr>
      <w:r>
        <w:rPr>
          <w:rFonts w:ascii="Arial" w:cs="Arial" w:eastAsia="Arial" w:hAnsi="Arial"/>
          <w:sz w:val="18"/>
          <w:szCs w:val="18"/>
          <w:color w:val="auto"/>
        </w:rPr>
        <w:t>Mr. Teske brings extensive executive leadership, corporate governance, and industry experience as a former manufacturing-company CEO to his service as Chair of the Board. As well, as a former corporate controller, Mr. Teske contributes knowledge in the areas of finance and accounting.</w:t>
      </w:r>
    </w:p>
    <w:p>
      <w:pPr>
        <w:spacing w:after="0" w:line="200" w:lineRule="exact"/>
        <w:rPr>
          <w:sz w:val="20"/>
          <w:szCs w:val="20"/>
          <w:color w:val="auto"/>
        </w:rPr>
      </w:pPr>
    </w:p>
    <w:p>
      <w:pPr>
        <w:sectPr>
          <w:pgSz w:w="11900" w:h="16838" w:orient="portrait"/>
          <w:cols w:equalWidth="0" w:num="2">
            <w:col w:w="2280" w:space="600"/>
            <w:col w:w="6159"/>
          </w:cols>
          <w:pgMar w:left="142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183515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17" w:name="page18"/>
    <w:bookmarkEnd w:id="17"/>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Jon Vander 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 Financial Expert</w:t>
      </w:r>
    </w:p>
    <w:p>
      <w:pPr>
        <w:spacing w:after="0" w:line="2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Compensation and Human Resources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Financial/Accounting</w:t>
      </w:r>
    </w:p>
    <w:p>
      <w:pPr>
        <w:spacing w:after="0" w:line="14"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Executive Leadership Manufacturing/Distribution</w:t>
      </w:r>
    </w:p>
    <w:p>
      <w:pPr>
        <w:spacing w:after="0" w:line="236" w:lineRule="auto"/>
        <w:rPr>
          <w:sz w:val="20"/>
          <w:szCs w:val="20"/>
          <w:color w:val="auto"/>
        </w:rPr>
      </w:pPr>
      <w:r>
        <w:rPr>
          <w:rFonts w:ascii="Arial" w:cs="Arial" w:eastAsia="Arial" w:hAnsi="Arial"/>
          <w:sz w:val="18"/>
          <w:szCs w:val="18"/>
          <w:color w:val="auto"/>
        </w:rPr>
        <w:t>Sustainability</w:t>
      </w:r>
    </w:p>
    <w:p>
      <w:pPr>
        <w:spacing w:after="0" w:line="235"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21" w:lineRule="exact"/>
        <w:rPr>
          <w:sz w:val="20"/>
          <w:szCs w:val="20"/>
          <w:color w:val="auto"/>
        </w:rPr>
      </w:pPr>
    </w:p>
    <w:p>
      <w:pPr>
        <w:ind w:right="500"/>
        <w:spacing w:after="0" w:line="254" w:lineRule="auto"/>
        <w:rPr>
          <w:sz w:val="20"/>
          <w:szCs w:val="20"/>
          <w:color w:val="auto"/>
        </w:rPr>
      </w:pPr>
      <w:r>
        <w:rPr>
          <w:rFonts w:ascii="Arial" w:cs="Arial" w:eastAsia="Arial" w:hAnsi="Arial"/>
          <w:sz w:val="17"/>
          <w:szCs w:val="17"/>
          <w:color w:val="auto"/>
        </w:rPr>
        <w:t>Marketing/Sales Cybersecurity 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-197485</wp:posOffset>
            </wp:positionV>
            <wp:extent cx="5974715" cy="44145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74715" cy="4414520"/>
                    </a:xfrm>
                    <a:prstGeom prst="rect">
                      <a:avLst/>
                    </a:prstGeom>
                    <a:noFill/>
                  </pic:spPr>
                </pic:pic>
              </a:graphicData>
            </a:graphic>
          </wp:anchor>
        </w:drawing>
      </w:r>
    </w:p>
    <w:p>
      <w:pPr>
        <w:spacing w:after="0" w:line="28" w:lineRule="exact"/>
        <w:rPr>
          <w:sz w:val="20"/>
          <w:szCs w:val="20"/>
          <w:color w:val="auto"/>
        </w:rPr>
      </w:pPr>
    </w:p>
    <w:p>
      <w:pPr>
        <w:ind w:left="660" w:right="19" w:hanging="409"/>
        <w:spacing w:after="0" w:line="245"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8"/>
          <w:szCs w:val="18"/>
          <w:color w:val="auto"/>
        </w:rPr>
        <w:t>President and Director (2019 – present) and Chief Executive Officer (2021 – present); Executive Vice President, Chief Operating Officer (2018 – 2019); Executive Vice President, Operations (2016 – 2017); and Executive Vice President, Chief Marketing Officer (2013 – 2016), Republic Services, Inc., an environmental services company</w:t>
      </w:r>
    </w:p>
    <w:p>
      <w:pPr>
        <w:spacing w:after="0" w:line="1" w:lineRule="exact"/>
        <w:rPr>
          <w:rFonts w:ascii="Arial" w:cs="Arial" w:eastAsia="Arial" w:hAnsi="Arial"/>
          <w:sz w:val="14"/>
          <w:szCs w:val="14"/>
          <w:color w:val="auto"/>
        </w:rPr>
      </w:pPr>
    </w:p>
    <w:p>
      <w:pPr>
        <w:ind w:left="660" w:right="739" w:hanging="409"/>
        <w:spacing w:after="0" w:line="250" w:lineRule="auto"/>
        <w:tabs>
          <w:tab w:leader="none" w:pos="656" w:val="left"/>
        </w:tabs>
        <w:numPr>
          <w:ilvl w:val="0"/>
          <w:numId w:val="22"/>
        </w:numPr>
        <w:rPr>
          <w:rFonts w:ascii="Arial" w:cs="Arial" w:eastAsia="Arial" w:hAnsi="Arial"/>
          <w:sz w:val="14"/>
          <w:szCs w:val="14"/>
          <w:color w:val="auto"/>
        </w:rPr>
      </w:pPr>
      <w:r>
        <w:rPr>
          <w:rFonts w:ascii="Arial" w:cs="Arial" w:eastAsia="Arial" w:hAnsi="Arial"/>
          <w:sz w:val="18"/>
          <w:szCs w:val="18"/>
          <w:color w:val="auto"/>
        </w:rPr>
        <w:t>McKinsey &amp; Company, a global management consulting firm (2000 –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48" w:lineRule="exact"/>
        <w:rPr>
          <w:sz w:val="20"/>
          <w:szCs w:val="20"/>
          <w:color w:val="auto"/>
        </w:rPr>
      </w:pPr>
    </w:p>
    <w:p>
      <w:pPr>
        <w:ind w:left="660" w:right="479" w:hanging="328"/>
        <w:spacing w:after="0" w:line="271" w:lineRule="auto"/>
        <w:tabs>
          <w:tab w:leader="none" w:pos="656" w:val="left"/>
        </w:tabs>
        <w:numPr>
          <w:ilvl w:val="0"/>
          <w:numId w:val="23"/>
        </w:numPr>
        <w:rPr>
          <w:rFonts w:ascii="Arial" w:cs="Arial" w:eastAsia="Arial" w:hAnsi="Arial"/>
          <w:sz w:val="14"/>
          <w:szCs w:val="14"/>
          <w:color w:val="auto"/>
        </w:rPr>
      </w:pPr>
      <w:r>
        <w:rPr>
          <w:rFonts w:ascii="Arial" w:cs="Arial" w:eastAsia="Arial" w:hAnsi="Arial"/>
          <w:sz w:val="18"/>
          <w:szCs w:val="18"/>
          <w:color w:val="auto"/>
        </w:rPr>
        <w:t>Director, Board of Chances for Children, a non-profit supporting children in Haiti</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8"/>
          <w:szCs w:val="18"/>
          <w:color w:val="auto"/>
        </w:rPr>
        <w:t>B.A. in Philosophy and Political Science, Calvin University</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8"/>
          <w:szCs w:val="18"/>
          <w:color w:val="auto"/>
        </w:rPr>
        <w:t>J.D., Harvard Law School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19"/>
        <w:spacing w:after="0" w:line="246" w:lineRule="auto"/>
        <w:rPr>
          <w:sz w:val="20"/>
          <w:szCs w:val="20"/>
          <w:color w:val="auto"/>
        </w:rPr>
      </w:pPr>
      <w:r>
        <w:rPr>
          <w:rFonts w:ascii="Arial" w:cs="Arial" w:eastAsia="Arial" w:hAnsi="Arial"/>
          <w:sz w:val="18"/>
          <w:szCs w:val="18"/>
          <w:color w:val="auto"/>
        </w:rPr>
        <w:t>Mr. Vander Ark contributes to our Board extensive strategic growth experience, operational skills, and accomplishments implementing sustainability initiatives from his executive leadership at a large publicly traded company. Prior to joining Republic, Mr. Vander Ark’s role in consulting exposed him to a wide range of industries including automotive, logistics, and consumer durables. He developed deep expertise in marketing and sales serving leading global companies.</w:t>
      </w:r>
    </w:p>
    <w:p>
      <w:pPr>
        <w:spacing w:after="0" w:line="1614" w:lineRule="exact"/>
        <w:rPr>
          <w:sz w:val="20"/>
          <w:szCs w:val="20"/>
          <w:color w:val="auto"/>
        </w:rPr>
      </w:pPr>
    </w:p>
    <w:p>
      <w:pPr>
        <w:sectPr>
          <w:pgSz w:w="11900" w:h="16838" w:orient="portrait"/>
          <w:cols w:equalWidth="0" w:num="2">
            <w:col w:w="2280" w:space="580"/>
            <w:col w:w="6179"/>
          </w:cols>
          <w:pgMar w:left="1420" w:top="919" w:right="1440" w:bottom="1440" w:gutter="0" w:footer="0" w:header="0"/>
        </w:sectPr>
      </w:pPr>
    </w:p>
    <w:p>
      <w:pPr>
        <w:spacing w:after="0" w:line="397"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183515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The following Class III directors’ terms will continue until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136525</wp:posOffset>
            </wp:positionV>
            <wp:extent cx="5974715" cy="48952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74715" cy="489521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left="500"/>
        <w:spacing w:after="0"/>
        <w:rPr>
          <w:sz w:val="20"/>
          <w:szCs w:val="20"/>
          <w:color w:val="auto"/>
        </w:rPr>
      </w:pPr>
      <w:r>
        <w:rPr>
          <w:rFonts w:ascii="Arial" w:cs="Arial" w:eastAsia="Arial" w:hAnsi="Arial"/>
          <w:sz w:val="21"/>
          <w:szCs w:val="21"/>
          <w:b w:val="1"/>
          <w:bCs w:val="1"/>
          <w:color w:val="C60C35"/>
        </w:rPr>
        <w:t>Tracy A. Embree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Class III</w:t>
      </w:r>
    </w:p>
    <w:p>
      <w:pPr>
        <w:spacing w:after="0" w:line="25" w:lineRule="exact"/>
        <w:rPr>
          <w:sz w:val="20"/>
          <w:szCs w:val="20"/>
          <w:color w:val="auto"/>
        </w:rPr>
      </w:pPr>
    </w:p>
    <w:p>
      <w:pPr>
        <w:ind w:left="1100"/>
        <w:spacing w:after="0"/>
        <w:rPr>
          <w:sz w:val="20"/>
          <w:szCs w:val="20"/>
          <w:color w:val="auto"/>
        </w:rPr>
      </w:pPr>
      <w:r>
        <w:rPr>
          <w:rFonts w:ascii="Arial" w:cs="Arial" w:eastAsia="Arial" w:hAnsi="Arial"/>
          <w:sz w:val="18"/>
          <w:szCs w:val="18"/>
          <w:i w:val="1"/>
          <w:iCs w:val="1"/>
          <w:color w:val="auto"/>
        </w:rPr>
        <w:t>Independent Director</w:t>
      </w:r>
    </w:p>
    <w:p>
      <w:pPr>
        <w:spacing w:after="0" w:line="14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52</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2025</w:t>
      </w:r>
    </w:p>
    <w:p>
      <w:pPr>
        <w:spacing w:after="0" w:line="15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ind w:left="1100" w:right="140"/>
        <w:spacing w:after="0" w:line="252" w:lineRule="auto"/>
        <w:rPr>
          <w:sz w:val="20"/>
          <w:szCs w:val="20"/>
          <w:color w:val="auto"/>
        </w:rPr>
      </w:pPr>
      <w:r>
        <w:rPr>
          <w:rFonts w:ascii="Arial" w:cs="Arial" w:eastAsia="Arial" w:hAnsi="Arial"/>
          <w:sz w:val="18"/>
          <w:szCs w:val="18"/>
          <w:i w:val="1"/>
          <w:iCs w:val="1"/>
          <w:color w:val="auto"/>
        </w:rPr>
        <w:t>Board Governance Compensation and Human Resources</w:t>
      </w:r>
    </w:p>
    <w:p>
      <w:pPr>
        <w:spacing w:after="0" w:line="131"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Executive Leadership</w:t>
      </w:r>
    </w:p>
    <w:p>
      <w:pPr>
        <w:spacing w:after="0" w:line="1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Manufacturing/Distribution</w:t>
      </w:r>
    </w:p>
    <w:p>
      <w:pPr>
        <w:spacing w:after="0" w:line="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Sustainability</w:t>
      </w:r>
    </w:p>
    <w:p>
      <w:pPr>
        <w:ind w:left="1100"/>
        <w:spacing w:after="0" w:line="234" w:lineRule="auto"/>
        <w:rPr>
          <w:sz w:val="20"/>
          <w:szCs w:val="20"/>
          <w:color w:val="auto"/>
        </w:rPr>
      </w:pPr>
      <w:r>
        <w:rPr>
          <w:rFonts w:ascii="Arial" w:cs="Arial" w:eastAsia="Arial" w:hAnsi="Arial"/>
          <w:sz w:val="18"/>
          <w:szCs w:val="18"/>
          <w:color w:val="auto"/>
        </w:rPr>
        <w:t>ERM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Human Capital Management</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Marketing/Sales</w:t>
      </w:r>
    </w:p>
    <w:p>
      <w:pPr>
        <w:ind w:left="1100"/>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61" w:lineRule="exact"/>
        <w:rPr>
          <w:sz w:val="20"/>
          <w:szCs w:val="20"/>
          <w:color w:val="auto"/>
        </w:rPr>
      </w:pPr>
    </w:p>
    <w:p>
      <w:pPr>
        <w:ind w:left="640" w:right="439" w:hanging="315"/>
        <w:spacing w:after="0" w:line="246" w:lineRule="auto"/>
        <w:tabs>
          <w:tab w:leader="none" w:pos="636" w:val="left"/>
        </w:tabs>
        <w:numPr>
          <w:ilvl w:val="0"/>
          <w:numId w:val="25"/>
        </w:numPr>
        <w:rPr>
          <w:rFonts w:ascii="Arial" w:cs="Arial" w:eastAsia="Arial" w:hAnsi="Arial"/>
          <w:sz w:val="14"/>
          <w:szCs w:val="14"/>
          <w:color w:val="auto"/>
        </w:rPr>
      </w:pPr>
      <w:r>
        <w:rPr>
          <w:rFonts w:ascii="Arial" w:cs="Arial" w:eastAsia="Arial" w:hAnsi="Arial"/>
          <w:sz w:val="18"/>
          <w:szCs w:val="18"/>
          <w:color w:val="auto"/>
        </w:rPr>
        <w:t>Retired; President, Otis Americas, a division of Otis Worldwide Corporation, the world’s leading elevator and escalator manufacturing, installation, and service company (2023 – 2025)</w:t>
      </w:r>
    </w:p>
    <w:p>
      <w:pPr>
        <w:spacing w:after="0" w:line="2" w:lineRule="exact"/>
        <w:rPr>
          <w:rFonts w:ascii="Arial" w:cs="Arial" w:eastAsia="Arial" w:hAnsi="Arial"/>
          <w:sz w:val="14"/>
          <w:szCs w:val="14"/>
          <w:color w:val="auto"/>
        </w:rPr>
      </w:pPr>
    </w:p>
    <w:p>
      <w:pPr>
        <w:ind w:left="640" w:right="79" w:hanging="315"/>
        <w:spacing w:after="0" w:line="239" w:lineRule="auto"/>
        <w:tabs>
          <w:tab w:leader="none" w:pos="636" w:val="left"/>
        </w:tabs>
        <w:numPr>
          <w:ilvl w:val="0"/>
          <w:numId w:val="25"/>
        </w:numPr>
        <w:rPr>
          <w:rFonts w:ascii="Arial" w:cs="Arial" w:eastAsia="Arial" w:hAnsi="Arial"/>
          <w:sz w:val="14"/>
          <w:szCs w:val="14"/>
          <w:color w:val="auto"/>
        </w:rPr>
      </w:pPr>
      <w:r>
        <w:rPr>
          <w:rFonts w:ascii="Arial" w:cs="Arial" w:eastAsia="Arial" w:hAnsi="Arial"/>
          <w:sz w:val="18"/>
          <w:szCs w:val="18"/>
          <w:color w:val="auto"/>
        </w:rPr>
        <w:t>Vice President and President, Distribution Business (2019 – 2023); Vice President and President, Components Business (2015 – 2019); Vice President and President, Turbo Technologies Business (2011 – 2015); and other leadership and strategy roles (2000 – 2002), Cummins Inc., a global power technology leader that designs, engineers, manufactures, distributes, and services engines and related technologies</w:t>
      </w:r>
    </w:p>
    <w:p>
      <w:pPr>
        <w:spacing w:after="0" w:line="1" w:lineRule="exact"/>
        <w:rPr>
          <w:rFonts w:ascii="Arial" w:cs="Arial" w:eastAsia="Arial" w:hAnsi="Arial"/>
          <w:sz w:val="14"/>
          <w:szCs w:val="14"/>
          <w:color w:val="auto"/>
        </w:rPr>
      </w:pPr>
    </w:p>
    <w:p>
      <w:pPr>
        <w:ind w:left="640" w:right="659" w:hanging="315"/>
        <w:spacing w:after="0" w:line="250" w:lineRule="auto"/>
        <w:tabs>
          <w:tab w:leader="none" w:pos="636" w:val="left"/>
        </w:tabs>
        <w:numPr>
          <w:ilvl w:val="0"/>
          <w:numId w:val="25"/>
        </w:numPr>
        <w:rPr>
          <w:rFonts w:ascii="Arial" w:cs="Arial" w:eastAsia="Arial" w:hAnsi="Arial"/>
          <w:sz w:val="14"/>
          <w:szCs w:val="14"/>
          <w:color w:val="auto"/>
        </w:rPr>
      </w:pPr>
      <w:r>
        <w:rPr>
          <w:rFonts w:ascii="Arial" w:cs="Arial" w:eastAsia="Arial" w:hAnsi="Arial"/>
          <w:sz w:val="18"/>
          <w:szCs w:val="18"/>
          <w:color w:val="auto"/>
        </w:rPr>
        <w:t>Various engineering roles at Colgate-Palmolive, an American multinational consumer products company (1995 – 1998)</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40" w:right="239" w:hanging="315"/>
        <w:spacing w:after="0" w:line="241" w:lineRule="auto"/>
        <w:tabs>
          <w:tab w:leader="none" w:pos="636" w:val="left"/>
        </w:tabs>
        <w:numPr>
          <w:ilvl w:val="0"/>
          <w:numId w:val="26"/>
        </w:numPr>
        <w:rPr>
          <w:rFonts w:ascii="Arial" w:cs="Arial" w:eastAsia="Arial" w:hAnsi="Arial"/>
          <w:sz w:val="14"/>
          <w:szCs w:val="14"/>
          <w:color w:val="auto"/>
        </w:rPr>
      </w:pPr>
      <w:r>
        <w:rPr>
          <w:rFonts w:ascii="Arial" w:cs="Arial" w:eastAsia="Arial" w:hAnsi="Arial"/>
          <w:sz w:val="18"/>
          <w:szCs w:val="18"/>
          <w:color w:val="auto"/>
        </w:rPr>
        <w:t>KLA Corporation, a supplier of industry-leading equipment and services that enable innovation throughout the electronics industry (November 2025 – present)</w:t>
      </w:r>
    </w:p>
    <w:p>
      <w:pPr>
        <w:spacing w:after="0" w:line="1" w:lineRule="exact"/>
        <w:rPr>
          <w:rFonts w:ascii="Arial" w:cs="Arial" w:eastAsia="Arial" w:hAnsi="Arial"/>
          <w:sz w:val="14"/>
          <w:szCs w:val="14"/>
          <w:color w:val="auto"/>
        </w:rPr>
      </w:pPr>
    </w:p>
    <w:p>
      <w:pPr>
        <w:ind w:left="640" w:right="119" w:hanging="315"/>
        <w:spacing w:after="0" w:line="250" w:lineRule="auto"/>
        <w:tabs>
          <w:tab w:leader="none" w:pos="636" w:val="left"/>
        </w:tabs>
        <w:numPr>
          <w:ilvl w:val="0"/>
          <w:numId w:val="26"/>
        </w:numPr>
        <w:rPr>
          <w:rFonts w:ascii="Arial" w:cs="Arial" w:eastAsia="Arial" w:hAnsi="Arial"/>
          <w:sz w:val="14"/>
          <w:szCs w:val="14"/>
          <w:color w:val="auto"/>
        </w:rPr>
      </w:pPr>
      <w:r>
        <w:rPr>
          <w:rFonts w:ascii="Arial" w:cs="Arial" w:eastAsia="Arial" w:hAnsi="Arial"/>
          <w:sz w:val="18"/>
          <w:szCs w:val="18"/>
          <w:color w:val="auto"/>
        </w:rPr>
        <w:t>Kirby Corporation, the nation’s largest domestic tank barge operator (February 2026 –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38" w:lineRule="exact"/>
        <w:rPr>
          <w:sz w:val="20"/>
          <w:szCs w:val="20"/>
          <w:color w:val="auto"/>
        </w:rPr>
      </w:pPr>
    </w:p>
    <w:p>
      <w:pPr>
        <w:ind w:left="640" w:right="139" w:hanging="315"/>
        <w:spacing w:after="0"/>
        <w:tabs>
          <w:tab w:leader="none" w:pos="636" w:val="left"/>
        </w:tabs>
        <w:numPr>
          <w:ilvl w:val="0"/>
          <w:numId w:val="27"/>
        </w:numPr>
        <w:rPr>
          <w:rFonts w:ascii="Arial" w:cs="Arial" w:eastAsia="Arial" w:hAnsi="Arial"/>
          <w:sz w:val="14"/>
          <w:szCs w:val="14"/>
          <w:color w:val="auto"/>
        </w:rPr>
      </w:pPr>
      <w:r>
        <w:rPr>
          <w:rFonts w:ascii="Arial" w:cs="Arial" w:eastAsia="Arial" w:hAnsi="Arial"/>
          <w:sz w:val="18"/>
          <w:szCs w:val="18"/>
          <w:color w:val="auto"/>
        </w:rPr>
        <w:t>Director, Louisiana-Pacific Corporation, a publicly traded provider of high-performance building solutions for builders, remodelers, and homeowners worldwide (2016 – 2025)</w:t>
      </w:r>
    </w:p>
    <w:p>
      <w:pPr>
        <w:ind w:left="640" w:hanging="315"/>
        <w:spacing w:after="0"/>
        <w:tabs>
          <w:tab w:leader="none" w:pos="640" w:val="left"/>
        </w:tabs>
        <w:numPr>
          <w:ilvl w:val="0"/>
          <w:numId w:val="27"/>
        </w:numPr>
        <w:rPr>
          <w:rFonts w:ascii="Arial" w:cs="Arial" w:eastAsia="Arial" w:hAnsi="Arial"/>
          <w:sz w:val="14"/>
          <w:szCs w:val="14"/>
          <w:color w:val="auto"/>
        </w:rPr>
      </w:pPr>
      <w:r>
        <w:rPr>
          <w:rFonts w:ascii="Arial" w:cs="Arial" w:eastAsia="Arial" w:hAnsi="Arial"/>
          <w:sz w:val="18"/>
          <w:szCs w:val="18"/>
          <w:color w:val="auto"/>
        </w:rPr>
        <w:t>Founding member, Extraordinary Women on Boards (EWOB)</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38" w:lineRule="exact"/>
        <w:rPr>
          <w:sz w:val="20"/>
          <w:szCs w:val="20"/>
          <w:color w:val="auto"/>
        </w:rPr>
      </w:pPr>
    </w:p>
    <w:p>
      <w:pPr>
        <w:ind w:left="640" w:hanging="315"/>
        <w:spacing w:after="0"/>
        <w:tabs>
          <w:tab w:leader="none" w:pos="640" w:val="left"/>
        </w:tabs>
        <w:numPr>
          <w:ilvl w:val="0"/>
          <w:numId w:val="28"/>
        </w:numPr>
        <w:rPr>
          <w:rFonts w:ascii="Arial" w:cs="Arial" w:eastAsia="Arial" w:hAnsi="Arial"/>
          <w:sz w:val="13"/>
          <w:szCs w:val="13"/>
          <w:color w:val="auto"/>
        </w:rPr>
      </w:pPr>
      <w:r>
        <w:rPr>
          <w:rFonts w:ascii="Arial" w:cs="Arial" w:eastAsia="Arial" w:hAnsi="Arial"/>
          <w:sz w:val="17"/>
          <w:szCs w:val="17"/>
          <w:color w:val="auto"/>
        </w:rPr>
        <w:t>B.S. in Chemical Engineering, Massachusetts Institute of Technology</w:t>
      </w:r>
    </w:p>
    <w:p>
      <w:pPr>
        <w:spacing w:after="0" w:line="34" w:lineRule="exact"/>
        <w:rPr>
          <w:rFonts w:ascii="Arial" w:cs="Arial" w:eastAsia="Arial" w:hAnsi="Arial"/>
          <w:sz w:val="13"/>
          <w:szCs w:val="13"/>
          <w:color w:val="auto"/>
        </w:rPr>
      </w:pPr>
    </w:p>
    <w:p>
      <w:pPr>
        <w:ind w:left="640" w:hanging="315"/>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8"/>
          <w:szCs w:val="18"/>
          <w:color w:val="auto"/>
        </w:rPr>
        <w:t>M.B.A., Harvard Business School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61" w:lineRule="exact"/>
        <w:rPr>
          <w:sz w:val="20"/>
          <w:szCs w:val="20"/>
          <w:color w:val="auto"/>
        </w:rPr>
      </w:pPr>
    </w:p>
    <w:p>
      <w:pPr>
        <w:jc w:val="both"/>
        <w:ind w:right="139"/>
        <w:spacing w:after="0" w:line="253" w:lineRule="auto"/>
        <w:rPr>
          <w:sz w:val="20"/>
          <w:szCs w:val="20"/>
          <w:color w:val="auto"/>
        </w:rPr>
      </w:pPr>
      <w:r>
        <w:rPr>
          <w:rFonts w:ascii="Arial" w:cs="Arial" w:eastAsia="Arial" w:hAnsi="Arial"/>
          <w:sz w:val="18"/>
          <w:szCs w:val="18"/>
          <w:color w:val="auto"/>
        </w:rPr>
        <w:t>The Board selected Ms. Embree to serve as a director based upon her past leadership in complex manufacturing environments and proven track record of driving strategic growth, which aligns with our strategy at Lennox.</w:t>
      </w:r>
    </w:p>
    <w:p>
      <w:pPr>
        <w:spacing w:after="0" w:line="200" w:lineRule="exact"/>
        <w:rPr>
          <w:sz w:val="20"/>
          <w:szCs w:val="20"/>
          <w:color w:val="auto"/>
        </w:rPr>
      </w:pPr>
    </w:p>
    <w:p>
      <w:pPr>
        <w:sectPr>
          <w:pgSz w:w="11900" w:h="16838" w:orient="portrait"/>
          <w:cols w:equalWidth="0" w:num="2">
            <w:col w:w="3380" w:space="600"/>
            <w:col w:w="6159"/>
          </w:cols>
          <w:pgMar w:left="320" w:top="769" w:right="1440"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9" w:right="1440" w:bottom="1440" w:gutter="0" w:footer="0" w:header="0"/>
          <w:type w:val="continuous"/>
        </w:sectPr>
      </w:pPr>
    </w:p>
    <w:bookmarkStart w:id="19" w:name="page20"/>
    <w:bookmarkEnd w:id="19"/>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Alok Maskara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Executive Leadership</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Manufacturing/Distribution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ERM</w:t>
      </w:r>
    </w:p>
    <w:p>
      <w:pPr>
        <w:spacing w:after="0" w:line="256" w:lineRule="auto"/>
        <w:rPr>
          <w:sz w:val="20"/>
          <w:szCs w:val="20"/>
          <w:color w:val="auto"/>
        </w:rPr>
      </w:pPr>
      <w:r>
        <w:rPr>
          <w:rFonts w:ascii="Arial" w:cs="Arial" w:eastAsia="Arial" w:hAnsi="Arial"/>
          <w:sz w:val="17"/>
          <w:szCs w:val="17"/>
          <w:color w:val="auto"/>
        </w:rPr>
        <w:t>Human Capital Management Marketing/Sales</w:t>
      </w:r>
    </w:p>
    <w:p>
      <w:pPr>
        <w:spacing w:after="0" w:line="236" w:lineRule="auto"/>
        <w:rPr>
          <w:sz w:val="20"/>
          <w:szCs w:val="20"/>
          <w:color w:val="auto"/>
        </w:rPr>
      </w:pPr>
      <w:r>
        <w:rPr>
          <w:rFonts w:ascii="Arial" w:cs="Arial" w:eastAsia="Arial" w:hAnsi="Arial"/>
          <w:sz w:val="18"/>
          <w:szCs w:val="18"/>
          <w:color w:val="auto"/>
        </w:rPr>
        <w:t>Cybersecurity</w:t>
      </w:r>
    </w:p>
    <w:p>
      <w:pPr>
        <w:spacing w:after="0" w:line="235" w:lineRule="auto"/>
        <w:rPr>
          <w:sz w:val="20"/>
          <w:szCs w:val="20"/>
          <w:color w:val="auto"/>
        </w:rPr>
      </w:pPr>
      <w:r>
        <w:rPr>
          <w:rFonts w:ascii="Arial" w:cs="Arial" w:eastAsia="Arial" w:hAnsi="Arial"/>
          <w:sz w:val="18"/>
          <w:szCs w:val="18"/>
          <w:color w:val="auto"/>
        </w:rPr>
        <w:t>Innovation/Technology</w:t>
      </w: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-197485</wp:posOffset>
            </wp:positionV>
            <wp:extent cx="5974715" cy="5477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74715" cy="5477510"/>
                    </a:xfrm>
                    <a:prstGeom prst="rect">
                      <a:avLst/>
                    </a:prstGeom>
                    <a:noFill/>
                  </pic:spPr>
                </pic:pic>
              </a:graphicData>
            </a:graphic>
          </wp:anchor>
        </w:drawing>
      </w:r>
    </w:p>
    <w:p>
      <w:pPr>
        <w:spacing w:after="0" w:line="136" w:lineRule="exact"/>
        <w:rPr>
          <w:sz w:val="20"/>
          <w:szCs w:val="20"/>
          <w:color w:val="auto"/>
        </w:rPr>
      </w:pPr>
    </w:p>
    <w:p>
      <w:pPr>
        <w:ind w:left="640" w:hanging="315"/>
        <w:spacing w:after="0"/>
        <w:tabs>
          <w:tab w:leader="none" w:pos="640" w:val="left"/>
        </w:tabs>
        <w:numPr>
          <w:ilvl w:val="0"/>
          <w:numId w:val="29"/>
        </w:numPr>
        <w:rPr>
          <w:rFonts w:ascii="Arial" w:cs="Arial" w:eastAsia="Arial" w:hAnsi="Arial"/>
          <w:sz w:val="14"/>
          <w:szCs w:val="14"/>
          <w:color w:val="auto"/>
        </w:rPr>
      </w:pPr>
      <w:r>
        <w:rPr>
          <w:rFonts w:ascii="Arial" w:cs="Arial" w:eastAsia="Arial" w:hAnsi="Arial"/>
          <w:sz w:val="18"/>
          <w:szCs w:val="18"/>
          <w:color w:val="auto"/>
        </w:rPr>
        <w:t>President and Chief Executive Officer (2022 – present)</w:t>
      </w:r>
    </w:p>
    <w:p>
      <w:pPr>
        <w:spacing w:after="0" w:line="27" w:lineRule="exact"/>
        <w:rPr>
          <w:rFonts w:ascii="Arial" w:cs="Arial" w:eastAsia="Arial" w:hAnsi="Arial"/>
          <w:sz w:val="14"/>
          <w:szCs w:val="14"/>
          <w:color w:val="auto"/>
        </w:rPr>
      </w:pPr>
    </w:p>
    <w:p>
      <w:pPr>
        <w:ind w:left="640" w:right="59" w:hanging="315"/>
        <w:spacing w:after="0" w:line="237"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8"/>
          <w:szCs w:val="18"/>
          <w:color w:val="auto"/>
        </w:rPr>
        <w:t>Chief Executive Officer and Director, Luxfer Holdings PLC, a publicly traded international industrial company focused on advanced materials (2017 – 2022). He spearheaded the company’s transformation, led value-enhancing acquisitions and partnerships, and drove growth in profitability</w:t>
      </w:r>
    </w:p>
    <w:p>
      <w:pPr>
        <w:spacing w:after="0" w:line="4" w:lineRule="exact"/>
        <w:rPr>
          <w:rFonts w:ascii="Arial" w:cs="Arial" w:eastAsia="Arial" w:hAnsi="Arial"/>
          <w:sz w:val="14"/>
          <w:szCs w:val="14"/>
          <w:color w:val="auto"/>
        </w:rPr>
      </w:pPr>
    </w:p>
    <w:p>
      <w:pPr>
        <w:ind w:left="640" w:right="99" w:hanging="315"/>
        <w:spacing w:after="0" w:line="242"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8"/>
          <w:szCs w:val="18"/>
          <w:color w:val="auto"/>
        </w:rPr>
        <w:t>President, Global Business Units, Pentair PLC, a leading provider of water treatment and sustainable applications, including its former Technical Solutions segment with over $2 billion in revenue (2008 – 2017)</w:t>
      </w:r>
    </w:p>
    <w:p>
      <w:pPr>
        <w:spacing w:after="0" w:line="2" w:lineRule="exact"/>
        <w:rPr>
          <w:rFonts w:ascii="Arial" w:cs="Arial" w:eastAsia="Arial" w:hAnsi="Arial"/>
          <w:sz w:val="14"/>
          <w:szCs w:val="14"/>
          <w:color w:val="auto"/>
        </w:rPr>
      </w:pPr>
    </w:p>
    <w:p>
      <w:pPr>
        <w:ind w:left="640" w:right="19" w:hanging="315"/>
        <w:spacing w:after="0"/>
        <w:tabs>
          <w:tab w:leader="none" w:pos="636" w:val="left"/>
        </w:tabs>
        <w:numPr>
          <w:ilvl w:val="0"/>
          <w:numId w:val="29"/>
        </w:numPr>
        <w:rPr>
          <w:rFonts w:ascii="Arial" w:cs="Arial" w:eastAsia="Arial" w:hAnsi="Arial"/>
          <w:sz w:val="14"/>
          <w:szCs w:val="14"/>
          <w:color w:val="auto"/>
        </w:rPr>
      </w:pPr>
      <w:r>
        <w:rPr>
          <w:rFonts w:ascii="Arial" w:cs="Arial" w:eastAsia="Arial" w:hAnsi="Arial"/>
          <w:sz w:val="18"/>
          <w:szCs w:val="18"/>
          <w:color w:val="auto"/>
        </w:rPr>
        <w:t>General Manager, Residential &amp; Commercial Water, General Electric, a high-tech industrial company (2004 – 2008), which included significant experience in Lean Manufacturing</w:t>
      </w:r>
    </w:p>
    <w:p>
      <w:pPr>
        <w:ind w:left="640" w:right="59" w:hanging="315"/>
        <w:spacing w:after="0" w:line="245" w:lineRule="auto"/>
        <w:tabs>
          <w:tab w:leader="none" w:pos="636" w:val="left"/>
        </w:tabs>
        <w:numPr>
          <w:ilvl w:val="0"/>
          <w:numId w:val="29"/>
        </w:numPr>
        <w:rPr>
          <w:rFonts w:ascii="Arial" w:cs="Arial" w:eastAsia="Arial" w:hAnsi="Arial"/>
          <w:sz w:val="14"/>
          <w:szCs w:val="14"/>
          <w:color w:val="auto"/>
        </w:rPr>
      </w:pPr>
      <w:r>
        <w:rPr>
          <w:rFonts w:ascii="Arial" w:cs="Arial" w:eastAsia="Arial" w:hAnsi="Arial"/>
          <w:sz w:val="18"/>
          <w:szCs w:val="18"/>
          <w:color w:val="auto"/>
        </w:rPr>
        <w:t>Engagement Manager, McKinsey &amp; Company, a global management consulting firm (2000 – 2004), advising businesses on industrial turnarounds and driving growth through customer insights and segmentation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40" w:right="539" w:hanging="315"/>
        <w:spacing w:after="0" w:line="261" w:lineRule="auto"/>
        <w:tabs>
          <w:tab w:leader="none" w:pos="636" w:val="left"/>
        </w:tabs>
        <w:numPr>
          <w:ilvl w:val="0"/>
          <w:numId w:val="30"/>
        </w:numPr>
        <w:rPr>
          <w:rFonts w:ascii="Arial" w:cs="Arial" w:eastAsia="Arial" w:hAnsi="Arial"/>
          <w:sz w:val="14"/>
          <w:szCs w:val="14"/>
          <w:color w:val="auto"/>
        </w:rPr>
      </w:pPr>
      <w:r>
        <w:rPr>
          <w:rFonts w:ascii="Arial" w:cs="Arial" w:eastAsia="Arial" w:hAnsi="Arial"/>
          <w:sz w:val="18"/>
          <w:szCs w:val="18"/>
          <w:color w:val="auto"/>
        </w:rPr>
        <w:t>Franklin Electric Co., Inc., a publicly traded global leader in the production and marketing of systems and components for the movement of water and automotive fuels (2021 – present)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61" w:lineRule="exact"/>
        <w:rPr>
          <w:sz w:val="20"/>
          <w:szCs w:val="20"/>
          <w:color w:val="auto"/>
        </w:rPr>
      </w:pPr>
    </w:p>
    <w:p>
      <w:pPr>
        <w:ind w:left="640" w:hanging="315"/>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8"/>
          <w:szCs w:val="18"/>
          <w:color w:val="auto"/>
        </w:rPr>
        <w:t>B.Tech in Chemical Engineering, Indian Institute of Technology</w:t>
      </w:r>
    </w:p>
    <w:p>
      <w:pPr>
        <w:spacing w:after="0" w:line="13" w:lineRule="exact"/>
        <w:rPr>
          <w:rFonts w:ascii="Arial" w:cs="Arial" w:eastAsia="Arial" w:hAnsi="Arial"/>
          <w:sz w:val="14"/>
          <w:szCs w:val="14"/>
          <w:color w:val="auto"/>
        </w:rPr>
      </w:pPr>
    </w:p>
    <w:p>
      <w:pPr>
        <w:ind w:left="640" w:hanging="315"/>
        <w:spacing w:after="0" w:line="234" w:lineRule="auto"/>
        <w:tabs>
          <w:tab w:leader="none" w:pos="640" w:val="left"/>
        </w:tabs>
        <w:numPr>
          <w:ilvl w:val="0"/>
          <w:numId w:val="31"/>
        </w:numPr>
        <w:rPr>
          <w:rFonts w:ascii="Arial" w:cs="Arial" w:eastAsia="Arial" w:hAnsi="Arial"/>
          <w:sz w:val="14"/>
          <w:szCs w:val="14"/>
          <w:color w:val="auto"/>
        </w:rPr>
      </w:pPr>
      <w:r>
        <w:rPr>
          <w:rFonts w:ascii="Arial" w:cs="Arial" w:eastAsia="Arial" w:hAnsi="Arial"/>
          <w:sz w:val="18"/>
          <w:szCs w:val="18"/>
          <w:color w:val="auto"/>
        </w:rPr>
        <w:t>M.S. in Chemical Engineering, University of New Mexico</w:t>
      </w:r>
    </w:p>
    <w:p>
      <w:pPr>
        <w:ind w:left="640" w:hanging="315"/>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8"/>
          <w:szCs w:val="18"/>
          <w:color w:val="auto"/>
        </w:rPr>
        <w:t>M.B.A., Northwestern University Kellogg School of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48" w:lineRule="exact"/>
        <w:rPr>
          <w:sz w:val="20"/>
          <w:szCs w:val="20"/>
          <w:color w:val="auto"/>
        </w:rPr>
      </w:pPr>
    </w:p>
    <w:p>
      <w:pPr>
        <w:ind w:right="59"/>
        <w:spacing w:after="0" w:line="243" w:lineRule="auto"/>
        <w:rPr>
          <w:sz w:val="20"/>
          <w:szCs w:val="20"/>
          <w:color w:val="auto"/>
        </w:rPr>
      </w:pPr>
      <w:r>
        <w:rPr>
          <w:rFonts w:ascii="Arial" w:cs="Arial" w:eastAsia="Arial" w:hAnsi="Arial"/>
          <w:sz w:val="18"/>
          <w:szCs w:val="18"/>
          <w:color w:val="auto"/>
        </w:rPr>
        <w:t>Mr. Maskara has extensive experience in the areas of management, finance, accounting, manufacturing, and corporate governance. As CEO, he has a deep understanding of Lennox’s core businesses and end market dynamics. He also led Lennox through a complex regulatory transition while positioning the company for its next phase of growth and expansion. During 2025, Lennox delivered record margin results despite a challenging operating environment. Under Mr. Maskara’s leadership, Lennox has reinforced a culture of accountability and customer focus that supports durable performance and long-term value creation.</w:t>
      </w:r>
    </w:p>
    <w:p>
      <w:pPr>
        <w:spacing w:after="0" w:line="200" w:lineRule="exact"/>
        <w:rPr>
          <w:sz w:val="20"/>
          <w:szCs w:val="20"/>
          <w:color w:val="auto"/>
        </w:rPr>
      </w:pPr>
    </w:p>
    <w:p>
      <w:pPr>
        <w:sectPr>
          <w:pgSz w:w="11900" w:h="16838" w:orient="portrait"/>
          <w:cols w:equalWidth="0" w:num="2">
            <w:col w:w="2280" w:space="600"/>
            <w:col w:w="6159"/>
          </w:cols>
          <w:pgMar w:left="1420" w:top="919"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183515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20" w:name="page21"/>
    <w:bookmarkEnd w:id="20"/>
    <w:p>
      <w:pPr>
        <w:spacing w:after="0" w:line="110" w:lineRule="exact"/>
        <w:rPr>
          <w:sz w:val="20"/>
          <w:szCs w:val="20"/>
          <w:color w:val="auto"/>
        </w:rPr>
      </w:pPr>
    </w:p>
    <w:p>
      <w:pPr>
        <w:ind w:right="660"/>
        <w:spacing w:after="0" w:line="310" w:lineRule="auto"/>
        <w:rPr>
          <w:sz w:val="20"/>
          <w:szCs w:val="20"/>
          <w:color w:val="auto"/>
        </w:rPr>
      </w:pPr>
      <w:r>
        <w:rPr>
          <w:rFonts w:ascii="Arial" w:cs="Arial" w:eastAsia="Arial" w:hAnsi="Arial"/>
          <w:sz w:val="21"/>
          <w:szCs w:val="21"/>
          <w:b w:val="1"/>
          <w:bCs w:val="1"/>
          <w:color w:val="C60C35"/>
        </w:rPr>
        <w:t>Sivasankaran Somasundaram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Director since </w:t>
      </w:r>
      <w:r>
        <w:rPr>
          <w:rFonts w:ascii="Arial" w:cs="Arial" w:eastAsia="Arial" w:hAnsi="Arial"/>
          <w:sz w:val="18"/>
          <w:szCs w:val="18"/>
          <w:color w:val="auto"/>
        </w:rPr>
        <w:t>2024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Skills</w:t>
      </w:r>
    </w:p>
    <w:p>
      <w:pPr>
        <w:spacing w:after="0" w:line="61"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Executive Leadership Manufacturing/Distribution Sustainability</w:t>
      </w:r>
    </w:p>
    <w:p>
      <w:pPr>
        <w:spacing w:after="0" w:line="236" w:lineRule="auto"/>
        <w:rPr>
          <w:sz w:val="20"/>
          <w:szCs w:val="20"/>
          <w:color w:val="auto"/>
        </w:rPr>
      </w:pPr>
      <w:r>
        <w:rPr>
          <w:rFonts w:ascii="Arial" w:cs="Arial" w:eastAsia="Arial" w:hAnsi="Arial"/>
          <w:sz w:val="18"/>
          <w:szCs w:val="18"/>
          <w:color w:val="auto"/>
        </w:rPr>
        <w:t>ERM</w:t>
      </w:r>
    </w:p>
    <w:p>
      <w:pPr>
        <w:spacing w:after="0"/>
        <w:rPr>
          <w:sz w:val="20"/>
          <w:szCs w:val="20"/>
          <w:color w:val="auto"/>
        </w:rPr>
      </w:pPr>
      <w:r>
        <w:rPr>
          <w:rFonts w:ascii="Arial" w:cs="Arial" w:eastAsia="Arial" w:hAnsi="Arial"/>
          <w:sz w:val="17"/>
          <w:szCs w:val="17"/>
          <w:color w:val="auto"/>
        </w:rPr>
        <w:t>Human Capital Management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Innovation/Technology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Strategic Planning/Oversight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-1938655</wp:posOffset>
            </wp:positionH>
            <wp:positionV relativeFrom="paragraph">
              <wp:posOffset>-197485</wp:posOffset>
            </wp:positionV>
            <wp:extent cx="5974715" cy="72440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74715" cy="7244080"/>
                    </a:xfrm>
                    <a:prstGeom prst="rect">
                      <a:avLst/>
                    </a:prstGeom>
                    <a:noFill/>
                  </pic:spPr>
                </pic:pic>
              </a:graphicData>
            </a:graphic>
          </wp:anchor>
        </w:drawing>
      </w:r>
    </w:p>
    <w:p>
      <w:pPr>
        <w:spacing w:after="0" w:line="122" w:lineRule="exact"/>
        <w:rPr>
          <w:sz w:val="20"/>
          <w:szCs w:val="20"/>
          <w:color w:val="auto"/>
        </w:rPr>
      </w:pPr>
    </w:p>
    <w:p>
      <w:pPr>
        <w:ind w:left="640" w:right="279" w:hanging="315"/>
        <w:spacing w:after="0" w:line="238" w:lineRule="auto"/>
        <w:tabs>
          <w:tab w:leader="none" w:pos="636" w:val="left"/>
        </w:tabs>
        <w:numPr>
          <w:ilvl w:val="0"/>
          <w:numId w:val="32"/>
        </w:numPr>
        <w:rPr>
          <w:rFonts w:ascii="Arial" w:cs="Arial" w:eastAsia="Arial" w:hAnsi="Arial"/>
          <w:sz w:val="14"/>
          <w:szCs w:val="14"/>
          <w:color w:val="auto"/>
        </w:rPr>
      </w:pPr>
      <w:r>
        <w:rPr>
          <w:rFonts w:ascii="Arial" w:cs="Arial" w:eastAsia="Arial" w:hAnsi="Arial"/>
          <w:sz w:val="18"/>
          <w:szCs w:val="18"/>
          <w:color w:val="auto"/>
        </w:rPr>
        <w:t>Retired; Director, President &amp; Chief Executive Officer, ChampionX (previously Apegy Corporation), a publicly traded global leader in chemistry solutions, artificial lift systems, and highly engineered equipment and technologies, and a spin-off of Dover Corporation (2018 – 2025)</w:t>
      </w:r>
    </w:p>
    <w:p>
      <w:pPr>
        <w:spacing w:after="0" w:line="4" w:lineRule="exact"/>
        <w:rPr>
          <w:rFonts w:ascii="Arial" w:cs="Arial" w:eastAsia="Arial" w:hAnsi="Arial"/>
          <w:sz w:val="14"/>
          <w:szCs w:val="14"/>
          <w:color w:val="auto"/>
        </w:rPr>
      </w:pPr>
    </w:p>
    <w:p>
      <w:pPr>
        <w:ind w:left="640" w:right="199" w:hanging="315"/>
        <w:spacing w:after="0" w:line="232" w:lineRule="auto"/>
        <w:tabs>
          <w:tab w:leader="none" w:pos="636" w:val="left"/>
        </w:tabs>
        <w:numPr>
          <w:ilvl w:val="0"/>
          <w:numId w:val="32"/>
        </w:numPr>
        <w:rPr>
          <w:rFonts w:ascii="Arial" w:cs="Arial" w:eastAsia="Arial" w:hAnsi="Arial"/>
          <w:sz w:val="14"/>
          <w:szCs w:val="14"/>
          <w:color w:val="auto"/>
        </w:rPr>
      </w:pPr>
      <w:r>
        <w:rPr>
          <w:rFonts w:ascii="Arial" w:cs="Arial" w:eastAsia="Arial" w:hAnsi="Arial"/>
          <w:sz w:val="18"/>
          <w:szCs w:val="18"/>
          <w:color w:val="auto"/>
        </w:rPr>
        <w:t>President and Chief Executive Officer, Energy Segment (2013 – 2018); Executive Vice President, Energy Segment (2012 – 2013); Executive Vice President, Dover Fluid Management (2010 – 2011); President, Fluid Solutions Platform (2008 – 2010); and other executive leadership roles (2004 - 2008), Dover Corporation, an American conglomerate manufacturer of industrial products</w:t>
      </w:r>
    </w:p>
    <w:p>
      <w:pPr>
        <w:ind w:left="640" w:right="459" w:hanging="315"/>
        <w:spacing w:after="0" w:line="234" w:lineRule="auto"/>
        <w:tabs>
          <w:tab w:leader="none" w:pos="636" w:val="left"/>
        </w:tabs>
        <w:numPr>
          <w:ilvl w:val="0"/>
          <w:numId w:val="32"/>
        </w:numPr>
        <w:rPr>
          <w:rFonts w:ascii="Arial" w:cs="Arial" w:eastAsia="Arial" w:hAnsi="Arial"/>
          <w:sz w:val="14"/>
          <w:szCs w:val="14"/>
          <w:color w:val="auto"/>
        </w:rPr>
      </w:pPr>
      <w:r>
        <w:rPr>
          <w:rFonts w:ascii="Arial" w:cs="Arial" w:eastAsia="Arial" w:hAnsi="Arial"/>
          <w:sz w:val="18"/>
          <w:szCs w:val="18"/>
          <w:color w:val="auto"/>
        </w:rPr>
        <w:t>Various global leadership roles at GL&amp;V Inc., a global mining, industrial, pulp and paper technology solutions supplier (2002 – 2004)</w:t>
      </w:r>
    </w:p>
    <w:p>
      <w:pPr>
        <w:spacing w:after="0" w:line="2" w:lineRule="exact"/>
        <w:rPr>
          <w:rFonts w:ascii="Arial" w:cs="Arial" w:eastAsia="Arial" w:hAnsi="Arial"/>
          <w:sz w:val="14"/>
          <w:szCs w:val="14"/>
          <w:color w:val="auto"/>
        </w:rPr>
      </w:pPr>
    </w:p>
    <w:p>
      <w:pPr>
        <w:ind w:left="640" w:right="439" w:hanging="315"/>
        <w:spacing w:after="0" w:line="250" w:lineRule="auto"/>
        <w:tabs>
          <w:tab w:leader="none" w:pos="636" w:val="left"/>
        </w:tabs>
        <w:numPr>
          <w:ilvl w:val="0"/>
          <w:numId w:val="32"/>
        </w:numPr>
        <w:rPr>
          <w:rFonts w:ascii="Arial" w:cs="Arial" w:eastAsia="Arial" w:hAnsi="Arial"/>
          <w:sz w:val="14"/>
          <w:szCs w:val="14"/>
          <w:color w:val="auto"/>
        </w:rPr>
      </w:pPr>
      <w:r>
        <w:rPr>
          <w:rFonts w:ascii="Arial" w:cs="Arial" w:eastAsia="Arial" w:hAnsi="Arial"/>
          <w:sz w:val="18"/>
          <w:szCs w:val="18"/>
          <w:color w:val="auto"/>
        </w:rPr>
        <w:t>Various global leadership roles at Baker Hughes Inc., an energy products &amp; technology company (1996 – 2002)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Public Company Boards</w:t>
      </w:r>
    </w:p>
    <w:p>
      <w:pPr>
        <w:spacing w:after="0" w:line="48" w:lineRule="exact"/>
        <w:rPr>
          <w:sz w:val="20"/>
          <w:szCs w:val="20"/>
          <w:color w:val="auto"/>
        </w:rPr>
      </w:pPr>
    </w:p>
    <w:p>
      <w:pPr>
        <w:ind w:left="640" w:right="219" w:hanging="315"/>
        <w:spacing w:after="0" w:line="252" w:lineRule="auto"/>
        <w:tabs>
          <w:tab w:leader="none" w:pos="636" w:val="left"/>
        </w:tabs>
        <w:numPr>
          <w:ilvl w:val="0"/>
          <w:numId w:val="33"/>
        </w:numPr>
        <w:rPr>
          <w:rFonts w:ascii="Arial" w:cs="Arial" w:eastAsia="Arial" w:hAnsi="Arial"/>
          <w:sz w:val="14"/>
          <w:szCs w:val="14"/>
          <w:color w:val="auto"/>
        </w:rPr>
      </w:pPr>
      <w:r>
        <w:rPr>
          <w:rFonts w:ascii="Arial" w:cs="Arial" w:eastAsia="Arial" w:hAnsi="Arial"/>
          <w:sz w:val="18"/>
          <w:szCs w:val="18"/>
          <w:color w:val="auto"/>
        </w:rPr>
        <w:t>Solstice Advanced Materials Inc., a publicly traded global specialty chemicals and advanced materials company with positions in refrigerants, semiconductor materials, protective fibers, and healthcare packaging (October 2025 – present)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Professional Experience and Community Involvement</w:t>
      </w:r>
    </w:p>
    <w:p>
      <w:pPr>
        <w:spacing w:after="0" w:line="38" w:lineRule="exact"/>
        <w:rPr>
          <w:sz w:val="20"/>
          <w:szCs w:val="20"/>
          <w:color w:val="auto"/>
        </w:rPr>
      </w:pPr>
    </w:p>
    <w:p>
      <w:pPr>
        <w:ind w:left="640" w:hanging="315"/>
        <w:spacing w:after="0"/>
        <w:tabs>
          <w:tab w:leader="none" w:pos="640" w:val="left"/>
        </w:tabs>
        <w:numPr>
          <w:ilvl w:val="0"/>
          <w:numId w:val="34"/>
        </w:numPr>
        <w:rPr>
          <w:rFonts w:ascii="Arial" w:cs="Arial" w:eastAsia="Arial" w:hAnsi="Arial"/>
          <w:sz w:val="14"/>
          <w:szCs w:val="14"/>
          <w:color w:val="auto"/>
        </w:rPr>
      </w:pPr>
      <w:r>
        <w:rPr>
          <w:rFonts w:ascii="Arial" w:cs="Arial" w:eastAsia="Arial" w:hAnsi="Arial"/>
          <w:sz w:val="18"/>
          <w:szCs w:val="18"/>
          <w:color w:val="auto"/>
        </w:rPr>
        <w:t>2024 ALLY Energy GRIT Lifetime Achievement Award recipient</w:t>
      </w:r>
    </w:p>
    <w:p>
      <w:pPr>
        <w:spacing w:after="0" w:line="9" w:lineRule="exact"/>
        <w:rPr>
          <w:rFonts w:ascii="Arial" w:cs="Arial" w:eastAsia="Arial" w:hAnsi="Arial"/>
          <w:sz w:val="14"/>
          <w:szCs w:val="14"/>
          <w:color w:val="auto"/>
        </w:rPr>
      </w:pPr>
    </w:p>
    <w:p>
      <w:pPr>
        <w:ind w:left="640" w:right="119" w:hanging="315"/>
        <w:spacing w:after="0" w:line="234"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Member, National Petroleum Council, a federally chartered advisory committee (2023 – 2024)</w:t>
      </w:r>
    </w:p>
    <w:p>
      <w:pPr>
        <w:spacing w:after="0" w:line="1" w:lineRule="exact"/>
        <w:rPr>
          <w:rFonts w:ascii="Arial" w:cs="Arial" w:eastAsia="Arial" w:hAnsi="Arial"/>
          <w:sz w:val="14"/>
          <w:szCs w:val="14"/>
          <w:color w:val="auto"/>
        </w:rPr>
      </w:pPr>
    </w:p>
    <w:p>
      <w:pPr>
        <w:ind w:left="640" w:right="79" w:hanging="315"/>
        <w:spacing w:after="0" w:line="234"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Director, Magellan Midstream Partners, L.P. a publicly traded energy pipeline operator (2022 – 2023)</w:t>
      </w:r>
    </w:p>
    <w:p>
      <w:pPr>
        <w:spacing w:after="0" w:line="1" w:lineRule="exact"/>
        <w:rPr>
          <w:rFonts w:ascii="Arial" w:cs="Arial" w:eastAsia="Arial" w:hAnsi="Arial"/>
          <w:sz w:val="14"/>
          <w:szCs w:val="14"/>
          <w:color w:val="auto"/>
        </w:rPr>
      </w:pPr>
    </w:p>
    <w:p>
      <w:pPr>
        <w:ind w:left="640" w:right="579" w:hanging="315"/>
        <w:spacing w:after="0" w:line="234"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Named a “2022 Most Admired CEO” by the Houston Business Journal</w:t>
      </w:r>
    </w:p>
    <w:p>
      <w:pPr>
        <w:spacing w:after="0" w:line="1" w:lineRule="exact"/>
        <w:rPr>
          <w:rFonts w:ascii="Arial" w:cs="Arial" w:eastAsia="Arial" w:hAnsi="Arial"/>
          <w:sz w:val="14"/>
          <w:szCs w:val="14"/>
          <w:color w:val="auto"/>
        </w:rPr>
      </w:pPr>
    </w:p>
    <w:p>
      <w:pPr>
        <w:ind w:left="640" w:right="719" w:hanging="315"/>
        <w:spacing w:after="0" w:line="237" w:lineRule="auto"/>
        <w:tabs>
          <w:tab w:leader="none" w:pos="636" w:val="left"/>
        </w:tabs>
        <w:numPr>
          <w:ilvl w:val="0"/>
          <w:numId w:val="34"/>
        </w:numPr>
        <w:rPr>
          <w:rFonts w:ascii="Arial" w:cs="Arial" w:eastAsia="Arial" w:hAnsi="Arial"/>
          <w:sz w:val="14"/>
          <w:szCs w:val="14"/>
          <w:color w:val="auto"/>
        </w:rPr>
      </w:pPr>
      <w:r>
        <w:rPr>
          <w:rFonts w:ascii="Arial" w:cs="Arial" w:eastAsia="Arial" w:hAnsi="Arial"/>
          <w:sz w:val="18"/>
          <w:szCs w:val="18"/>
          <w:color w:val="auto"/>
        </w:rPr>
        <w:t>2022 recipient, Energy Workforce &amp; Technology Council DEI Champion Award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48" w:lineRule="exact"/>
        <w:rPr>
          <w:sz w:val="20"/>
          <w:szCs w:val="20"/>
          <w:color w:val="auto"/>
        </w:rPr>
      </w:pPr>
    </w:p>
    <w:p>
      <w:pPr>
        <w:ind w:left="640" w:hanging="315"/>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8"/>
          <w:szCs w:val="18"/>
          <w:color w:val="auto"/>
        </w:rPr>
        <w:t>B.S., Mechanical Engineering, Anna University</w:t>
      </w:r>
    </w:p>
    <w:p>
      <w:pPr>
        <w:spacing w:after="0" w:line="13" w:lineRule="exact"/>
        <w:rPr>
          <w:rFonts w:ascii="Arial" w:cs="Arial" w:eastAsia="Arial" w:hAnsi="Arial"/>
          <w:sz w:val="14"/>
          <w:szCs w:val="14"/>
          <w:color w:val="auto"/>
        </w:rPr>
      </w:pPr>
    </w:p>
    <w:p>
      <w:pPr>
        <w:ind w:left="640" w:hanging="315"/>
        <w:spacing w:after="0"/>
        <w:tabs>
          <w:tab w:leader="none" w:pos="640" w:val="left"/>
        </w:tabs>
        <w:numPr>
          <w:ilvl w:val="0"/>
          <w:numId w:val="35"/>
        </w:numPr>
        <w:rPr>
          <w:rFonts w:ascii="Arial" w:cs="Arial" w:eastAsia="Arial" w:hAnsi="Arial"/>
          <w:sz w:val="14"/>
          <w:szCs w:val="14"/>
          <w:color w:val="auto"/>
        </w:rPr>
      </w:pPr>
      <w:r>
        <w:rPr>
          <w:rFonts w:ascii="Arial" w:cs="Arial" w:eastAsia="Arial" w:hAnsi="Arial"/>
          <w:sz w:val="18"/>
          <w:szCs w:val="18"/>
          <w:color w:val="auto"/>
        </w:rPr>
        <w:t>M.S., Industrial Engineering, University of Oklahoma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Qualifications</w:t>
      </w:r>
    </w:p>
    <w:p>
      <w:pPr>
        <w:spacing w:after="0" w:line="38" w:lineRule="exact"/>
        <w:rPr>
          <w:sz w:val="20"/>
          <w:szCs w:val="20"/>
          <w:color w:val="auto"/>
        </w:rPr>
      </w:pPr>
    </w:p>
    <w:p>
      <w:pPr>
        <w:ind w:right="59"/>
        <w:spacing w:after="0" w:line="238" w:lineRule="auto"/>
        <w:rPr>
          <w:sz w:val="20"/>
          <w:szCs w:val="20"/>
          <w:color w:val="auto"/>
        </w:rPr>
      </w:pPr>
      <w:r>
        <w:rPr>
          <w:rFonts w:ascii="Arial" w:cs="Arial" w:eastAsia="Arial" w:hAnsi="Arial"/>
          <w:sz w:val="18"/>
          <w:szCs w:val="18"/>
          <w:color w:val="auto"/>
        </w:rPr>
        <w:t>Mr. Somasundaram brings a depth of business, executive leadership, transformative growth strategies, operational, talent development, mergers &amp; acquisitions, and strategic development experience to the Board, including his service as President and Chief Executive Officer of Apegy Corporation</w:t>
      </w:r>
    </w:p>
    <w:p>
      <w:pPr>
        <w:spacing w:after="0" w:line="3" w:lineRule="exact"/>
        <w:rPr>
          <w:sz w:val="20"/>
          <w:szCs w:val="20"/>
          <w:color w:val="auto"/>
        </w:rPr>
      </w:pPr>
    </w:p>
    <w:p>
      <w:pPr>
        <w:ind w:right="299"/>
        <w:spacing w:after="0" w:line="226" w:lineRule="auto"/>
        <w:rPr>
          <w:sz w:val="20"/>
          <w:szCs w:val="20"/>
          <w:color w:val="auto"/>
        </w:rPr>
      </w:pPr>
      <w:r>
        <w:rPr>
          <w:rFonts w:ascii="Arial" w:cs="Arial" w:eastAsia="Arial" w:hAnsi="Arial"/>
          <w:sz w:val="18"/>
          <w:szCs w:val="18"/>
          <w:color w:val="auto"/>
        </w:rPr>
        <w:t>starting in 2018 and through its transformational merger in 2020 when the company changed its name to ChampionX Corporation and four years as</w:t>
      </w:r>
    </w:p>
    <w:p>
      <w:pPr>
        <w:spacing w:after="0" w:line="2" w:lineRule="exact"/>
        <w:rPr>
          <w:sz w:val="20"/>
          <w:szCs w:val="20"/>
          <w:color w:val="auto"/>
        </w:rPr>
      </w:pPr>
    </w:p>
    <w:p>
      <w:pPr>
        <w:ind w:right="119"/>
        <w:spacing w:after="0" w:line="237" w:lineRule="auto"/>
        <w:rPr>
          <w:sz w:val="20"/>
          <w:szCs w:val="20"/>
          <w:color w:val="auto"/>
        </w:rPr>
      </w:pPr>
      <w:r>
        <w:rPr>
          <w:rFonts w:ascii="Arial" w:cs="Arial" w:eastAsia="Arial" w:hAnsi="Arial"/>
          <w:sz w:val="18"/>
          <w:szCs w:val="18"/>
          <w:color w:val="auto"/>
        </w:rPr>
        <w:t>President and Chief Executive Officer of Dover Energy, a segment of Dover Corporation, a public company. With his strong executive leadership and his technical experience and degrees in both Industrial and Mechanical Engineering, he is uniquely positioned to assist the Board in assessing and managing the types of risks and opportunities faced by the Company. Mr. Somasundaram’s international experience also adds a valuable global perspective to the Board, having lived and worked in India, Germany, Singapore, and Australia.</w:t>
      </w:r>
    </w:p>
    <w:p>
      <w:pPr>
        <w:spacing w:after="0" w:line="200" w:lineRule="exact"/>
        <w:rPr>
          <w:sz w:val="20"/>
          <w:szCs w:val="20"/>
          <w:color w:val="auto"/>
        </w:rPr>
      </w:pPr>
    </w:p>
    <w:p>
      <w:pPr>
        <w:sectPr>
          <w:pgSz w:w="11900" w:h="16838" w:orient="portrait"/>
          <w:cols w:equalWidth="0" w:num="2">
            <w:col w:w="2280" w:space="600"/>
            <w:col w:w="6159"/>
          </w:cols>
          <w:pgMar w:left="1420" w:top="919"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183515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9"/>
          </w:cols>
          <w:pgMar w:left="1420" w:top="919" w:right="1440"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29"/>
          <w:szCs w:val="29"/>
          <w:b w:val="1"/>
          <w:bCs w:val="1"/>
          <w:color w:val="C6093B"/>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9"/>
          <w:szCs w:val="29"/>
          <w:b w:val="1"/>
          <w:bCs w:val="1"/>
          <w:color w:val="C6093B"/>
        </w:rPr>
        <w:t>Advisory Vote to Approve the</w:t>
      </w:r>
    </w:p>
    <w:p>
      <w:pPr>
        <w:jc w:val="center"/>
        <w:ind w:right="-19"/>
        <w:spacing w:after="0"/>
        <w:rPr>
          <w:sz w:val="20"/>
          <w:szCs w:val="20"/>
          <w:color w:val="auto"/>
        </w:rPr>
      </w:pPr>
      <w:r>
        <w:rPr>
          <w:rFonts w:ascii="Arial" w:cs="Arial" w:eastAsia="Arial" w:hAnsi="Arial"/>
          <w:sz w:val="29"/>
          <w:szCs w:val="29"/>
          <w:b w:val="1"/>
          <w:bCs w:val="1"/>
          <w:color w:val="C6093B"/>
        </w:rPr>
        <w:t>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In accordance with Section 14A of the Securities Exchange Act of 1934 (the “Exchange Act”), we are asking our stockholders to vote to approve the compensation of our Company’s NEOs (the “Say-on-Pay vote”), as disclosed in this Proxy Statement. The Say-on-Pay vote is</w:t>
      </w:r>
    </w:p>
    <w:p>
      <w:pPr>
        <w:ind w:right="120"/>
        <w:spacing w:after="0" w:line="226" w:lineRule="auto"/>
        <w:rPr>
          <w:sz w:val="20"/>
          <w:szCs w:val="20"/>
          <w:color w:val="auto"/>
        </w:rPr>
      </w:pPr>
      <w:r>
        <w:rPr>
          <w:rFonts w:ascii="Arial" w:cs="Arial" w:eastAsia="Arial" w:hAnsi="Arial"/>
          <w:sz w:val="18"/>
          <w:szCs w:val="18"/>
          <w:color w:val="auto"/>
        </w:rPr>
        <w:t>an advisory vote on the resolution below and is not binding. Although the vote is non-binding, the directors value stockholders’ opinions and will consider the voting results of this proposal when making future compensation decisions. Say-on-Pay advisory votes are currently</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conducted annually, and our next Say-on-Pay vote is expected to occur at our annual meeting of stockholders in 2027. Our next advisory vote on the frequency of Say-on-Pay votes is expected to take place at our annual meeting of stockholders in 2029.</w:t>
      </w:r>
    </w:p>
    <w:p>
      <w:pPr>
        <w:spacing w:after="0" w:line="91" w:lineRule="exact"/>
        <w:rPr>
          <w:sz w:val="20"/>
          <w:szCs w:val="20"/>
          <w:color w:val="auto"/>
        </w:rPr>
      </w:pPr>
    </w:p>
    <w:p>
      <w:pPr>
        <w:ind w:right="500" w:firstLine="324"/>
        <w:spacing w:after="0" w:line="237" w:lineRule="auto"/>
        <w:rPr>
          <w:sz w:val="20"/>
          <w:szCs w:val="20"/>
          <w:color w:val="auto"/>
        </w:rPr>
      </w:pPr>
      <w:r>
        <w:rPr>
          <w:rFonts w:ascii="Arial" w:cs="Arial" w:eastAsia="Arial" w:hAnsi="Arial"/>
          <w:sz w:val="18"/>
          <w:szCs w:val="18"/>
          <w:color w:val="auto"/>
        </w:rPr>
        <w:t>As described more fully in the “Compensation Discussion and Analysis” section of this Proxy Statement, the Company designed its market-competitive NEO compensation program to reward successful execution of its business strategy and achievement of desired</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business results, with a focus on creating alignment with the interests of our stockholders. The program seeks to achieve these goals on both an annual and long-term basis through an appropriate combination of base pay, annual incentives, and long-term incentives.</w:t>
      </w:r>
    </w:p>
    <w:p>
      <w:pPr>
        <w:spacing w:after="0" w:line="91" w:lineRule="exact"/>
        <w:rPr>
          <w:sz w:val="20"/>
          <w:szCs w:val="20"/>
          <w:color w:val="auto"/>
        </w:rPr>
      </w:pPr>
    </w:p>
    <w:p>
      <w:pPr>
        <w:ind w:right="20" w:firstLine="324"/>
        <w:spacing w:after="0" w:line="251" w:lineRule="auto"/>
        <w:rPr>
          <w:sz w:val="20"/>
          <w:szCs w:val="20"/>
          <w:color w:val="auto"/>
        </w:rPr>
      </w:pPr>
      <w:r>
        <w:rPr>
          <w:rFonts w:ascii="Arial" w:cs="Arial" w:eastAsia="Arial" w:hAnsi="Arial"/>
          <w:sz w:val="17"/>
          <w:szCs w:val="17"/>
          <w:color w:val="auto"/>
        </w:rPr>
        <w:t>For our NEOs, the majority of compensation in a typical year is both stock-based and contingent on performance. The annual incentive payout is based on Company financial performance metrics of core net income, free cash flow, and revenue, and for NEOs who are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segment leaders, a combination of Company and business segment performance. Our long-term incentives generally include: (1) performance share units, which are designed to link compensation to the Company’s three-year financial performance as measured by return on invested capital and core net income growth; (2) stock appreciation rights, which are designed to incentivize NEOs to grow our business and deliver increased returns to our stockholders; and (3) restricted stock units, which are designed to support our retention efforts.</w:t>
      </w:r>
    </w:p>
    <w:p>
      <w:pPr>
        <w:spacing w:after="0" w:line="86"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The Company also has several governance policies in place to align executive compensation with stockholder interests and mitigate risk. These policies include stock ownership guidelines; a prohibition on hedging and pledging of Company stock; clawback policies; and post-employment restrictive covenants. These policies are discussed in detail in the “Compensation Discussion and Analysis” section of this Proxy Statement.</w:t>
      </w:r>
    </w:p>
    <w:p>
      <w:pPr>
        <w:spacing w:after="0" w:line="79" w:lineRule="exact"/>
        <w:rPr>
          <w:sz w:val="20"/>
          <w:szCs w:val="20"/>
          <w:color w:val="auto"/>
        </w:rPr>
      </w:pPr>
    </w:p>
    <w:p>
      <w:pPr>
        <w:ind w:right="100" w:firstLine="324"/>
        <w:spacing w:after="0" w:line="247" w:lineRule="auto"/>
        <w:rPr>
          <w:sz w:val="20"/>
          <w:szCs w:val="20"/>
          <w:color w:val="auto"/>
        </w:rPr>
      </w:pPr>
      <w:r>
        <w:rPr>
          <w:rFonts w:ascii="Arial" w:cs="Arial" w:eastAsia="Arial" w:hAnsi="Arial"/>
          <w:sz w:val="18"/>
          <w:szCs w:val="18"/>
          <w:color w:val="auto"/>
        </w:rPr>
        <w:t>In 2025, the Company strengthened its market position with enhanced product offerings and availability. Despite softer end markets and macroeconomic headwinds, Lennox delivered solid results. Most notably, the Company achieved full-year margins above 20% for the first time in its history. This meaningful milestone reflects the structural improvements made in the Company’s production capacity and operational efficiency. Highlights of our 2025 performance include the following:</w:t>
      </w:r>
    </w:p>
    <w:p>
      <w:pPr>
        <w:spacing w:after="0" w:line="79"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GAAP diluted earnings per share up 0.6% to $22.79, while adjusted diluted earnings per share was up 2% to $23.16;</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Segment profit up 2% to $1.1 billion and segment profit margin up 90 basis points to 20.4%;</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Three-year total stockholder return (“TSR”) of 109% and five-year TSR of 88%; and</w:t>
      </w:r>
    </w:p>
    <w:p>
      <w:pPr>
        <w:spacing w:after="0" w:line="103" w:lineRule="exact"/>
        <w:rPr>
          <w:rFonts w:ascii="Arial" w:cs="Arial" w:eastAsia="Arial" w:hAnsi="Arial"/>
          <w:sz w:val="18"/>
          <w:szCs w:val="18"/>
          <w:color w:val="auto"/>
        </w:rPr>
      </w:pPr>
    </w:p>
    <w:p>
      <w:pPr>
        <w:ind w:left="660" w:right="60" w:hanging="328"/>
        <w:spacing w:after="0" w:line="27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Quarterly dividends resulted in approximately $173 million paid to stockholders, and the Company used an additional $482 million to repurchase shares under our stock repurchase program.</w:t>
      </w:r>
    </w:p>
    <w:p>
      <w:pPr>
        <w:spacing w:after="0" w:line="59" w:lineRule="exact"/>
        <w:rPr>
          <w:sz w:val="20"/>
          <w:szCs w:val="20"/>
          <w:color w:val="auto"/>
        </w:rPr>
      </w:pPr>
    </w:p>
    <w:p>
      <w:pPr>
        <w:jc w:val="both"/>
        <w:ind w:right="260" w:firstLine="324"/>
        <w:spacing w:after="0" w:line="253" w:lineRule="auto"/>
        <w:rPr>
          <w:sz w:val="20"/>
          <w:szCs w:val="20"/>
          <w:color w:val="auto"/>
        </w:rPr>
      </w:pPr>
      <w:r>
        <w:rPr>
          <w:rFonts w:ascii="Arial" w:cs="Arial" w:eastAsia="Arial" w:hAnsi="Arial"/>
          <w:sz w:val="18"/>
          <w:szCs w:val="18"/>
          <w:color w:val="auto"/>
        </w:rPr>
        <w:t>Financial results, including those from prior periods, are described in more detail in our Form 10-K for the fiscal year ended December 31, 2025, which was filed with the Securities and Exchange Commission (“SEC”) on February 17, 2026 (the “Form 10-K”). For non-GAAP results, see reconciliation in Appendix A. All TSR calculations assume reinvestment of dividends.</w:t>
      </w:r>
    </w:p>
    <w:p>
      <w:pPr>
        <w:spacing w:after="0" w:line="7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asking stockholders to approve the following advisory resolution at the Annual Meeting:</w:t>
      </w:r>
    </w:p>
    <w:p>
      <w:pPr>
        <w:spacing w:after="0" w:line="131" w:lineRule="exact"/>
        <w:rPr>
          <w:sz w:val="20"/>
          <w:szCs w:val="20"/>
          <w:color w:val="auto"/>
        </w:rPr>
      </w:pPr>
    </w:p>
    <w:p>
      <w:pPr>
        <w:ind w:left="1540" w:right="1320"/>
        <w:spacing w:after="0" w:line="245" w:lineRule="auto"/>
        <w:rPr>
          <w:sz w:val="20"/>
          <w:szCs w:val="20"/>
          <w:color w:val="auto"/>
        </w:rPr>
      </w:pPr>
      <w:r>
        <w:rPr>
          <w:rFonts w:ascii="Arial" w:cs="Arial" w:eastAsia="Arial" w:hAnsi="Arial"/>
          <w:sz w:val="18"/>
          <w:szCs w:val="18"/>
          <w:color w:val="auto"/>
        </w:rPr>
        <w:t>RESOLVED, that the compensation of the Company’s named executive officers, as disclosed pursuant to the compensation disclosure rules of the Securities and Exchange Commission, including the</w:t>
      </w:r>
    </w:p>
    <w:p>
      <w:pPr>
        <w:ind w:left="1540" w:right="1960"/>
        <w:spacing w:after="0" w:line="237" w:lineRule="auto"/>
        <w:rPr>
          <w:sz w:val="20"/>
          <w:szCs w:val="20"/>
          <w:color w:val="auto"/>
        </w:rPr>
      </w:pPr>
      <w:r>
        <w:rPr>
          <w:rFonts w:ascii="Arial" w:cs="Arial" w:eastAsia="Arial" w:hAnsi="Arial"/>
          <w:sz w:val="18"/>
          <w:szCs w:val="18"/>
          <w:color w:val="auto"/>
        </w:rPr>
        <w:t>Compensation Discussion and Analysis, compensation tables, and narrative discussion is hereby APPROVED.</w:t>
      </w:r>
    </w:p>
    <w:p>
      <w:pPr>
        <w:spacing w:after="0" w:line="162" w:lineRule="exact"/>
        <w:rPr>
          <w:sz w:val="20"/>
          <w:szCs w:val="20"/>
          <w:color w:val="auto"/>
        </w:rPr>
      </w:pPr>
    </w:p>
    <w:p>
      <w:pPr>
        <w:jc w:val="center"/>
        <w:ind w:left="360" w:right="460"/>
        <w:spacing w:after="0" w:line="298" w:lineRule="auto"/>
        <w:rPr>
          <w:sz w:val="20"/>
          <w:szCs w:val="20"/>
          <w:color w:val="auto"/>
        </w:rPr>
      </w:pPr>
      <w:r>
        <w:rPr>
          <w:rFonts w:ascii="Arial" w:cs="Arial" w:eastAsia="Arial" w:hAnsi="Arial"/>
          <w:sz w:val="25"/>
          <w:szCs w:val="25"/>
          <w:b w:val="1"/>
          <w:bCs w:val="1"/>
          <w:color w:val="C60C35"/>
        </w:rPr>
        <w:t>THE BOARD OF DIRECTORS RECOMMENDS A VOTE “FOR” THE APPROVAL OF THE COMPENSATION OF THE NEOS AS DISCLOSED IN THIS PROXY STATEMENT.</w:t>
      </w:r>
    </w:p>
    <w:p>
      <w:pPr>
        <w:spacing w:after="0" w:line="1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29"/>
          <w:szCs w:val="29"/>
          <w:b w:val="1"/>
          <w:bCs w:val="1"/>
          <w:color w:val="C6093B"/>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C6093B"/>
        </w:rPr>
        <w:t>Ratification of the Appointment of Ernst &amp; Young LLP</w:t>
      </w:r>
    </w:p>
    <w:p>
      <w:pPr>
        <w:jc w:val="center"/>
        <w:spacing w:after="0" w:line="233" w:lineRule="auto"/>
        <w:rPr>
          <w:sz w:val="20"/>
          <w:szCs w:val="20"/>
          <w:color w:val="auto"/>
        </w:rPr>
      </w:pPr>
      <w:r>
        <w:rPr>
          <w:rFonts w:ascii="Arial" w:cs="Arial" w:eastAsia="Arial" w:hAnsi="Arial"/>
          <w:sz w:val="29"/>
          <w:szCs w:val="29"/>
          <w:b w:val="1"/>
          <w:bCs w:val="1"/>
          <w:color w:val="C6093B"/>
        </w:rPr>
        <w:t>as Our Independent Registered Public</w:t>
      </w:r>
    </w:p>
    <w:p>
      <w:pPr>
        <w:jc w:val="center"/>
        <w:spacing w:after="0"/>
        <w:rPr>
          <w:sz w:val="20"/>
          <w:szCs w:val="20"/>
          <w:color w:val="auto"/>
        </w:rPr>
      </w:pPr>
      <w:r>
        <w:rPr>
          <w:rFonts w:ascii="Arial" w:cs="Arial" w:eastAsia="Arial" w:hAnsi="Arial"/>
          <w:sz w:val="29"/>
          <w:szCs w:val="29"/>
          <w:b w:val="1"/>
          <w:bCs w:val="1"/>
          <w:color w:val="C6093B"/>
        </w:rPr>
        <w:t>Accounting Firm for the 2026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Audit Committee has appointed Ernst &amp; Young LLP (“EY”) to continue as our independent registered public accounting firm for the 2026 fiscal year. EY was selected as Lennox’s independent registered accounting firm in 2025, following a comprehensive, competitive Request for Proposal process. We are asking our stockholders to ratify the appointment of EY as our independent registered public accounting firm. If our stockholders do not ratify this appointment, the Audit Committee will consider the reasons for the rejection and whether it should select a different firm; however, it is not required to do so. Even if the appointment is ratified, the Audit Committee, in its discretion, may select a different independent registered public accounting firm at any time during the year if it determines that a change would be in the best interests of the Company and our stockholders.</w:t>
      </w:r>
    </w:p>
    <w:p>
      <w:pPr>
        <w:spacing w:after="0" w:line="121" w:lineRule="exact"/>
        <w:rPr>
          <w:sz w:val="20"/>
          <w:szCs w:val="20"/>
          <w:color w:val="auto"/>
        </w:rPr>
      </w:pPr>
    </w:p>
    <w:p>
      <w:pPr>
        <w:ind w:right="1160" w:firstLine="324"/>
        <w:spacing w:after="0" w:line="271" w:lineRule="auto"/>
        <w:rPr>
          <w:sz w:val="20"/>
          <w:szCs w:val="20"/>
          <w:color w:val="auto"/>
        </w:rPr>
      </w:pPr>
      <w:r>
        <w:rPr>
          <w:rFonts w:ascii="Arial" w:cs="Arial" w:eastAsia="Arial" w:hAnsi="Arial"/>
          <w:sz w:val="18"/>
          <w:szCs w:val="18"/>
          <w:color w:val="auto"/>
        </w:rPr>
        <w:t>A representative of EY will be present at the Annual Meeting and will be available to respond to appropriate questions. The representative will also have an opportunity to make a statement at the Annual Meeting if he or she desires to do so.</w:t>
      </w:r>
    </w:p>
    <w:p>
      <w:pPr>
        <w:spacing w:after="0" w:line="107" w:lineRule="exact"/>
        <w:rPr>
          <w:sz w:val="20"/>
          <w:szCs w:val="20"/>
          <w:color w:val="auto"/>
        </w:rPr>
      </w:pPr>
    </w:p>
    <w:p>
      <w:pPr>
        <w:jc w:val="center"/>
        <w:ind w:left="340" w:right="240"/>
        <w:spacing w:after="0" w:line="273" w:lineRule="auto"/>
        <w:rPr>
          <w:sz w:val="20"/>
          <w:szCs w:val="20"/>
          <w:color w:val="auto"/>
        </w:rPr>
      </w:pPr>
      <w:r>
        <w:rPr>
          <w:rFonts w:ascii="Arial" w:cs="Arial" w:eastAsia="Arial" w:hAnsi="Arial"/>
          <w:sz w:val="25"/>
          <w:szCs w:val="25"/>
          <w:b w:val="1"/>
          <w:bCs w:val="1"/>
          <w:color w:val="C60C35"/>
        </w:rPr>
        <w:t>THE BOARD RECOMMENDS A VOTE “FOR” THE RATIFICATION OF ERNST &amp; YOUNG LLP AS OUR INDEPENDENT REGISTERED PUBLIC ACCOUNTING FIRM FOR THE 2026 FISCAL YEAR.</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Change in Certifying Accountant</w:t>
      </w:r>
    </w:p>
    <w:p>
      <w:pPr>
        <w:spacing w:after="0" w:line="108"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On March 7, 2025, the Audit Committee approved the dismissal of KPMG LLP (“KPMG”). KPMG was notified of the dismissal on March 10, 2025.</w:t>
      </w:r>
    </w:p>
    <w:p>
      <w:pPr>
        <w:spacing w:after="0" w:line="113" w:lineRule="exact"/>
        <w:rPr>
          <w:sz w:val="20"/>
          <w:szCs w:val="20"/>
          <w:color w:val="auto"/>
        </w:rPr>
      </w:pPr>
    </w:p>
    <w:p>
      <w:pPr>
        <w:jc w:val="both"/>
        <w:ind w:right="100" w:firstLine="324"/>
        <w:spacing w:after="0" w:line="253" w:lineRule="auto"/>
        <w:rPr>
          <w:sz w:val="20"/>
          <w:szCs w:val="20"/>
          <w:color w:val="auto"/>
        </w:rPr>
      </w:pPr>
      <w:r>
        <w:rPr>
          <w:rFonts w:ascii="Arial" w:cs="Arial" w:eastAsia="Arial" w:hAnsi="Arial"/>
          <w:sz w:val="18"/>
          <w:szCs w:val="18"/>
          <w:color w:val="auto"/>
        </w:rPr>
        <w:t>KPMG’s reports on the Company’s consolidated financial statements as of and for the fiscal years ended December 31, 2024 and 2023 did not contain any adverse opinion or disclaimer of opinion; nor were they qualified or modified as to uncertainty, audit scope, or accounting principles.</w:t>
      </w:r>
    </w:p>
    <w:p>
      <w:pPr>
        <w:spacing w:after="0" w:line="128"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During the fiscal years ended December 31, 2024 and 2023, and the subsequent interim period through March 10, 2025, there were: (i) no disagreements (within the meaning of Item 304(a)(1)(iv) of Regulation S-K and the related instructions) between the Company and KPMG on any matters of accounting principles or practices, financial statement disclosure, or auditing scope or procedure which, if not resolved to KPMG’s satisfaction, would have caused KPMG to make reference thereto in their reports; and (ii) no “reportable events” within the meaning of Item 304(a)(1)(v) of Regulation S-K.</w:t>
      </w:r>
    </w:p>
    <w:p>
      <w:pPr>
        <w:spacing w:after="0" w:line="109" w:lineRule="exact"/>
        <w:rPr>
          <w:sz w:val="20"/>
          <w:szCs w:val="20"/>
          <w:color w:val="auto"/>
        </w:rPr>
      </w:pPr>
    </w:p>
    <w:p>
      <w:pPr>
        <w:ind w:firstLine="405"/>
        <w:spacing w:after="0" w:line="244" w:lineRule="auto"/>
        <w:rPr>
          <w:sz w:val="20"/>
          <w:szCs w:val="20"/>
          <w:color w:val="auto"/>
        </w:rPr>
      </w:pPr>
      <w:r>
        <w:rPr>
          <w:rFonts w:ascii="Arial" w:cs="Arial" w:eastAsia="Arial" w:hAnsi="Arial"/>
          <w:sz w:val="18"/>
          <w:szCs w:val="18"/>
          <w:color w:val="auto"/>
        </w:rPr>
        <w:t>In accordance with Item 304(a)(3) of Regulation S-K, the Company provided KPMG with a copy of the disclosure in the three preceding paragraphs prior to filing a Current Report on Form 8-K containing such disclosure with the SEC on March 13, 2025, and requested that KPMG furnish the Company with a letter addressed to the SEC stating whether KPMG agreed with the statements made by the Company set forth above. A copy of KPMG’s letter, dated March 13, 2025, was attached as Exhibit 16.1 to the Current Report on Form 8-K filed on March 13, 2025.</w:t>
      </w:r>
    </w:p>
    <w:p>
      <w:pPr>
        <w:spacing w:after="0" w:line="136" w:lineRule="exact"/>
        <w:rPr>
          <w:sz w:val="20"/>
          <w:szCs w:val="20"/>
          <w:color w:val="auto"/>
        </w:rPr>
      </w:pPr>
    </w:p>
    <w:p>
      <w:pPr>
        <w:ind w:right="280" w:firstLine="324"/>
        <w:spacing w:after="0" w:line="271" w:lineRule="auto"/>
        <w:rPr>
          <w:sz w:val="20"/>
          <w:szCs w:val="20"/>
          <w:color w:val="auto"/>
        </w:rPr>
      </w:pPr>
      <w:r>
        <w:rPr>
          <w:rFonts w:ascii="Arial" w:cs="Arial" w:eastAsia="Arial" w:hAnsi="Arial"/>
          <w:sz w:val="18"/>
          <w:szCs w:val="18"/>
          <w:color w:val="auto"/>
        </w:rPr>
        <w:t>On March 7, 2025, the Audit Committee approved the engagement of EY as the Company’s independent registered public accounting firm for the Company’s audit for the year ended December 31, 2025. EY was engaged effective March 12, 2025.</w:t>
      </w:r>
    </w:p>
    <w:p>
      <w:pPr>
        <w:spacing w:after="0" w:line="113" w:lineRule="exact"/>
        <w:rPr>
          <w:sz w:val="20"/>
          <w:szCs w:val="20"/>
          <w:color w:val="auto"/>
        </w:rPr>
      </w:pPr>
    </w:p>
    <w:p>
      <w:pPr>
        <w:ind w:right="220" w:firstLine="324"/>
        <w:spacing w:after="0" w:line="243" w:lineRule="auto"/>
        <w:rPr>
          <w:sz w:val="20"/>
          <w:szCs w:val="20"/>
          <w:color w:val="auto"/>
        </w:rPr>
      </w:pPr>
      <w:r>
        <w:rPr>
          <w:rFonts w:ascii="Arial" w:cs="Arial" w:eastAsia="Arial" w:hAnsi="Arial"/>
          <w:sz w:val="18"/>
          <w:szCs w:val="18"/>
          <w:color w:val="auto"/>
        </w:rPr>
        <w:t>During the fiscal years ended December 31, 2024 and 2023 and the subsequent interim period through March 12, 2025, neither the Company nor anyone on its behalf has consulted with EY regarding: (i) the application of accounting principles to a specific transaction, either completed or proposed, or the type of audit opinion that might be rendered on the Company's financial statements, and neither a written report nor oral advice was provided to the Company that EY concluded was an important factor considered by the Company in reaching a decision as to any accounting, auditing, or financial reporting issue; (ii) any matter that was the subject of a disagreement within the meaning of Item 304(a)(1)(iv) of Regulation S-K and the related instructions; or (iii) any reportable event within the meaning of Item 304(a)(1)(v) of Regulation S-K.</w:t>
      </w: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C60C35"/>
        </w:rPr>
        <w:t>Audit and Non-Audit Fees</w:t>
      </w:r>
    </w:p>
    <w:p>
      <w:pPr>
        <w:spacing w:after="0" w:line="162" w:lineRule="exact"/>
        <w:rPr>
          <w:sz w:val="20"/>
          <w:szCs w:val="20"/>
          <w:color w:val="auto"/>
        </w:rPr>
      </w:pPr>
    </w:p>
    <w:p>
      <w:pPr>
        <w:ind w:right="60" w:firstLine="324"/>
        <w:spacing w:after="0" w:line="271" w:lineRule="auto"/>
        <w:rPr>
          <w:sz w:val="20"/>
          <w:szCs w:val="20"/>
          <w:color w:val="auto"/>
        </w:rPr>
      </w:pPr>
      <w:r>
        <w:rPr>
          <w:rFonts w:ascii="Arial" w:cs="Arial" w:eastAsia="Arial" w:hAnsi="Arial"/>
          <w:sz w:val="18"/>
          <w:szCs w:val="18"/>
          <w:color w:val="auto"/>
        </w:rPr>
        <w:t>The following table sets forth the fees for audit and other services rendered by our independent registered public accountants for each of the last two fiscal years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40" w:type="dxa"/>
            <w:vAlign w:val="bottom"/>
            <w:tcBorders>
              <w:bottom w:val="single" w:sz="8" w:color="C60C35"/>
            </w:tcBorders>
            <w:shd w:val="clear" w:color="auto" w:fill="C6093B"/>
          </w:tcPr>
          <w:p>
            <w:pPr>
              <w:ind w:left="100"/>
              <w:spacing w:after="0"/>
              <w:rPr>
                <w:sz w:val="20"/>
                <w:szCs w:val="20"/>
                <w:color w:val="auto"/>
              </w:rPr>
            </w:pPr>
            <w:r>
              <w:rPr>
                <w:rFonts w:ascii="Arial" w:cs="Arial" w:eastAsia="Arial" w:hAnsi="Arial"/>
                <w:sz w:val="18"/>
                <w:szCs w:val="18"/>
                <w:b w:val="1"/>
                <w:bCs w:val="1"/>
                <w:color w:val="FFFFFF"/>
              </w:rPr>
              <w:t>KPMG</w:t>
            </w:r>
          </w:p>
        </w:tc>
        <w:tc>
          <w:tcPr>
            <w:tcW w:w="780" w:type="dxa"/>
            <w:vAlign w:val="bottom"/>
            <w:tcBorders>
              <w:bottom w:val="single" w:sz="8" w:color="C60C35"/>
            </w:tcBorders>
            <w:shd w:val="clear" w:color="auto" w:fill="C6093B"/>
          </w:tcPr>
          <w:p>
            <w:pPr>
              <w:spacing w:after="0"/>
              <w:rPr>
                <w:sz w:val="22"/>
                <w:szCs w:val="22"/>
                <w:color w:val="auto"/>
              </w:rPr>
            </w:pPr>
          </w:p>
        </w:tc>
        <w:tc>
          <w:tcPr>
            <w:tcW w:w="1020" w:type="dxa"/>
            <w:vAlign w:val="bottom"/>
            <w:tcBorders>
              <w:bottom w:val="single" w:sz="8" w:color="C60C35"/>
            </w:tcBorders>
            <w:shd w:val="clear" w:color="auto" w:fill="C6093B"/>
          </w:tcPr>
          <w:p>
            <w:pPr>
              <w:jc w:val="right"/>
              <w:spacing w:after="0"/>
              <w:rPr>
                <w:sz w:val="20"/>
                <w:szCs w:val="20"/>
                <w:color w:val="auto"/>
              </w:rPr>
            </w:pPr>
            <w:r>
              <w:rPr>
                <w:rFonts w:ascii="Arial" w:cs="Arial" w:eastAsia="Arial" w:hAnsi="Arial"/>
                <w:sz w:val="14"/>
                <w:szCs w:val="14"/>
                <w:b w:val="1"/>
                <w:bCs w:val="1"/>
                <w:color w:val="FFFFFF"/>
              </w:rPr>
              <w:t>2025</w:t>
            </w:r>
          </w:p>
        </w:tc>
        <w:tc>
          <w:tcPr>
            <w:tcW w:w="740" w:type="dxa"/>
            <w:vAlign w:val="bottom"/>
            <w:tcBorders>
              <w:bottom w:val="single" w:sz="8" w:color="C60C35"/>
            </w:tcBorders>
            <w:shd w:val="clear" w:color="auto" w:fill="C6093B"/>
          </w:tcPr>
          <w:p>
            <w:pPr>
              <w:spacing w:after="0"/>
              <w:rPr>
                <w:sz w:val="22"/>
                <w:szCs w:val="22"/>
                <w:color w:val="auto"/>
              </w:rPr>
            </w:pPr>
          </w:p>
        </w:tc>
        <w:tc>
          <w:tcPr>
            <w:tcW w:w="1060" w:type="dxa"/>
            <w:vAlign w:val="bottom"/>
            <w:tcBorders>
              <w:bottom w:val="single" w:sz="8" w:color="C60C35"/>
            </w:tcBorders>
            <w:shd w:val="clear" w:color="auto" w:fill="C6093B"/>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29"/>
        </w:trPr>
        <w:tc>
          <w:tcPr>
            <w:tcW w:w="76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 xml:space="preserve">Audit Fees </w:t>
            </w:r>
            <w:r>
              <w:rPr>
                <w:rFonts w:ascii="Arial" w:cs="Arial" w:eastAsia="Arial" w:hAnsi="Arial"/>
                <w:sz w:val="18"/>
                <w:szCs w:val="18"/>
                <w:color w:val="auto"/>
                <w:vertAlign w:val="superscript"/>
              </w:rPr>
              <w:t>(1)</w:t>
            </w:r>
          </w:p>
        </w:tc>
        <w:tc>
          <w:tcPr>
            <w:tcW w:w="780" w:type="dxa"/>
            <w:vAlign w:val="bottom"/>
            <w:shd w:val="clear" w:color="auto" w:fill="F2F2F2"/>
          </w:tcPr>
          <w:p>
            <w:pPr>
              <w:jc w:val="right"/>
              <w:ind w:right="6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673</w:t>
            </w:r>
          </w:p>
        </w:tc>
        <w:tc>
          <w:tcPr>
            <w:tcW w:w="740" w:type="dxa"/>
            <w:vAlign w:val="bottom"/>
            <w:shd w:val="clear" w:color="auto" w:fill="F2F2F2"/>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3,266</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 xml:space="preserve">Audit-Related Fees </w:t>
            </w:r>
            <w:r>
              <w:rPr>
                <w:rFonts w:ascii="Arial" w:cs="Arial" w:eastAsia="Arial" w:hAnsi="Arial"/>
                <w:sz w:val="18"/>
                <w:szCs w:val="18"/>
                <w:color w:val="auto"/>
                <w:vertAlign w:val="superscript"/>
              </w:rPr>
              <w:t>(2)</w:t>
            </w: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640" w:type="dxa"/>
            <w:vAlign w:val="bottom"/>
            <w:shd w:val="clear" w:color="auto" w:fill="F2F2F2"/>
          </w:tcPr>
          <w:p>
            <w:pPr>
              <w:ind w:left="100"/>
              <w:spacing w:after="0"/>
              <w:rPr>
                <w:sz w:val="20"/>
                <w:szCs w:val="20"/>
                <w:color w:val="auto"/>
              </w:rPr>
            </w:pPr>
            <w:r>
              <w:rPr>
                <w:rFonts w:ascii="Arial" w:cs="Arial" w:eastAsia="Arial" w:hAnsi="Arial"/>
                <w:sz w:val="14"/>
                <w:szCs w:val="14"/>
                <w:color w:val="auto"/>
              </w:rPr>
              <w:t xml:space="preserve">Tax Fees </w:t>
            </w:r>
            <w:r>
              <w:rPr>
                <w:rFonts w:ascii="Arial" w:cs="Arial" w:eastAsia="Arial" w:hAnsi="Arial"/>
                <w:sz w:val="18"/>
                <w:szCs w:val="18"/>
                <w:color w:val="auto"/>
                <w:vertAlign w:val="superscript"/>
              </w:rPr>
              <w:t>(3)</w:t>
            </w:r>
          </w:p>
        </w:tc>
        <w:tc>
          <w:tcPr>
            <w:tcW w:w="780" w:type="dxa"/>
            <w:vAlign w:val="bottom"/>
            <w:shd w:val="clear" w:color="auto" w:fill="F2F2F2"/>
          </w:tcPr>
          <w:p>
            <w:pPr>
              <w:spacing w:after="0"/>
              <w:rPr>
                <w:sz w:val="19"/>
                <w:szCs w:val="19"/>
                <w:color w:val="auto"/>
              </w:rPr>
            </w:pPr>
          </w:p>
        </w:tc>
        <w:tc>
          <w:tcPr>
            <w:tcW w:w="102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23</w:t>
            </w:r>
          </w:p>
        </w:tc>
        <w:tc>
          <w:tcPr>
            <w:tcW w:w="740" w:type="dxa"/>
            <w:vAlign w:val="bottom"/>
            <w:shd w:val="clear" w:color="auto" w:fill="F2F2F2"/>
          </w:tcPr>
          <w:p>
            <w:pPr>
              <w:spacing w:after="0"/>
              <w:rPr>
                <w:sz w:val="19"/>
                <w:szCs w:val="19"/>
                <w:color w:val="auto"/>
              </w:rPr>
            </w:pPr>
          </w:p>
        </w:tc>
        <w:tc>
          <w:tcPr>
            <w:tcW w:w="1060" w:type="dxa"/>
            <w:vAlign w:val="bottom"/>
            <w:shd w:val="clear" w:color="auto" w:fill="F2F2F2"/>
          </w:tcPr>
          <w:p>
            <w:pPr>
              <w:jc w:val="right"/>
              <w:spacing w:after="0"/>
              <w:rPr>
                <w:sz w:val="20"/>
                <w:szCs w:val="20"/>
                <w:color w:val="auto"/>
              </w:rPr>
            </w:pPr>
            <w:r>
              <w:rPr>
                <w:rFonts w:ascii="Arial" w:cs="Arial" w:eastAsia="Arial" w:hAnsi="Arial"/>
                <w:sz w:val="14"/>
                <w:szCs w:val="14"/>
                <w:color w:val="auto"/>
              </w:rPr>
              <w:t>24</w:t>
            </w:r>
          </w:p>
        </w:tc>
      </w:tr>
      <w:tr>
        <w:trPr>
          <w:trHeight w:val="230"/>
        </w:trPr>
        <w:tc>
          <w:tcPr>
            <w:tcW w:w="7640" w:type="dxa"/>
            <w:vAlign w:val="bottom"/>
            <w:tcBorders>
              <w:bottom w:val="single" w:sz="8" w:color="F3F3F3"/>
            </w:tcBorders>
          </w:tcPr>
          <w:p>
            <w:pPr>
              <w:ind w:left="100"/>
              <w:spacing w:after="0"/>
              <w:rPr>
                <w:sz w:val="20"/>
                <w:szCs w:val="20"/>
                <w:color w:val="auto"/>
              </w:rPr>
            </w:pPr>
            <w:r>
              <w:rPr>
                <w:rFonts w:ascii="Arial" w:cs="Arial" w:eastAsia="Arial" w:hAnsi="Arial"/>
                <w:sz w:val="14"/>
                <w:szCs w:val="14"/>
                <w:color w:val="auto"/>
              </w:rPr>
              <w:t xml:space="preserve">Other Fees </w:t>
            </w:r>
            <w:r>
              <w:rPr>
                <w:rFonts w:ascii="Arial" w:cs="Arial" w:eastAsia="Arial" w:hAnsi="Arial"/>
                <w:sz w:val="18"/>
                <w:szCs w:val="18"/>
                <w:color w:val="auto"/>
                <w:vertAlign w:val="superscript"/>
              </w:rPr>
              <w:t>(4)</w:t>
            </w: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r>
      <w:tr>
        <w:trPr>
          <w:trHeight w:val="248"/>
        </w:trPr>
        <w:tc>
          <w:tcPr>
            <w:tcW w:w="76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F3F3F3"/>
            </w:tcBorders>
            <w:shd w:val="clear" w:color="auto" w:fill="F3F3F3"/>
          </w:tcPr>
          <w:p>
            <w:pPr>
              <w:jc w:val="right"/>
              <w:ind w:right="6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696</w:t>
            </w:r>
          </w:p>
        </w:tc>
        <w:tc>
          <w:tcPr>
            <w:tcW w:w="740" w:type="dxa"/>
            <w:vAlign w:val="bottom"/>
            <w:tcBorders>
              <w:bottom w:val="single" w:sz="8" w:color="F3F3F3"/>
            </w:tcBorders>
            <w:shd w:val="clear" w:color="auto" w:fill="F3F3F3"/>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3,300</w:t>
            </w:r>
          </w:p>
        </w:tc>
      </w:tr>
      <w:tr>
        <w:trPr>
          <w:trHeight w:val="20"/>
        </w:trPr>
        <w:tc>
          <w:tcPr>
            <w:tcW w:w="7640" w:type="dxa"/>
            <w:vAlign w:val="bottom"/>
            <w:tcBorders>
              <w:top w:val="single" w:sz="8" w:color="F3F3F3"/>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640" w:type="dxa"/>
            <w:vAlign w:val="bottom"/>
            <w:tcBorders>
              <w:bottom w:val="single" w:sz="8" w:color="C60C35"/>
            </w:tcBorders>
            <w:shd w:val="clear" w:color="auto" w:fill="C6093B"/>
          </w:tcPr>
          <w:p>
            <w:pPr>
              <w:ind w:left="100"/>
              <w:spacing w:after="0"/>
              <w:rPr>
                <w:sz w:val="20"/>
                <w:szCs w:val="20"/>
                <w:color w:val="auto"/>
              </w:rPr>
            </w:pPr>
            <w:r>
              <w:rPr>
                <w:rFonts w:ascii="Arial" w:cs="Arial" w:eastAsia="Arial" w:hAnsi="Arial"/>
                <w:sz w:val="18"/>
                <w:szCs w:val="18"/>
                <w:b w:val="1"/>
                <w:bCs w:val="1"/>
                <w:color w:val="FFFFFF"/>
              </w:rPr>
              <w:t>EY</w:t>
            </w:r>
          </w:p>
        </w:tc>
        <w:tc>
          <w:tcPr>
            <w:tcW w:w="740" w:type="dxa"/>
            <w:vAlign w:val="bottom"/>
            <w:tcBorders>
              <w:bottom w:val="single" w:sz="8" w:color="C60C35"/>
            </w:tcBorders>
            <w:shd w:val="clear" w:color="auto" w:fill="C6093B"/>
          </w:tcPr>
          <w:p>
            <w:pPr>
              <w:spacing w:after="0"/>
              <w:rPr>
                <w:sz w:val="22"/>
                <w:szCs w:val="22"/>
                <w:color w:val="auto"/>
              </w:rPr>
            </w:pPr>
          </w:p>
        </w:tc>
        <w:tc>
          <w:tcPr>
            <w:tcW w:w="1060" w:type="dxa"/>
            <w:vAlign w:val="bottom"/>
            <w:tcBorders>
              <w:bottom w:val="single" w:sz="8" w:color="C60C35"/>
            </w:tcBorders>
            <w:shd w:val="clear" w:color="auto" w:fill="C6093B"/>
          </w:tcPr>
          <w:p>
            <w:pPr>
              <w:jc w:val="right"/>
              <w:spacing w:after="0"/>
              <w:rPr>
                <w:sz w:val="20"/>
                <w:szCs w:val="20"/>
                <w:color w:val="auto"/>
              </w:rPr>
            </w:pPr>
            <w:r>
              <w:rPr>
                <w:rFonts w:ascii="Arial" w:cs="Arial" w:eastAsia="Arial" w:hAnsi="Arial"/>
                <w:sz w:val="14"/>
                <w:szCs w:val="14"/>
                <w:b w:val="1"/>
                <w:bCs w:val="1"/>
                <w:color w:val="FFFFFF"/>
              </w:rPr>
              <w:t>2025</w:t>
            </w:r>
          </w:p>
        </w:tc>
        <w:tc>
          <w:tcPr>
            <w:tcW w:w="780" w:type="dxa"/>
            <w:vAlign w:val="bottom"/>
            <w:tcBorders>
              <w:bottom w:val="single" w:sz="8" w:color="C60C35"/>
            </w:tcBorders>
            <w:shd w:val="clear" w:color="auto" w:fill="C6093B"/>
          </w:tcPr>
          <w:p>
            <w:pPr>
              <w:spacing w:after="0"/>
              <w:rPr>
                <w:sz w:val="22"/>
                <w:szCs w:val="22"/>
                <w:color w:val="auto"/>
              </w:rPr>
            </w:pPr>
          </w:p>
        </w:tc>
        <w:tc>
          <w:tcPr>
            <w:tcW w:w="1020" w:type="dxa"/>
            <w:vAlign w:val="bottom"/>
            <w:tcBorders>
              <w:bottom w:val="single" w:sz="8" w:color="C60C35"/>
            </w:tcBorders>
            <w:shd w:val="clear" w:color="auto" w:fill="C6093B"/>
          </w:tcPr>
          <w:p>
            <w:pPr>
              <w:jc w:val="right"/>
              <w:spacing w:after="0"/>
              <w:rPr>
                <w:sz w:val="20"/>
                <w:szCs w:val="20"/>
                <w:color w:val="auto"/>
              </w:rPr>
            </w:pPr>
            <w:r>
              <w:rPr>
                <w:rFonts w:ascii="Arial" w:cs="Arial" w:eastAsia="Arial" w:hAnsi="Arial"/>
                <w:sz w:val="14"/>
                <w:szCs w:val="14"/>
                <w:b w:val="1"/>
                <w:bCs w:val="1"/>
                <w:color w:val="FFFFFF"/>
              </w:rPr>
              <w:t>2024</w:t>
            </w:r>
          </w:p>
        </w:tc>
      </w:tr>
      <w:tr>
        <w:trPr>
          <w:trHeight w:val="210"/>
        </w:trPr>
        <w:tc>
          <w:tcPr>
            <w:tcW w:w="76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 xml:space="preserve">Audit Fees </w:t>
            </w:r>
            <w:r>
              <w:rPr>
                <w:rFonts w:ascii="Arial" w:cs="Arial" w:eastAsia="Arial" w:hAnsi="Arial"/>
                <w:sz w:val="9"/>
                <w:szCs w:val="9"/>
                <w:color w:val="auto"/>
              </w:rPr>
              <w:t>(1)</w:t>
            </w:r>
          </w:p>
        </w:tc>
        <w:tc>
          <w:tcPr>
            <w:tcW w:w="740" w:type="dxa"/>
            <w:vAlign w:val="bottom"/>
            <w:tcBorders>
              <w:bottom w:val="single" w:sz="8" w:color="F2F2F2"/>
            </w:tcBorders>
            <w:shd w:val="clear" w:color="auto" w:fill="F2F2F2"/>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3,339</w:t>
            </w:r>
          </w:p>
        </w:tc>
        <w:tc>
          <w:tcPr>
            <w:tcW w:w="780" w:type="dxa"/>
            <w:vAlign w:val="bottom"/>
            <w:tcBorders>
              <w:bottom w:val="single" w:sz="8" w:color="F3F3F3"/>
            </w:tcBorders>
            <w:shd w:val="clear" w:color="auto" w:fill="F3F3F3"/>
          </w:tcPr>
          <w:p>
            <w:pPr>
              <w:spacing w:after="0"/>
              <w:rPr>
                <w:sz w:val="18"/>
                <w:szCs w:val="18"/>
                <w:color w:val="auto"/>
              </w:rPr>
            </w:pP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tcPr>
          <w:p>
            <w:pPr>
              <w:ind w:left="100"/>
              <w:spacing w:after="0"/>
              <w:rPr>
                <w:sz w:val="20"/>
                <w:szCs w:val="20"/>
                <w:color w:val="auto"/>
              </w:rPr>
            </w:pPr>
            <w:r>
              <w:rPr>
                <w:rFonts w:ascii="Arial" w:cs="Arial" w:eastAsia="Arial" w:hAnsi="Arial"/>
                <w:sz w:val="14"/>
                <w:szCs w:val="14"/>
                <w:color w:val="auto"/>
              </w:rPr>
              <w:t xml:space="preserve">Audit-Related Fees </w:t>
            </w:r>
            <w:r>
              <w:rPr>
                <w:rFonts w:ascii="Arial" w:cs="Arial" w:eastAsia="Arial" w:hAnsi="Arial"/>
                <w:sz w:val="9"/>
                <w:szCs w:val="9"/>
                <w:color w:val="auto"/>
              </w:rPr>
              <w:t>(2)</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764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 xml:space="preserve">Tax Fees </w:t>
            </w:r>
            <w:r>
              <w:rPr>
                <w:rFonts w:ascii="Arial" w:cs="Arial" w:eastAsia="Arial" w:hAnsi="Arial"/>
                <w:sz w:val="9"/>
                <w:szCs w:val="9"/>
                <w:color w:val="auto"/>
              </w:rPr>
              <w:t>(3)</w:t>
            </w:r>
          </w:p>
        </w:tc>
        <w:tc>
          <w:tcPr>
            <w:tcW w:w="740" w:type="dxa"/>
            <w:vAlign w:val="bottom"/>
            <w:tcBorders>
              <w:bottom w:val="single" w:sz="8" w:color="F2F2F2"/>
            </w:tcBorders>
            <w:shd w:val="clear" w:color="auto" w:fill="F2F2F2"/>
          </w:tcPr>
          <w:p>
            <w:pPr>
              <w:spacing w:after="0"/>
              <w:rPr>
                <w:sz w:val="18"/>
                <w:szCs w:val="18"/>
                <w:color w:val="auto"/>
              </w:rPr>
            </w:pPr>
          </w:p>
        </w:tc>
        <w:tc>
          <w:tcPr>
            <w:tcW w:w="1060" w:type="dxa"/>
            <w:vAlign w:val="bottom"/>
            <w:tcBorders>
              <w:bottom w:val="single" w:sz="8" w:color="F2F2F2"/>
            </w:tcBorders>
            <w:shd w:val="clear" w:color="auto" w:fill="F2F2F2"/>
          </w:tcPr>
          <w:p>
            <w:pPr>
              <w:jc w:val="right"/>
              <w:spacing w:after="0"/>
              <w:rPr>
                <w:sz w:val="20"/>
                <w:szCs w:val="20"/>
                <w:color w:val="auto"/>
              </w:rPr>
            </w:pPr>
            <w:r>
              <w:rPr>
                <w:rFonts w:ascii="Arial" w:cs="Arial" w:eastAsia="Arial" w:hAnsi="Arial"/>
                <w:sz w:val="14"/>
                <w:szCs w:val="14"/>
                <w:color w:val="auto"/>
              </w:rPr>
              <w:t>37</w:t>
            </w:r>
          </w:p>
        </w:tc>
        <w:tc>
          <w:tcPr>
            <w:tcW w:w="780" w:type="dxa"/>
            <w:vAlign w:val="bottom"/>
            <w:tcBorders>
              <w:bottom w:val="single" w:sz="8" w:color="F3F3F3"/>
            </w:tcBorders>
            <w:shd w:val="clear" w:color="auto" w:fill="F3F3F3"/>
          </w:tcPr>
          <w:p>
            <w:pPr>
              <w:spacing w:after="0"/>
              <w:rPr>
                <w:sz w:val="18"/>
                <w:szCs w:val="18"/>
                <w:color w:val="auto"/>
              </w:rPr>
            </w:pP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640" w:type="dxa"/>
            <w:vAlign w:val="bottom"/>
          </w:tcPr>
          <w:p>
            <w:pPr>
              <w:ind w:left="100"/>
              <w:spacing w:after="0"/>
              <w:rPr>
                <w:sz w:val="20"/>
                <w:szCs w:val="20"/>
                <w:color w:val="auto"/>
              </w:rPr>
            </w:pPr>
            <w:r>
              <w:rPr>
                <w:rFonts w:ascii="Arial" w:cs="Arial" w:eastAsia="Arial" w:hAnsi="Arial"/>
                <w:sz w:val="14"/>
                <w:szCs w:val="14"/>
                <w:color w:val="auto"/>
              </w:rPr>
              <w:t xml:space="preserve">Other Fees </w:t>
            </w:r>
            <w:r>
              <w:rPr>
                <w:rFonts w:ascii="Arial" w:cs="Arial" w:eastAsia="Arial" w:hAnsi="Arial"/>
                <w:sz w:val="9"/>
                <w:szCs w:val="9"/>
                <w:color w:val="auto"/>
              </w:rPr>
              <w:t>(4)</w:t>
            </w:r>
          </w:p>
        </w:tc>
        <w:tc>
          <w:tcPr>
            <w:tcW w:w="7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640" w:type="dxa"/>
            <w:vAlign w:val="bottom"/>
            <w:tcBorders>
              <w:bottom w:val="single" w:sz="8" w:color="F3F3F3"/>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76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F3F3F3"/>
            </w:tcBorders>
            <w:shd w:val="clear" w:color="auto" w:fill="F3F3F3"/>
          </w:tcPr>
          <w:p>
            <w:pPr>
              <w:jc w:val="right"/>
              <w:ind w:right="5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3,388</w:t>
            </w:r>
          </w:p>
        </w:tc>
        <w:tc>
          <w:tcPr>
            <w:tcW w:w="780" w:type="dxa"/>
            <w:vAlign w:val="bottom"/>
            <w:tcBorders>
              <w:bottom w:val="single" w:sz="8" w:color="F3F3F3"/>
            </w:tcBorders>
            <w:shd w:val="clear" w:color="auto" w:fill="F3F3F3"/>
          </w:tcPr>
          <w:p>
            <w:pPr>
              <w:jc w:val="right"/>
              <w:ind w:right="6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40" w:type="dxa"/>
            <w:vAlign w:val="bottom"/>
            <w:tcBorders>
              <w:top w:val="single" w:sz="8" w:color="F3F3F3"/>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340" w:right="100" w:hanging="332"/>
        <w:spacing w:after="0" w:line="263"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fees billed for the audit of our financial statements included in the Form 10-K and review of financial statements included in our Quarterly Reports on Form 10-Q, the audit of our internal control over financial reporting, and for services that are provided in connection with statutory regulatory filings or engagements. KPMG fees for 2025 were related to audit transition services related to the 2024 fiscal year.</w:t>
      </w:r>
    </w:p>
    <w:p>
      <w:pPr>
        <w:spacing w:after="0" w:line="78"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fees billed for assurance and consultative related services.</w:t>
      </w:r>
    </w:p>
    <w:p>
      <w:pPr>
        <w:spacing w:after="0" w:line="109"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fees billed for tax compliance, including review of tax returns, tax advice, and tax planning.</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fees billed for translation services for subsidiary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Audit Committee Approval of Audit and Non-Audit Services</w:t>
      </w:r>
    </w:p>
    <w:p>
      <w:pPr>
        <w:spacing w:after="0" w:line="108" w:lineRule="exact"/>
        <w:rPr>
          <w:sz w:val="20"/>
          <w:szCs w:val="20"/>
          <w:color w:val="auto"/>
        </w:rPr>
      </w:pPr>
    </w:p>
    <w:p>
      <w:pPr>
        <w:ind w:right="80" w:firstLine="324"/>
        <w:spacing w:after="0" w:line="263" w:lineRule="auto"/>
        <w:rPr>
          <w:sz w:val="20"/>
          <w:szCs w:val="20"/>
          <w:color w:val="auto"/>
        </w:rPr>
      </w:pPr>
      <w:r>
        <w:rPr>
          <w:rFonts w:ascii="Arial" w:cs="Arial" w:eastAsia="Arial" w:hAnsi="Arial"/>
          <w:sz w:val="17"/>
          <w:szCs w:val="17"/>
          <w:color w:val="auto"/>
        </w:rPr>
        <w:t>The Audit Committee is responsible for pre-approving all audit services provided by our independent registered public accountants. In addition, all non-audit services provided by our independent registered public accountants are pre-approved in accordance with our policy that prohibits our independent registered public accountants from providing services specifically prohibited by the SEC. For permissible non-audit services, the Audit Committee has delegated pre-approval authority to the Audit Committee Chair. In addition, the Audit Committee has approved annual maximum amounts for tax advisory and tax return services. No engagements are commenced until the Audit Committee Chair’s approval has been received. All approved services are reported to the full Audit Committee at each quarterly meeting. In accordance with the foregoing, all services provided by KPMG in 2024 and 2025 and by EY in 2025 were pre-approved by the Audit Committee.</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28"/>
          <w:szCs w:val="28"/>
          <w:b w:val="1"/>
          <w:bCs w:val="1"/>
          <w:color w:val="C6093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7" w:right="379" w:bottom="1440" w:gutter="0" w:footer="0" w:header="0"/>
        </w:sectPr>
      </w:pPr>
    </w:p>
    <w:p>
      <w:pPr>
        <w:spacing w:after="0" w:line="274"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Audit Committee maintains effective working relationships with the Board, management, the Company’s internal auditors, and the Company’s independent registered public accounting firms (the “Independent Accountants”). As set forth in the Audit Committee Charter, it is not the duty of the Audit Committee to plan or conduct audits or to determine that our Company’s consolidated financial statements and disclosures are complete and accurate and in accordance with U.S. generally accepted accounting principles and applicable rules and regulations. The Independent Accountants are responsible for auditing the Company’s consolidated financial statements and expressing an opinion as to the conformity of these financial statements with U.S. generally accepted accounting principles and on the Company’s internal control over financial reporting.</w:t>
      </w:r>
    </w:p>
    <w:p>
      <w:pPr>
        <w:spacing w:after="0" w:line="108" w:lineRule="exact"/>
        <w:rPr>
          <w:sz w:val="20"/>
          <w:szCs w:val="20"/>
          <w:color w:val="auto"/>
        </w:rPr>
      </w:pPr>
    </w:p>
    <w:p>
      <w:pPr>
        <w:jc w:val="center"/>
        <w:ind w:right="160"/>
        <w:spacing w:after="0" w:line="241" w:lineRule="auto"/>
        <w:rPr>
          <w:sz w:val="20"/>
          <w:szCs w:val="20"/>
          <w:color w:val="auto"/>
        </w:rPr>
      </w:pPr>
      <w:r>
        <w:rPr>
          <w:rFonts w:ascii="Arial" w:cs="Arial" w:eastAsia="Arial" w:hAnsi="Arial"/>
          <w:sz w:val="18"/>
          <w:szCs w:val="18"/>
          <w:color w:val="auto"/>
        </w:rPr>
        <w:t>The Audit Committee has (1) reviewed and discussed the Company’s audited consolidated financial statements for the year ended December 31, 2025, with the Company’s management and the Independent Accountants; (2) discussed with the Independent Accountants the matters required to be discussed by the applicable requirements of the Public Company Accounting Oversight Board and the SEC; and</w:t>
      </w:r>
    </w:p>
    <w:p>
      <w:pPr>
        <w:spacing w:after="0" w:line="2" w:lineRule="exact"/>
        <w:rPr>
          <w:sz w:val="20"/>
          <w:szCs w:val="20"/>
          <w:color w:val="auto"/>
        </w:rPr>
      </w:pPr>
    </w:p>
    <w:p>
      <w:pPr>
        <w:ind w:right="500" w:firstLine="8"/>
        <w:spacing w:after="0" w:line="236"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Independent Accountants required by applicable requirements of the Public Company Accounting Oversight Board regarding the Independent Accountants’ communications with the Audit Committee concerning independence, and the Audit Committee has discussed with the Independent Accountants their independence and considered the compatibility of non-audit services by the Independent Accountants to the Company with the Independent Accountants’ independence.</w:t>
      </w:r>
    </w:p>
    <w:p>
      <w:pPr>
        <w:spacing w:after="0" w:line="140" w:lineRule="exact"/>
        <w:rPr>
          <w:sz w:val="20"/>
          <w:szCs w:val="20"/>
          <w:color w:val="auto"/>
        </w:rPr>
      </w:pPr>
    </w:p>
    <w:p>
      <w:pPr>
        <w:ind w:right="80" w:firstLine="324"/>
        <w:spacing w:after="0" w:line="246" w:lineRule="auto"/>
        <w:rPr>
          <w:sz w:val="20"/>
          <w:szCs w:val="20"/>
          <w:color w:val="auto"/>
        </w:rPr>
      </w:pPr>
      <w:r>
        <w:rPr>
          <w:rFonts w:ascii="Arial" w:cs="Arial" w:eastAsia="Arial" w:hAnsi="Arial"/>
          <w:sz w:val="18"/>
          <w:szCs w:val="18"/>
          <w:color w:val="auto"/>
        </w:rPr>
        <w:t>Members of the Audit Committee rely, without independent verification, on the information provided and on the representations made by management and the Independent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audits of the Company’s consolidated financial statements have been carried out in accordance with generally accepted auditing standards, that the consolidated financial statements are presented in accordance with U.S. generally accepted accounting principles or that the Company’s Independent Accountants are in fact “independent.”</w:t>
      </w:r>
    </w:p>
    <w:p>
      <w:pPr>
        <w:spacing w:after="0" w:line="125" w:lineRule="exact"/>
        <w:rPr>
          <w:sz w:val="20"/>
          <w:szCs w:val="20"/>
          <w:color w:val="auto"/>
        </w:rPr>
      </w:pPr>
    </w:p>
    <w:p>
      <w:pPr>
        <w:ind w:right="140" w:firstLine="324"/>
        <w:spacing w:after="0" w:line="283" w:lineRule="auto"/>
        <w:rPr>
          <w:sz w:val="20"/>
          <w:szCs w:val="20"/>
          <w:color w:val="auto"/>
        </w:rPr>
      </w:pPr>
      <w:r>
        <w:rPr>
          <w:rFonts w:ascii="Arial" w:cs="Arial" w:eastAsia="Arial" w:hAnsi="Arial"/>
          <w:sz w:val="17"/>
          <w:szCs w:val="17"/>
          <w:color w:val="auto"/>
        </w:rPr>
        <w:t>Based upon the reviews and discussions described above, and subject to the limitations on the role and responsibilities of the Audit Committee referred to in this report and in the Audit Committee Charter, the Audit Committee recommended to the Board that the audited consolidated financial statements be included in the Company’s Annual Report on Form 10-K for the fiscal year ended December 31, 2025.</w:t>
      </w:r>
    </w:p>
    <w:p>
      <w:pPr>
        <w:spacing w:after="0" w:line="9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Submitted by the Audit Committee of the Board:</w:t>
      </w:r>
    </w:p>
    <w:p>
      <w:pPr>
        <w:spacing w:after="0" w:line="320"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Sherry L. Buck (Chair)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Sivasankaran Somasundaram</w:t>
      </w:r>
    </w:p>
    <w:p>
      <w:pPr>
        <w:ind w:left="6100"/>
        <w:spacing w:after="0" w:line="234" w:lineRule="auto"/>
        <w:rPr>
          <w:sz w:val="20"/>
          <w:szCs w:val="20"/>
          <w:color w:val="auto"/>
        </w:rPr>
      </w:pPr>
      <w:r>
        <w:rPr>
          <w:rFonts w:ascii="Arial" w:cs="Arial" w:eastAsia="Arial" w:hAnsi="Arial"/>
          <w:sz w:val="18"/>
          <w:szCs w:val="18"/>
          <w:b w:val="1"/>
          <w:bCs w:val="1"/>
          <w:color w:val="C60C35"/>
        </w:rPr>
        <w:t>Todd J. Teske</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Jon Vander Ark</w:t>
      </w:r>
    </w:p>
    <w:p>
      <w:pPr>
        <w:spacing w:after="0" w:line="288"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March 19, 2026</w:t>
      </w:r>
    </w:p>
    <w:p>
      <w:pPr>
        <w:spacing w:after="0" w:line="200" w:lineRule="exact"/>
        <w:rPr>
          <w:sz w:val="20"/>
          <w:szCs w:val="20"/>
          <w:color w:val="auto"/>
        </w:rPr>
      </w:pPr>
    </w:p>
    <w:p>
      <w:pPr>
        <w:spacing w:after="0" w:line="36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7" w:right="37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28"/>
          <w:szCs w:val="28"/>
          <w:b w:val="1"/>
          <w:bCs w:val="1"/>
          <w:color w:val="C6093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Director Independence</w:t>
      </w:r>
    </w:p>
    <w:p>
      <w:pPr>
        <w:spacing w:after="0" w:line="108"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Corporate Governance Guidelines require that a majority of our directors be “independent,” and that the Compensation and Human Resources, Board Governance, and Audit Committees consist exclusively of independent directors as defined under the New York Stock Exchange ("NYSE") listing standards, the Exchange Act, and any other applicable laws or regulations regarding independence. No director qualifies as “independent” unless the Board affirmatively determines that the director has no material relationship with the Company.</w:t>
      </w:r>
    </w:p>
    <w:p>
      <w:pPr>
        <w:spacing w:after="0" w:line="116" w:lineRule="exact"/>
        <w:rPr>
          <w:sz w:val="20"/>
          <w:szCs w:val="20"/>
          <w:color w:val="auto"/>
        </w:rPr>
      </w:pPr>
    </w:p>
    <w:p>
      <w:pPr>
        <w:jc w:val="both"/>
        <w:ind w:right="80" w:firstLine="324"/>
        <w:spacing w:after="0" w:line="271" w:lineRule="auto"/>
        <w:rPr>
          <w:sz w:val="20"/>
          <w:szCs w:val="20"/>
          <w:color w:val="auto"/>
        </w:rPr>
      </w:pPr>
      <w:r>
        <w:rPr>
          <w:rFonts w:ascii="Arial" w:cs="Arial" w:eastAsia="Arial" w:hAnsi="Arial"/>
          <w:sz w:val="18"/>
          <w:szCs w:val="18"/>
          <w:color w:val="auto"/>
        </w:rPr>
        <w:t>Applying these standards, the Board has determined that all of our Board members are independent, except Alok Maskara, our CEO. All of the members of the Board’s Compensation and Human Resources, Board Governance, and Audit Committees are independent directors.</w:t>
      </w:r>
    </w:p>
    <w:p>
      <w:pPr>
        <w:spacing w:after="0" w:line="11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In making its determination as to the independence of our directors, the Board Governance Committee and the Board considered that Mr. Vander Ark serves as the CEO of Republic Services, Inc., which provides waste management services to the Company in the ordinary course of business. The Board affirmatively determined that Mr. Vander Ark does not have a material relationship with the Company despite these facts.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Leadership Structure</w:t>
      </w:r>
    </w:p>
    <w:p>
      <w:pPr>
        <w:spacing w:after="0" w:line="108"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Mr. Teske serves as independent Chair of the Board. As independent Chair, Mr. Teske, among other things, presided at all meetings of the Board, including executive sessions of the independent directors, served as liaison between the CEO and the independent directors, assisted in planning agendas for Board meetings, and advised on the presentation of information provided to the Board.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Board Refreshment and Nomination Process</w:t>
      </w:r>
    </w:p>
    <w:p>
      <w:pPr>
        <w:spacing w:after="0" w:line="108" w:lineRule="exact"/>
        <w:rPr>
          <w:sz w:val="20"/>
          <w:szCs w:val="20"/>
          <w:color w:val="auto"/>
        </w:rPr>
      </w:pPr>
    </w:p>
    <w:p>
      <w:pPr>
        <w:ind w:right="40" w:firstLine="324"/>
        <w:spacing w:after="0" w:line="246" w:lineRule="auto"/>
        <w:rPr>
          <w:sz w:val="20"/>
          <w:szCs w:val="20"/>
          <w:color w:val="auto"/>
        </w:rPr>
      </w:pPr>
      <w:r>
        <w:rPr>
          <w:rFonts w:ascii="Arial" w:cs="Arial" w:eastAsia="Arial" w:hAnsi="Arial"/>
          <w:sz w:val="18"/>
          <w:szCs w:val="18"/>
          <w:color w:val="auto"/>
        </w:rPr>
        <w:t>The Board is responsible for nominating candidates for Board membership. The Board has delegated the director screening and recruitment process to the Board Governance Committee. In this capacity, the Board Governance Committee develops and periodically reviews the qualification criteria for Board membership, identifies new director candidates, and makes recommendations to the Board regarding the appropriate size of the Board and appointment of members to the Board’s committees. The Board Governance Committee typically retains a third-party search firm to assist in identifying and evaluating potential new director candidates. We strive to maintain a well-rounded Board with a diversity of experience, functional expertise, and industry knowledge. Required qualifications for Board membership vary according to the particular areas of expertise, experience, and skills being sought to complement the existing Board composition at the time of any vacancy.</w:t>
      </w:r>
    </w:p>
    <w:p>
      <w:pPr>
        <w:spacing w:after="0" w:line="125"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As part of our robust Board refreshment and succession planning process, we welcomed a new director with impressive leadership experience in 2025: Tracy A. Embree, former President of Otis Americas, who brings extensive experience in industrial strategy, emerging technologies, and sustainable solutions, combined with her operational expertise. The identification and evaluation process described above was followed with respect to Ms. Embree. We have already seen Ms. Embree add value in the boardroom and look forward to benefiting from her contributions going forward.</w:t>
      </w:r>
    </w:p>
    <w:p>
      <w:pPr>
        <w:spacing w:after="0" w:line="136"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2025, we also realigned committee assignments and elected new Chairs to our Audit and Board Governance Committees, additions that we believe add new insights and perspective to our committees. In each instance, the new committee Chair spent time serving as a committee member to ensure a smooth transition.</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C60C35"/>
        </w:rPr>
        <w:t>Key Attributes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Governance Committee considers the following factors in evaluating candidates, in addition to other factors it deems relevant: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380" w:type="dxa"/>
            <w:vAlign w:val="bottom"/>
            <w:tcBorders>
              <w:top w:val="single" w:sz="8" w:color="auto"/>
            </w:tcBorders>
          </w:tcPr>
          <w:p>
            <w:pPr>
              <w:ind w:left="140"/>
              <w:spacing w:after="0" w:line="189" w:lineRule="exact"/>
              <w:rPr>
                <w:sz w:val="20"/>
                <w:szCs w:val="20"/>
                <w:color w:val="auto"/>
              </w:rPr>
            </w:pPr>
            <w:r>
              <w:rPr>
                <w:rFonts w:ascii="Arial" w:cs="Arial" w:eastAsia="Arial" w:hAnsi="Arial"/>
                <w:sz w:val="18"/>
                <w:szCs w:val="18"/>
                <w:color w:val="auto"/>
              </w:rPr>
              <w:t>leadership</w:t>
            </w:r>
          </w:p>
        </w:tc>
        <w:tc>
          <w:tcPr>
            <w:tcW w:w="0" w:type="dxa"/>
            <w:vAlign w:val="bottom"/>
          </w:tcPr>
          <w:p>
            <w:pPr>
              <w:spacing w:after="0"/>
              <w:rPr>
                <w:sz w:val="1"/>
                <w:szCs w:val="1"/>
                <w:color w:val="auto"/>
              </w:rPr>
            </w:pPr>
          </w:p>
        </w:tc>
      </w:tr>
      <w:tr>
        <w:trPr>
          <w:trHeight w:val="175"/>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Personal Characteristics</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integrity</w:t>
            </w:r>
          </w:p>
        </w:tc>
        <w:tc>
          <w:tcPr>
            <w:tcW w:w="0" w:type="dxa"/>
            <w:vAlign w:val="bottom"/>
          </w:tcPr>
          <w:p>
            <w:pPr>
              <w:spacing w:after="0"/>
              <w:rPr>
                <w:sz w:val="1"/>
                <w:szCs w:val="1"/>
                <w:color w:val="auto"/>
              </w:rPr>
            </w:pPr>
          </w:p>
        </w:tc>
      </w:tr>
      <w:tr>
        <w:trPr>
          <w:trHeight w:val="184"/>
        </w:trPr>
        <w:tc>
          <w:tcPr>
            <w:tcW w:w="3600" w:type="dxa"/>
            <w:vAlign w:val="bottom"/>
            <w:vMerge w:val="continue"/>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83" w:lineRule="exact"/>
              <w:rPr>
                <w:sz w:val="20"/>
                <w:szCs w:val="20"/>
                <w:color w:val="auto"/>
              </w:rPr>
            </w:pPr>
            <w:r>
              <w:rPr>
                <w:rFonts w:ascii="Arial" w:cs="Arial" w:eastAsia="Arial" w:hAnsi="Arial"/>
                <w:sz w:val="18"/>
                <w:szCs w:val="18"/>
                <w:color w:val="auto"/>
              </w:rPr>
              <w:t>interpersonal skills and effectiveness</w:t>
            </w:r>
          </w:p>
        </w:tc>
        <w:tc>
          <w:tcPr>
            <w:tcW w:w="0" w:type="dxa"/>
            <w:vAlign w:val="bottom"/>
          </w:tcPr>
          <w:p>
            <w:pPr>
              <w:spacing w:after="0"/>
              <w:rPr>
                <w:sz w:val="1"/>
                <w:szCs w:val="1"/>
                <w:color w:val="auto"/>
              </w:rPr>
            </w:pPr>
          </w:p>
        </w:tc>
      </w:tr>
      <w:tr>
        <w:trPr>
          <w:trHeight w:val="181"/>
        </w:trPr>
        <w:tc>
          <w:tcPr>
            <w:tcW w:w="36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accountability</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7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high performance standards</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7640" w:type="dxa"/>
            <w:vAlign w:val="bottom"/>
            <w:gridSpan w:val="2"/>
          </w:tcPr>
          <w:p>
            <w:pPr>
              <w:ind w:left="80"/>
              <w:spacing w:after="0" w:line="171"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high levels of leadership experience in business</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7640" w:type="dxa"/>
            <w:vAlign w:val="bottom"/>
            <w:gridSpan w:val="2"/>
          </w:tcPr>
          <w:p>
            <w:pPr>
              <w:ind w:left="80"/>
              <w:spacing w:after="0" w:line="176"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substantial knowledge of issues faced by publicly traded companies</w:t>
            </w:r>
          </w:p>
        </w:tc>
        <w:tc>
          <w:tcPr>
            <w:tcW w:w="0" w:type="dxa"/>
            <w:vAlign w:val="bottom"/>
          </w:tcPr>
          <w:p>
            <w:pPr>
              <w:spacing w:after="0"/>
              <w:rPr>
                <w:sz w:val="1"/>
                <w:szCs w:val="1"/>
                <w:color w:val="auto"/>
              </w:rPr>
            </w:pPr>
          </w:p>
        </w:tc>
      </w:tr>
      <w:tr>
        <w:trPr>
          <w:trHeight w:val="184"/>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Business Attributes</w:t>
            </w:r>
          </w:p>
        </w:tc>
        <w:tc>
          <w:tcPr>
            <w:tcW w:w="7640" w:type="dxa"/>
            <w:vAlign w:val="bottom"/>
            <w:gridSpan w:val="2"/>
          </w:tcPr>
          <w:p>
            <w:pPr>
              <w:ind w:left="80"/>
              <w:spacing w:after="0" w:line="183"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experience in positions demonstrating expertise, including on other boards of directors</w:t>
            </w: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financial acumen</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7640" w:type="dxa"/>
            <w:vAlign w:val="bottom"/>
            <w:gridSpan w:val="2"/>
          </w:tcPr>
          <w:p>
            <w:pPr>
              <w:ind w:left="80"/>
              <w:spacing w:after="0" w:line="176"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industry and Company knowledge</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83" w:lineRule="exact"/>
              <w:rPr>
                <w:sz w:val="20"/>
                <w:szCs w:val="20"/>
                <w:color w:val="auto"/>
              </w:rPr>
            </w:pPr>
            <w:r>
              <w:rPr>
                <w:rFonts w:ascii="Arial" w:cs="Arial" w:eastAsia="Arial" w:hAnsi="Arial"/>
                <w:sz w:val="18"/>
                <w:szCs w:val="18"/>
                <w:color w:val="auto"/>
              </w:rPr>
              <w:t>diversity of viewpoints</w:t>
            </w:r>
          </w:p>
        </w:tc>
        <w:tc>
          <w:tcPr>
            <w:tcW w:w="0" w:type="dxa"/>
            <w:vAlign w:val="bottom"/>
          </w:tcPr>
          <w:p>
            <w:pPr>
              <w:spacing w:after="0"/>
              <w:rPr>
                <w:sz w:val="1"/>
                <w:szCs w:val="1"/>
                <w:color w:val="auto"/>
              </w:rPr>
            </w:pPr>
          </w:p>
        </w:tc>
      </w:tr>
      <w:tr>
        <w:trPr>
          <w:trHeight w:val="235"/>
        </w:trPr>
        <w:tc>
          <w:tcPr>
            <w:tcW w:w="360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experience in international markets and strategic planning</w:t>
            </w:r>
          </w:p>
        </w:tc>
        <w:tc>
          <w:tcPr>
            <w:tcW w:w="0" w:type="dxa"/>
            <w:vAlign w:val="bottom"/>
          </w:tcPr>
          <w:p>
            <w:pPr>
              <w:spacing w:after="0"/>
              <w:rPr>
                <w:sz w:val="1"/>
                <w:szCs w:val="1"/>
                <w:color w:val="auto"/>
              </w:rPr>
            </w:pPr>
          </w:p>
        </w:tc>
      </w:tr>
      <w:tr>
        <w:trPr>
          <w:trHeight w:val="290"/>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Independence</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rPr>
                <w:sz w:val="20"/>
                <w:szCs w:val="20"/>
                <w:color w:val="auto"/>
              </w:rPr>
            </w:pPr>
            <w:r>
              <w:rPr>
                <w:rFonts w:ascii="Arial" w:cs="Arial" w:eastAsia="Arial" w:hAnsi="Arial"/>
                <w:sz w:val="18"/>
                <w:szCs w:val="18"/>
                <w:color w:val="auto"/>
              </w:rPr>
              <w:t>compliance with the standards contained in the NYSE listing standards, the Exchange Act,</w:t>
            </w: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and any other applicable laws or regulations regarding independence</w:t>
            </w:r>
          </w:p>
        </w:tc>
        <w:tc>
          <w:tcPr>
            <w:tcW w:w="0" w:type="dxa"/>
            <w:vAlign w:val="bottom"/>
          </w:tcPr>
          <w:p>
            <w:pPr>
              <w:spacing w:after="0"/>
              <w:rPr>
                <w:sz w:val="1"/>
                <w:szCs w:val="1"/>
                <w:color w:val="auto"/>
              </w:rPr>
            </w:pPr>
          </w:p>
        </w:tc>
      </w:tr>
      <w:tr>
        <w:trPr>
          <w:trHeight w:val="112"/>
        </w:trPr>
        <w:tc>
          <w:tcPr>
            <w:tcW w:w="3600" w:type="dxa"/>
            <w:vAlign w:val="bottom"/>
            <w:tcBorders>
              <w:bottom w:val="single" w:sz="8" w:color="auto"/>
            </w:tcBorders>
          </w:tcPr>
          <w:p>
            <w:pPr>
              <w:spacing w:after="0"/>
              <w:rPr>
                <w:sz w:val="9"/>
                <w:szCs w:val="9"/>
                <w:color w:val="auto"/>
              </w:rPr>
            </w:pPr>
          </w:p>
        </w:tc>
        <w:tc>
          <w:tcPr>
            <w:tcW w:w="764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7640" w:type="dxa"/>
            <w:vAlign w:val="bottom"/>
            <w:gridSpan w:val="2"/>
          </w:tcPr>
          <w:p>
            <w:pPr>
              <w:ind w:left="80"/>
              <w:spacing w:after="0" w:line="169"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willingness to commit the time required to fully discharge his or her responsibilities</w:t>
            </w:r>
          </w:p>
        </w:tc>
        <w:tc>
          <w:tcPr>
            <w:tcW w:w="0" w:type="dxa"/>
            <w:vAlign w:val="bottom"/>
          </w:tcPr>
          <w:p>
            <w:pPr>
              <w:spacing w:after="0"/>
              <w:rPr>
                <w:sz w:val="1"/>
                <w:szCs w:val="1"/>
                <w:color w:val="auto"/>
              </w:rPr>
            </w:pPr>
          </w:p>
        </w:tc>
      </w:tr>
      <w:tr>
        <w:trPr>
          <w:trHeight w:val="176"/>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Professional</w:t>
            </w:r>
          </w:p>
        </w:tc>
        <w:tc>
          <w:tcPr>
            <w:tcW w:w="7640" w:type="dxa"/>
            <w:vAlign w:val="bottom"/>
            <w:gridSpan w:val="2"/>
          </w:tcPr>
          <w:p>
            <w:pPr>
              <w:ind w:left="80"/>
              <w:spacing w:after="0" w:line="176" w:lineRule="exact"/>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commitment to attend meetings</w:t>
            </w:r>
          </w:p>
        </w:tc>
        <w:tc>
          <w:tcPr>
            <w:tcW w:w="0" w:type="dxa"/>
            <w:vAlign w:val="bottom"/>
          </w:tcPr>
          <w:p>
            <w:pPr>
              <w:spacing w:after="0"/>
              <w:rPr>
                <w:sz w:val="1"/>
                <w:szCs w:val="1"/>
                <w:color w:val="auto"/>
              </w:rPr>
            </w:pPr>
          </w:p>
        </w:tc>
      </w:tr>
      <w:tr>
        <w:trPr>
          <w:trHeight w:val="103"/>
        </w:trPr>
        <w:tc>
          <w:tcPr>
            <w:tcW w:w="3600" w:type="dxa"/>
            <w:vAlign w:val="bottom"/>
            <w:vMerge w:val="continue"/>
          </w:tcPr>
          <w:p>
            <w:pPr>
              <w:spacing w:after="0"/>
              <w:rPr>
                <w:sz w:val="8"/>
                <w:szCs w:val="8"/>
                <w:color w:val="auto"/>
              </w:rPr>
            </w:pPr>
          </w:p>
        </w:tc>
        <w:tc>
          <w:tcPr>
            <w:tcW w:w="2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7380" w:type="dxa"/>
            <w:vAlign w:val="bottom"/>
            <w:vMerge w:val="restart"/>
          </w:tcPr>
          <w:p>
            <w:pPr>
              <w:ind w:left="140"/>
              <w:spacing w:after="0" w:line="183" w:lineRule="exact"/>
              <w:rPr>
                <w:sz w:val="20"/>
                <w:szCs w:val="20"/>
                <w:color w:val="auto"/>
              </w:rPr>
            </w:pPr>
            <w:r>
              <w:rPr>
                <w:rFonts w:ascii="Arial" w:cs="Arial" w:eastAsia="Arial" w:hAnsi="Arial"/>
                <w:sz w:val="18"/>
                <w:szCs w:val="18"/>
                <w:color w:val="auto"/>
              </w:rPr>
              <w:t>ability and willingness to represent the stockholders’ long- and short-term interests</w:t>
            </w:r>
          </w:p>
        </w:tc>
        <w:tc>
          <w:tcPr>
            <w:tcW w:w="0" w:type="dxa"/>
            <w:vAlign w:val="bottom"/>
          </w:tcPr>
          <w:p>
            <w:pPr>
              <w:spacing w:after="0"/>
              <w:rPr>
                <w:sz w:val="1"/>
                <w:szCs w:val="1"/>
                <w:color w:val="auto"/>
              </w:rPr>
            </w:pPr>
          </w:p>
        </w:tc>
      </w:tr>
      <w:tr>
        <w:trPr>
          <w:trHeight w:val="81"/>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Responsibilities</w:t>
            </w:r>
          </w:p>
        </w:tc>
        <w:tc>
          <w:tcPr>
            <w:tcW w:w="260" w:type="dxa"/>
            <w:vAlign w:val="bottom"/>
            <w:vMerge w:val="continue"/>
          </w:tcPr>
          <w:p>
            <w:pPr>
              <w:spacing w:after="0"/>
              <w:rPr>
                <w:sz w:val="7"/>
                <w:szCs w:val="7"/>
                <w:color w:val="auto"/>
              </w:rPr>
            </w:pPr>
          </w:p>
        </w:tc>
        <w:tc>
          <w:tcPr>
            <w:tcW w:w="7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600" w:type="dxa"/>
            <w:vAlign w:val="bottom"/>
            <w:vMerge w:val="continue"/>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tcPr>
          <w:p>
            <w:pPr>
              <w:ind w:left="140"/>
              <w:spacing w:after="0" w:line="181" w:lineRule="exact"/>
              <w:rPr>
                <w:sz w:val="20"/>
                <w:szCs w:val="20"/>
                <w:color w:val="auto"/>
              </w:rPr>
            </w:pPr>
            <w:r>
              <w:rPr>
                <w:rFonts w:ascii="Arial" w:cs="Arial" w:eastAsia="Arial" w:hAnsi="Arial"/>
                <w:sz w:val="18"/>
                <w:szCs w:val="18"/>
                <w:color w:val="auto"/>
              </w:rPr>
              <w:t>awareness of our responsibilities to our customers, employees, suppliers, regulatory</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bodies, and the communities in which we operate</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w w:val="99"/>
              </w:rPr>
              <w:t>•</w:t>
            </w:r>
            <w:r>
              <w:rPr>
                <w:rFonts w:ascii="Arial" w:cs="Arial" w:eastAsia="Arial" w:hAnsi="Arial"/>
                <w:sz w:val="18"/>
                <w:szCs w:val="18"/>
                <w:color w:val="auto"/>
                <w:w w:val="99"/>
              </w:rPr>
              <w:t>willingness to advance his or her opinions</w:t>
            </w:r>
          </w:p>
        </w:tc>
        <w:tc>
          <w:tcPr>
            <w:tcW w:w="0" w:type="dxa"/>
            <w:vAlign w:val="bottom"/>
          </w:tcPr>
          <w:p>
            <w:pPr>
              <w:spacing w:after="0"/>
              <w:rPr>
                <w:sz w:val="1"/>
                <w:szCs w:val="1"/>
                <w:color w:val="auto"/>
              </w:rPr>
            </w:pPr>
          </w:p>
        </w:tc>
      </w:tr>
      <w:tr>
        <w:trPr>
          <w:trHeight w:val="220"/>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Governance</w:t>
            </w:r>
          </w:p>
        </w:tc>
        <w:tc>
          <w:tcPr>
            <w:tcW w:w="260" w:type="dxa"/>
            <w:vAlign w:val="bottom"/>
          </w:tcPr>
          <w:p>
            <w:pPr>
              <w:spacing w:after="0"/>
              <w:rPr>
                <w:sz w:val="19"/>
                <w:szCs w:val="19"/>
                <w:color w:val="auto"/>
              </w:rPr>
            </w:pPr>
          </w:p>
        </w:tc>
        <w:tc>
          <w:tcPr>
            <w:tcW w:w="7380" w:type="dxa"/>
            <w:vAlign w:val="bottom"/>
            <w:vMerge w:val="restart"/>
          </w:tcPr>
          <w:p>
            <w:pPr>
              <w:ind w:left="140"/>
              <w:spacing w:after="0"/>
              <w:rPr>
                <w:sz w:val="20"/>
                <w:szCs w:val="20"/>
                <w:color w:val="auto"/>
              </w:rPr>
            </w:pPr>
            <w:r>
              <w:rPr>
                <w:rFonts w:ascii="Arial" w:cs="Arial" w:eastAsia="Arial" w:hAnsi="Arial"/>
                <w:sz w:val="18"/>
                <w:szCs w:val="18"/>
                <w:color w:val="auto"/>
              </w:rPr>
              <w:t>ability to understand, and distinguish between, the roles of governance and management</w:t>
            </w:r>
          </w:p>
        </w:tc>
        <w:tc>
          <w:tcPr>
            <w:tcW w:w="0" w:type="dxa"/>
            <w:vAlign w:val="bottom"/>
          </w:tcPr>
          <w:p>
            <w:pPr>
              <w:spacing w:after="0"/>
              <w:rPr>
                <w:sz w:val="1"/>
                <w:szCs w:val="1"/>
                <w:color w:val="auto"/>
              </w:rPr>
            </w:pPr>
          </w:p>
        </w:tc>
      </w:tr>
      <w:tr>
        <w:trPr>
          <w:trHeight w:val="247"/>
        </w:trPr>
        <w:tc>
          <w:tcPr>
            <w:tcW w:w="3600" w:type="dxa"/>
            <w:vAlign w:val="bottom"/>
          </w:tcPr>
          <w:p>
            <w:pPr>
              <w:ind w:left="1420"/>
              <w:spacing w:after="0"/>
              <w:rPr>
                <w:sz w:val="20"/>
                <w:szCs w:val="20"/>
                <w:color w:val="auto"/>
              </w:rPr>
            </w:pPr>
            <w:r>
              <w:rPr>
                <w:rFonts w:ascii="Arial" w:cs="Arial" w:eastAsia="Arial" w:hAnsi="Arial"/>
                <w:sz w:val="18"/>
                <w:szCs w:val="18"/>
                <w:b w:val="1"/>
                <w:bCs w:val="1"/>
                <w:color w:val="C60C35"/>
              </w:rPr>
              <w:t>Responsibility</w:t>
            </w:r>
          </w:p>
        </w:tc>
        <w:tc>
          <w:tcPr>
            <w:tcW w:w="260" w:type="dxa"/>
            <w:vAlign w:val="bottom"/>
          </w:tcPr>
          <w:p>
            <w:pPr>
              <w:ind w:left="80"/>
              <w:spacing w:after="0"/>
              <w:rPr>
                <w:sz w:val="20"/>
                <w:szCs w:val="20"/>
                <w:color w:val="auto"/>
              </w:rPr>
            </w:pPr>
            <w:r>
              <w:rPr>
                <w:rFonts w:ascii="Arial" w:cs="Arial" w:eastAsia="Arial" w:hAnsi="Arial"/>
                <w:sz w:val="14"/>
                <w:szCs w:val="14"/>
                <w:color w:val="auto"/>
              </w:rPr>
              <w:t>•</w:t>
            </w:r>
          </w:p>
        </w:tc>
        <w:tc>
          <w:tcPr>
            <w:tcW w:w="7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1420"/>
              <w:spacing w:after="0" w:line="204" w:lineRule="exact"/>
              <w:rPr>
                <w:sz w:val="20"/>
                <w:szCs w:val="20"/>
                <w:color w:val="auto"/>
              </w:rPr>
            </w:pPr>
            <w:r>
              <w:rPr>
                <w:rFonts w:ascii="Arial" w:cs="Arial" w:eastAsia="Arial" w:hAnsi="Arial"/>
                <w:sz w:val="18"/>
                <w:szCs w:val="18"/>
                <w:b w:val="1"/>
                <w:bCs w:val="1"/>
                <w:color w:val="C60C35"/>
              </w:rPr>
              <w:t>Availability and</w:t>
            </w:r>
          </w:p>
        </w:tc>
        <w:tc>
          <w:tcPr>
            <w:tcW w:w="26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7380" w:type="dxa"/>
            <w:vAlign w:val="bottom"/>
            <w:vMerge w:val="restart"/>
          </w:tcPr>
          <w:p>
            <w:pPr>
              <w:ind w:left="140"/>
              <w:spacing w:after="0"/>
              <w:rPr>
                <w:sz w:val="20"/>
                <w:szCs w:val="20"/>
                <w:color w:val="auto"/>
              </w:rPr>
            </w:pPr>
            <w:r>
              <w:rPr>
                <w:rFonts w:ascii="Arial" w:cs="Arial" w:eastAsia="Arial" w:hAnsi="Arial"/>
                <w:sz w:val="18"/>
                <w:szCs w:val="18"/>
                <w:color w:val="auto"/>
              </w:rPr>
              <w:t>availability based on the number of commitments to other entities existing or contemplated</w:t>
            </w:r>
          </w:p>
        </w:tc>
        <w:tc>
          <w:tcPr>
            <w:tcW w:w="0" w:type="dxa"/>
            <w:vAlign w:val="bottom"/>
          </w:tcPr>
          <w:p>
            <w:pPr>
              <w:spacing w:after="0"/>
              <w:rPr>
                <w:sz w:val="1"/>
                <w:szCs w:val="1"/>
                <w:color w:val="auto"/>
              </w:rPr>
            </w:pPr>
          </w:p>
        </w:tc>
      </w:tr>
      <w:tr>
        <w:trPr>
          <w:trHeight w:val="73"/>
        </w:trPr>
        <w:tc>
          <w:tcPr>
            <w:tcW w:w="3600" w:type="dxa"/>
            <w:vAlign w:val="bottom"/>
            <w:vMerge w:val="restart"/>
          </w:tcPr>
          <w:p>
            <w:pPr>
              <w:ind w:left="1420"/>
              <w:spacing w:after="0"/>
              <w:rPr>
                <w:sz w:val="20"/>
                <w:szCs w:val="20"/>
                <w:color w:val="auto"/>
              </w:rPr>
            </w:pPr>
            <w:r>
              <w:rPr>
                <w:rFonts w:ascii="Arial" w:cs="Arial" w:eastAsia="Arial" w:hAnsi="Arial"/>
                <w:sz w:val="18"/>
                <w:szCs w:val="18"/>
                <w:b w:val="1"/>
                <w:bCs w:val="1"/>
                <w:color w:val="C60C35"/>
              </w:rPr>
              <w:t>Commitment</w:t>
            </w:r>
          </w:p>
        </w:tc>
        <w:tc>
          <w:tcPr>
            <w:tcW w:w="260" w:type="dxa"/>
            <w:vAlign w:val="bottom"/>
            <w:vMerge w:val="continue"/>
          </w:tcPr>
          <w:p>
            <w:pPr>
              <w:spacing w:after="0"/>
              <w:rPr>
                <w:sz w:val="6"/>
                <w:szCs w:val="6"/>
                <w:color w:val="auto"/>
              </w:rPr>
            </w:pPr>
          </w:p>
        </w:tc>
        <w:tc>
          <w:tcPr>
            <w:tcW w:w="7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3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by the candidate</w:t>
            </w:r>
          </w:p>
        </w:tc>
        <w:tc>
          <w:tcPr>
            <w:tcW w:w="0" w:type="dxa"/>
            <w:vAlign w:val="bottom"/>
          </w:tcPr>
          <w:p>
            <w:pPr>
              <w:spacing w:after="0"/>
              <w:rPr>
                <w:sz w:val="1"/>
                <w:szCs w:val="1"/>
                <w:color w:val="auto"/>
              </w:rPr>
            </w:pPr>
          </w:p>
        </w:tc>
      </w:tr>
      <w:tr>
        <w:trPr>
          <w:trHeight w:val="126"/>
        </w:trPr>
        <w:tc>
          <w:tcPr>
            <w:tcW w:w="3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-3359785</wp:posOffset>
            </wp:positionV>
            <wp:extent cx="325755"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-2631440</wp:posOffset>
            </wp:positionV>
            <wp:extent cx="325755" cy="351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5755" cy="3511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-1997075</wp:posOffset>
            </wp:positionV>
            <wp:extent cx="325755" cy="3511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755" cy="3511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-1431290</wp:posOffset>
            </wp:positionV>
            <wp:extent cx="325755" cy="3600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3600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-848360</wp:posOffset>
            </wp:positionV>
            <wp:extent cx="325755" cy="7797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5755" cy="779780"/>
                    </a:xfrm>
                    <a:prstGeom prst="rect">
                      <a:avLst/>
                    </a:prstGeom>
                    <a:noFill/>
                  </pic:spPr>
                </pic:pic>
              </a:graphicData>
            </a:graphic>
          </wp:anchor>
        </w:drawing>
      </w:r>
    </w:p>
    <w:p>
      <w:pPr>
        <w:spacing w:after="0" w:line="258" w:lineRule="exact"/>
        <w:rPr>
          <w:sz w:val="20"/>
          <w:szCs w:val="20"/>
          <w:color w:val="auto"/>
        </w:rPr>
      </w:pPr>
    </w:p>
    <w:p>
      <w:pPr>
        <w:ind w:right="360" w:firstLine="324"/>
        <w:spacing w:after="0" w:line="248" w:lineRule="auto"/>
        <w:rPr>
          <w:sz w:val="20"/>
          <w:szCs w:val="20"/>
          <w:color w:val="auto"/>
        </w:rPr>
      </w:pPr>
      <w:r>
        <w:rPr>
          <w:rFonts w:ascii="Arial" w:cs="Arial" w:eastAsia="Arial" w:hAnsi="Arial"/>
          <w:sz w:val="18"/>
          <w:szCs w:val="18"/>
          <w:color w:val="auto"/>
        </w:rPr>
        <w:t>Our Corporate Governance Guidelines specifically state that when nominating new directors, the Board will seek the best qualified candidates to achieve a high performing Board, including a diversity of professional experience, race, ethnicity, gender, age, and cultural background. For additional information, please see the Company’s Corporate Governance Guidelines. In addition, the Board considers a variety of viewpoints in determining the qualifications desired for any new Board member. Finally, we believe that diversity with respect to tenure is important to benefit from both fresh perspectives and deep experience and knowledge of our Company and our business. Therefore, we aim to maintain an appropriate balance of tenure among our directors.</w:t>
      </w:r>
    </w:p>
    <w:p>
      <w:pPr>
        <w:spacing w:after="0" w:line="121"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regularly assess whether our Board maintains the right balance of skills, experience, and acumen required for exceptional leadership. This year, our Board continues to bring a diverse set of backgrounds, skills, and experiences to Lennox that are essential to collaborating with management and driving our strategy forward.</w:t>
      </w:r>
    </w:p>
    <w:p>
      <w:pPr>
        <w:spacing w:after="0" w:line="108" w:lineRule="exact"/>
        <w:rPr>
          <w:sz w:val="20"/>
          <w:szCs w:val="20"/>
          <w:color w:val="auto"/>
        </w:rPr>
      </w:pPr>
    </w:p>
    <w:p>
      <w:pPr>
        <w:jc w:val="both"/>
        <w:ind w:right="560" w:firstLine="324"/>
        <w:spacing w:after="0" w:line="261" w:lineRule="auto"/>
        <w:rPr>
          <w:sz w:val="20"/>
          <w:szCs w:val="20"/>
          <w:color w:val="auto"/>
        </w:rPr>
      </w:pPr>
      <w:r>
        <w:rPr>
          <w:rFonts w:ascii="Arial" w:cs="Arial" w:eastAsia="Arial" w:hAnsi="Arial"/>
          <w:sz w:val="18"/>
          <w:szCs w:val="18"/>
          <w:color w:val="auto"/>
        </w:rPr>
        <w:t>When a vacancy occurs on the Board, a majority of the directors then in office may fill the vacancy or the size of the Board may be reduced. The Board Governance Committee considers nominees for election to the Board recommended by stockholders in the same manner as other candidates.</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C60C35"/>
        </w:rPr>
        <w:t>Stockholder Nominations for Director</w:t>
      </w:r>
    </w:p>
    <w:p>
      <w:pPr>
        <w:spacing w:after="0" w:line="156" w:lineRule="exact"/>
        <w:rPr>
          <w:sz w:val="20"/>
          <w:szCs w:val="20"/>
          <w:color w:val="auto"/>
        </w:rPr>
      </w:pPr>
    </w:p>
    <w:p>
      <w:pPr>
        <w:ind w:right="20" w:firstLine="324"/>
        <w:spacing w:after="0" w:line="243" w:lineRule="auto"/>
        <w:rPr>
          <w:sz w:val="20"/>
          <w:szCs w:val="20"/>
          <w:color w:val="auto"/>
        </w:rPr>
      </w:pPr>
      <w:r>
        <w:rPr>
          <w:rFonts w:ascii="Arial" w:cs="Arial" w:eastAsia="Arial" w:hAnsi="Arial"/>
          <w:sz w:val="18"/>
          <w:szCs w:val="18"/>
          <w:color w:val="auto"/>
        </w:rPr>
        <w:t>A stockholder wishing to nominate a candidate for election to the Board at a meeting of the stockholders (“Nominating Stockholder”) is required to give written notice to our Corporate Secretary of his or her intention to make a nomination in accordance with the terms of our Bylaws. The Nominating Stockholder must be a holder of record of stock of the Company entitled to vote at the annual meeting of stockholders and must appear at the annual meeting of stockholders to nominate such person. The Nominating Stockholder must include a written consent from its proposed director nominee. The proposed director nominee must also represent and agree that he or she (1) has not and will not give any assurance or commitment not disclosed to the Company on how he or she would vote on any issue or question, (2) has not and will not become party to any agreement not disclosed to the Company regarding direct or indirect compensation (other than from the Company) for his or her service as a director, and (3) if elected, will comply with all applicable policies and guidelines of the Company. We must receive the notice of nomination at least 60 days but no more than 90 days prior to the annual meeting of stockholders. However, if we give less than 70 days’ notice of the date of the annual meeting of stockholders, the notice of nomination must be received within 10 days following the date on which notice of the date of the annual meeting of stockholders was mailed or such public disclosure was made to our stockholders.</w:t>
      </w:r>
    </w:p>
    <w:p>
      <w:pPr>
        <w:spacing w:after="0" w:line="131" w:lineRule="exact"/>
        <w:rPr>
          <w:sz w:val="20"/>
          <w:szCs w:val="20"/>
          <w:color w:val="auto"/>
        </w:rPr>
      </w:pPr>
    </w:p>
    <w:p>
      <w:pPr>
        <w:ind w:right="100" w:firstLine="324"/>
        <w:spacing w:after="0" w:line="244" w:lineRule="auto"/>
        <w:rPr>
          <w:sz w:val="20"/>
          <w:szCs w:val="20"/>
          <w:color w:val="auto"/>
        </w:rPr>
      </w:pPr>
      <w:r>
        <w:rPr>
          <w:rFonts w:ascii="Arial" w:cs="Arial" w:eastAsia="Arial" w:hAnsi="Arial"/>
          <w:sz w:val="18"/>
          <w:szCs w:val="18"/>
          <w:color w:val="auto"/>
        </w:rPr>
        <w:t>Pursuant to our Bylaws, the notice for the proposed director nominee must contain certain information about the nominee, the Nominating Stockholder, and any person “acting in concert” with the Nominating Stockholder, including descriptions of any arrangements or understanding related to the nomination, the information that would be required if such person was making a stockholder proposal (as described under “Other Information – Stockholder Proposals for the 2027 Annual Meeting of Stockholders”), and other information sufficient to allow the Board Governance Committee to determine if the candidate meets our qualification criteria for Board membership. The Board Governance Committee may require the proposed director nominee to furnish additional information in order to determine that person’s eligibility to serve as a director. A nomination that does not comply with the above procedure will be disregarded. Nominating Stockholders whose nominations comply with the foregoing procedure and who meet the criteria described above under the heading “Board Refreshment and Nomination Process” and in our Corporate Governance Guidelines, will be evaluated by the Board Governance Committee in the same manner as the Board Governance Committee’s nominees.</w:t>
      </w:r>
    </w:p>
    <w:p>
      <w:pPr>
        <w:spacing w:after="0" w:line="137" w:lineRule="exact"/>
        <w:rPr>
          <w:sz w:val="20"/>
          <w:szCs w:val="20"/>
          <w:color w:val="auto"/>
        </w:rPr>
      </w:pPr>
    </w:p>
    <w:p>
      <w:pPr>
        <w:ind w:firstLine="324"/>
        <w:spacing w:after="0" w:line="244" w:lineRule="auto"/>
        <w:rPr>
          <w:sz w:val="20"/>
          <w:szCs w:val="20"/>
          <w:color w:val="auto"/>
        </w:rPr>
      </w:pPr>
      <w:r>
        <w:rPr>
          <w:rFonts w:ascii="Arial" w:cs="Arial" w:eastAsia="Arial" w:hAnsi="Arial"/>
          <w:sz w:val="18"/>
          <w:szCs w:val="18"/>
          <w:color w:val="auto"/>
        </w:rPr>
        <w:t>In addition to satisfying the requirements under our Bylaws, to comply with the universal proxy rules, stockholders who intend to solicit proxies in support of director nominees other than the Company’s nominees must provide notice that sets forth the information required by Rule 14a-19 under the Exchange Act, which notice must be postmarked or transmitted electronically to us at our principal executive offices no later than 60 calendar days prior to the first anniversary date of this year’s Annual Meeting. Accordingly, for the 2027 Annual Meeting of Stockholders, we must receive such notice no later than March 22, 2027. If the date of the 2027 Annual Meeting of Stockholders is changed by more than 30 calendar days from the anniversary of the Annual Meeting, then notice must be provided by the later of 60 calendar days prior to the date of the 2027 Annual Meeting of Stockholders or the 10th calendar day following the day on which public announcement of the date of the 2027 Annual Meeting of Stockholders is first made.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Communications with Directors</w:t>
      </w:r>
    </w:p>
    <w:p>
      <w:pPr>
        <w:spacing w:after="0" w:line="10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 xml:space="preserve">Stockholders and all other interested parties may send written communications to the Board by email to </w:t>
      </w:r>
      <w:r>
        <w:rPr>
          <w:rFonts w:ascii="Arial" w:cs="Arial" w:eastAsia="Arial" w:hAnsi="Arial"/>
          <w:sz w:val="18"/>
          <w:szCs w:val="18"/>
          <w:i w:val="1"/>
          <w:iCs w:val="1"/>
          <w:color w:val="auto"/>
        </w:rPr>
        <w:t>investor@lennox.com</w:t>
      </w:r>
      <w:r>
        <w:rPr>
          <w:rFonts w:ascii="Arial" w:cs="Arial" w:eastAsia="Arial" w:hAnsi="Arial"/>
          <w:sz w:val="18"/>
          <w:szCs w:val="18"/>
          <w:color w:val="auto"/>
        </w:rPr>
        <w:t>, or by regular mail to 2140 Lake Park Blvd., Richardson, Texas 75080, Attention: Board of Directors, c/o Corporate Secretary.</w:t>
      </w:r>
    </w:p>
    <w:p>
      <w:pPr>
        <w:spacing w:after="0" w:line="8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Communications received by the Corporate Secretary will be delivered to one or more members of the Board or management, as</w:t>
      </w:r>
    </w:p>
    <w:p>
      <w:pPr>
        <w:spacing w:after="0" w:line="14"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color w:val="auto"/>
        </w:rPr>
        <w:t>determined by the Corporate Secretary. Any allegations of accounting, internal controls, or auditing-related complaints or concerns will be directed to the Chair of the Audit Committee.</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Board &amp; Committee Meetings</w:t>
      </w:r>
    </w:p>
    <w:p>
      <w:pPr>
        <w:spacing w:after="0" w:line="10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Board met nine times in 2025. All directors attended more than 75% of the total number of all meetings of the Board and committees of the Board on which they served. Our Corporate Governance Guidelines include a policy that Board members are expected to attend the Annual Meeting. All of the individuals serving as directors at the time of our 2025 Annual Meeting of Stockholders attended our 2025 Annual Meeting of Stockholders, and we expect all current directors to attend the 2026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Executive Session Meetings</w:t>
      </w:r>
    </w:p>
    <w:p>
      <w:pPr>
        <w:spacing w:after="0" w:line="156"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The non-management directors of our Board, all of whom are independent, meet regularly in executive session without the presence of management. In 2025, the independent Chair of the Board chaired the executive session meetings of our independent directors.</w:t>
      </w: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C60C35"/>
        </w:rPr>
        <w:t>Committee Meetings</w:t>
      </w:r>
    </w:p>
    <w:p>
      <w:pPr>
        <w:spacing w:after="0" w:line="156" w:lineRule="exact"/>
        <w:rPr>
          <w:sz w:val="20"/>
          <w:szCs w:val="20"/>
          <w:color w:val="auto"/>
        </w:rPr>
      </w:pPr>
    </w:p>
    <w:p>
      <w:pPr>
        <w:ind w:left="660" w:righ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standing committees of the Board are as follows: Audit, Board Governance, Compensation and Human Resources, and Executive.</w:t>
      </w:r>
    </w:p>
    <w:p>
      <w:pPr>
        <w:spacing w:after="0" w:line="31"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has adopted charters for each of these committees, copies of which are available on our website at www.lennox.com by following the links “Investors — Corporate Governance — Documents &amp; Charters.”</w:t>
      </w:r>
    </w:p>
    <w:p>
      <w:pPr>
        <w:spacing w:after="0" w:line="59" w:lineRule="exact"/>
        <w:rPr>
          <w:rFonts w:ascii="Arial" w:cs="Arial" w:eastAsia="Arial" w:hAnsi="Arial"/>
          <w:sz w:val="18"/>
          <w:szCs w:val="18"/>
          <w:color w:val="auto"/>
        </w:rPr>
      </w:pPr>
    </w:p>
    <w:p>
      <w:pPr>
        <w:ind w:left="660" w:right="440" w:hanging="328"/>
        <w:spacing w:after="0" w:line="27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of the Audit, Board Governance, and Compensation and Human Resources Committees is led by a different independent director and all committee members are independent directors.</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Executive Committee is led by the independent Chair of the Board and its members are the CEO and each committee Chair.</w:t>
      </w:r>
    </w:p>
    <w:p>
      <w:pPr>
        <w:spacing w:after="0" w:line="117" w:lineRule="exact"/>
        <w:rPr>
          <w:rFonts w:ascii="Arial" w:cs="Arial" w:eastAsia="Arial" w:hAnsi="Arial"/>
          <w:sz w:val="18"/>
          <w:szCs w:val="18"/>
          <w:color w:val="auto"/>
        </w:rPr>
      </w:pPr>
    </w:p>
    <w:p>
      <w:pPr>
        <w:ind w:left="660" w:right="40" w:hanging="328"/>
        <w:spacing w:after="0" w:line="27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standing committee has the authority to retain independent advisors to assist in the fulfillment of its responsibilities, to approve the fees paid to those advisors, and to terminate their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1551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59990" cy="1551305"/>
                    </a:xfrm>
                    <a:prstGeom prst="rect">
                      <a:avLst/>
                    </a:prstGeom>
                    <a:noFill/>
                  </pic:spPr>
                </pic:pic>
              </a:graphicData>
            </a:graphic>
          </wp:anchor>
        </w:drawing>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2500" w:type="dxa"/>
            <w:vAlign w:val="bottom"/>
          </w:tcPr>
          <w:p>
            <w:pPr>
              <w:spacing w:after="0"/>
              <w:rPr>
                <w:sz w:val="20"/>
                <w:szCs w:val="20"/>
                <w:color w:val="auto"/>
              </w:rPr>
            </w:pPr>
            <w:r>
              <w:rPr>
                <w:rFonts w:ascii="Arial" w:cs="Arial" w:eastAsia="Arial" w:hAnsi="Arial"/>
                <w:sz w:val="14"/>
                <w:szCs w:val="14"/>
                <w:b w:val="1"/>
                <w:bCs w:val="1"/>
                <w:color w:val="auto"/>
              </w:rPr>
              <w:t>Committee Chair:</w:t>
            </w:r>
          </w:p>
        </w:tc>
        <w:tc>
          <w:tcPr>
            <w:tcW w:w="2460" w:type="dxa"/>
            <w:vAlign w:val="bottom"/>
          </w:tcPr>
          <w:p>
            <w:pPr>
              <w:ind w:left="1300"/>
              <w:spacing w:after="0"/>
              <w:rPr>
                <w:sz w:val="20"/>
                <w:szCs w:val="20"/>
                <w:color w:val="auto"/>
              </w:rPr>
            </w:pPr>
            <w:r>
              <w:rPr>
                <w:rFonts w:ascii="Arial" w:cs="Arial" w:eastAsia="Arial" w:hAnsi="Arial"/>
                <w:sz w:val="14"/>
                <w:szCs w:val="14"/>
                <w:b w:val="1"/>
                <w:bCs w:val="1"/>
                <w:color w:val="auto"/>
              </w:rPr>
              <w:t>Responsibilities:</w:t>
            </w:r>
          </w:p>
        </w:tc>
      </w:tr>
    </w:tbl>
    <w:p>
      <w:pPr>
        <w:spacing w:after="0" w:line="33" w:lineRule="exact"/>
        <w:rPr>
          <w:sz w:val="20"/>
          <w:szCs w:val="20"/>
          <w:color w:val="auto"/>
        </w:rPr>
      </w:pPr>
    </w:p>
    <w:p>
      <w:pPr>
        <w:sectPr>
          <w:pgSz w:w="11900" w:h="16838" w:orient="portrait"/>
          <w:cols w:equalWidth="0" w:num="1">
            <w:col w:w="11180"/>
          </w:cols>
          <w:pgMar w:left="320" w:top="771" w:right="399" w:bottom="1440" w:gutter="0" w:footer="0" w:header="0"/>
        </w:sectPr>
      </w:pPr>
    </w:p>
    <w:p>
      <w:pPr>
        <w:spacing w:after="0" w:line="4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Sherry L. Buck</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Sivasankaran Somasundaram</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Todd J. Teske</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Jon Vander Ark</w:t>
      </w:r>
    </w:p>
    <w:p>
      <w:pPr>
        <w:spacing w:after="0" w:line="20" w:lineRule="exact"/>
        <w:rPr>
          <w:sz w:val="20"/>
          <w:szCs w:val="20"/>
          <w:color w:val="auto"/>
        </w:rPr>
      </w:pPr>
      <w:r>
        <w:rPr>
          <w:sz w:val="20"/>
          <w:szCs w:val="20"/>
          <w:color w:val="auto"/>
        </w:rPr>
        <w:br w:type="column"/>
      </w:r>
    </w:p>
    <w:p>
      <w:pPr>
        <w:ind w:left="160" w:right="300"/>
        <w:spacing w:after="0" w:line="267" w:lineRule="auto"/>
        <w:rPr>
          <w:sz w:val="20"/>
          <w:szCs w:val="20"/>
          <w:color w:val="auto"/>
        </w:rPr>
      </w:pPr>
      <w:r>
        <w:rPr>
          <w:rFonts w:ascii="Arial" w:cs="Arial" w:eastAsia="Arial" w:hAnsi="Arial"/>
          <w:sz w:val="14"/>
          <w:szCs w:val="14"/>
          <w:color w:val="auto"/>
        </w:rPr>
        <w:t>The Audit Committee assists the Board in fulfilling its oversight responsibilities relating to the integrity of our financial statements and related systems of internal controls, our compliance with legal and regulatory requirements, the independent registered public accounting firm’s qualifications, independence and performance, and the performance of our internal audit function. The Audit Committee also has the direct responsibility for the appointment, compensation, retention, and oversight of our Independent Accountants.</w:t>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69" w:lineRule="exact"/>
        <w:rPr>
          <w:sz w:val="20"/>
          <w:szCs w:val="20"/>
          <w:color w:val="auto"/>
        </w:rPr>
      </w:pPr>
    </w:p>
    <w:p>
      <w:pPr>
        <w:ind w:left="480" w:hanging="318"/>
        <w:spacing w:after="0"/>
        <w:tabs>
          <w:tab w:leader="none" w:pos="4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All members are independent &amp; financially literate in accordance with NYSE requirements</w:t>
      </w:r>
    </w:p>
    <w:p>
      <w:pPr>
        <w:spacing w:after="0" w:line="69" w:lineRule="exact"/>
        <w:rPr>
          <w:sz w:val="20"/>
          <w:szCs w:val="20"/>
          <w:color w:val="auto"/>
        </w:rPr>
      </w:pPr>
    </w:p>
    <w:p>
      <w:pPr>
        <w:sectPr>
          <w:pgSz w:w="11900" w:h="16838" w:orient="portrait"/>
          <w:cols w:equalWidth="0" w:num="2">
            <w:col w:w="3180" w:space="720"/>
            <w:col w:w="7280"/>
          </w:cols>
          <w:pgMar w:left="320" w:top="771" w:right="399" w:bottom="1440" w:gutter="0" w:footer="0" w:header="0"/>
          <w:type w:val="continuous"/>
        </w:sectPr>
      </w:pPr>
    </w:p>
    <w:tbl>
      <w:tblPr>
        <w:tblLayout w:type="fixed"/>
        <w:tblInd w:w="100" w:type="dxa"/>
        <w:tblCellMar>
          <w:top w:w="0" w:type="dxa"/>
          <w:left w:w="0" w:type="dxa"/>
          <w:bottom w:w="0" w:type="dxa"/>
          <w:right w:w="0" w:type="dxa"/>
        </w:tblCellMar>
      </w:tblPr>
      <w:tr>
        <w:trPr>
          <w:trHeight w:val="196"/>
        </w:trPr>
        <w:tc>
          <w:tcPr>
            <w:tcW w:w="2760" w:type="dxa"/>
            <w:vAlign w:val="bottom"/>
          </w:tcPr>
          <w:p>
            <w:pPr>
              <w:jc w:val="right"/>
              <w:ind w:right="1128"/>
              <w:spacing w:after="0"/>
              <w:rPr>
                <w:sz w:val="20"/>
                <w:szCs w:val="20"/>
                <w:color w:val="auto"/>
              </w:rPr>
            </w:pPr>
            <w:r>
              <w:rPr>
                <w:rFonts w:ascii="Arial" w:cs="Arial" w:eastAsia="Arial" w:hAnsi="Arial"/>
                <w:sz w:val="14"/>
                <w:szCs w:val="14"/>
                <w:b w:val="1"/>
                <w:bCs w:val="1"/>
                <w:color w:val="auto"/>
              </w:rPr>
              <w:t>Meetings Held in 2025:</w:t>
            </w:r>
          </w:p>
        </w:tc>
        <w:tc>
          <w:tcPr>
            <w:tcW w:w="1380" w:type="dxa"/>
            <w:vAlign w:val="bottom"/>
          </w:tcPr>
          <w:p>
            <w:pPr>
              <w:ind w:left="1200"/>
              <w:spacing w:after="0"/>
              <w:rPr>
                <w:sz w:val="20"/>
                <w:szCs w:val="20"/>
                <w:color w:val="auto"/>
              </w:rPr>
            </w:pPr>
            <w:r>
              <w:rPr>
                <w:rFonts w:ascii="Arial" w:cs="Arial" w:eastAsia="Arial" w:hAnsi="Arial"/>
                <w:sz w:val="14"/>
                <w:szCs w:val="14"/>
                <w:color w:val="auto"/>
              </w:rPr>
              <w:t>•</w:t>
            </w:r>
          </w:p>
        </w:tc>
        <w:tc>
          <w:tcPr>
            <w:tcW w:w="6600" w:type="dxa"/>
            <w:vAlign w:val="bottom"/>
          </w:tcPr>
          <w:p>
            <w:pPr>
              <w:ind w:left="140"/>
              <w:spacing w:after="0"/>
              <w:rPr>
                <w:sz w:val="20"/>
                <w:szCs w:val="20"/>
                <w:color w:val="auto"/>
              </w:rPr>
            </w:pPr>
            <w:r>
              <w:rPr>
                <w:rFonts w:ascii="Arial" w:cs="Arial" w:eastAsia="Arial" w:hAnsi="Arial"/>
                <w:sz w:val="14"/>
                <w:szCs w:val="14"/>
                <w:color w:val="auto"/>
              </w:rPr>
              <w:t>Ms. Buck, Mr. Teske, and Mr. Vander Ark are audit committee financial experts as defined by the SEC</w:t>
            </w:r>
          </w:p>
        </w:tc>
      </w:tr>
      <w:tr>
        <w:trPr>
          <w:trHeight w:val="223"/>
        </w:trPr>
        <w:tc>
          <w:tcPr>
            <w:tcW w:w="2760" w:type="dxa"/>
            <w:vAlign w:val="bottom"/>
          </w:tcPr>
          <w:p>
            <w:pPr>
              <w:jc w:val="right"/>
              <w:ind w:right="2528"/>
              <w:spacing w:after="0"/>
              <w:rPr>
                <w:sz w:val="20"/>
                <w:szCs w:val="20"/>
                <w:color w:val="auto"/>
              </w:rPr>
            </w:pPr>
            <w:r>
              <w:rPr>
                <w:rFonts w:ascii="Arial" w:cs="Arial" w:eastAsia="Arial" w:hAnsi="Arial"/>
                <w:sz w:val="14"/>
                <w:szCs w:val="14"/>
                <w:color w:val="auto"/>
              </w:rPr>
              <w:t>9</w:t>
            </w:r>
          </w:p>
        </w:tc>
        <w:tc>
          <w:tcPr>
            <w:tcW w:w="1380" w:type="dxa"/>
            <w:vAlign w:val="bottom"/>
          </w:tcPr>
          <w:p>
            <w:pPr>
              <w:ind w:left="1200"/>
              <w:spacing w:after="0"/>
              <w:rPr>
                <w:sz w:val="20"/>
                <w:szCs w:val="20"/>
                <w:color w:val="auto"/>
              </w:rPr>
            </w:pPr>
            <w:r>
              <w:rPr>
                <w:rFonts w:ascii="Arial" w:cs="Arial" w:eastAsia="Arial" w:hAnsi="Arial"/>
                <w:sz w:val="14"/>
                <w:szCs w:val="14"/>
                <w:color w:val="auto"/>
              </w:rPr>
              <w:t>•</w:t>
            </w:r>
          </w:p>
        </w:tc>
        <w:tc>
          <w:tcPr>
            <w:tcW w:w="6600" w:type="dxa"/>
            <w:vAlign w:val="bottom"/>
          </w:tcPr>
          <w:p>
            <w:pPr>
              <w:ind w:left="140"/>
              <w:spacing w:after="0"/>
              <w:rPr>
                <w:sz w:val="20"/>
                <w:szCs w:val="20"/>
                <w:color w:val="auto"/>
              </w:rPr>
            </w:pPr>
            <w:r>
              <w:rPr>
                <w:rFonts w:ascii="Arial" w:cs="Arial" w:eastAsia="Arial" w:hAnsi="Arial"/>
                <w:sz w:val="14"/>
                <w:szCs w:val="14"/>
                <w:color w:val="auto"/>
              </w:rPr>
              <w:t>None of the members serve on the audit committees of more than three public companies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205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34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BOARD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1671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59990" cy="1671955"/>
                    </a:xfrm>
                    <a:prstGeom prst="rect">
                      <a:avLst/>
                    </a:prstGeom>
                    <a:noFill/>
                  </pic:spPr>
                </pic:pic>
              </a:graphicData>
            </a:graphic>
          </wp:anchor>
        </w:drawing>
      </w:r>
    </w:p>
    <w:p>
      <w:pPr>
        <w:sectPr>
          <w:pgSz w:w="11900" w:h="16838" w:orient="portrait"/>
          <w:cols w:equalWidth="0" w:num="1">
            <w:col w:w="11180"/>
          </w:cols>
          <w:pgMar w:left="320" w:top="771" w:right="399" w:bottom="1440" w:gutter="0" w:footer="0" w:header="0"/>
          <w:type w:val="continuous"/>
        </w:sectPr>
      </w:pPr>
    </w:p>
    <w:p>
      <w:pPr>
        <w:spacing w:after="0" w:line="12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Karen H. Quintos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Tracy A. Embree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John W. Norris, III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Sivasankaran Somasundaram</w:t>
      </w:r>
    </w:p>
    <w:p>
      <w:pPr>
        <w:spacing w:after="0" w:line="200" w:lineRule="exact"/>
        <w:rPr>
          <w:sz w:val="20"/>
          <w:szCs w:val="20"/>
          <w:color w:val="auto"/>
        </w:rPr>
      </w:pPr>
    </w:p>
    <w:p>
      <w:pPr>
        <w:spacing w:after="0" w:line="24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2025:</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spacing w:after="0" w:line="266" w:lineRule="auto"/>
        <w:rPr>
          <w:sz w:val="20"/>
          <w:szCs w:val="20"/>
          <w:color w:val="auto"/>
        </w:rPr>
      </w:pPr>
      <w:r>
        <w:rPr>
          <w:rFonts w:ascii="Arial" w:cs="Arial" w:eastAsia="Arial" w:hAnsi="Arial"/>
          <w:sz w:val="14"/>
          <w:szCs w:val="14"/>
          <w:color w:val="auto"/>
        </w:rPr>
        <w:t>The Board Governance Committee assists the Board by identifying individuals qualified to become Board members, developing qualification criteria for Board membership, making recommendations to the Board regarding the appropriate size of the Board and appointment of members to the Board’s committees, developing and recommending to the Board any changes to the Corporate Governance Guidelines, and overseeing the evaluation of our Board and each of the Board’s committees. The Board Governance Committee also conducts an individual peer review for any directors who are scheduled to be re-nominated.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69" w:lineRule="exact"/>
        <w:rPr>
          <w:sz w:val="20"/>
          <w:szCs w:val="20"/>
          <w:color w:val="auto"/>
        </w:rPr>
      </w:pPr>
    </w:p>
    <w:p>
      <w:pPr>
        <w:ind w:left="480" w:hanging="318"/>
        <w:spacing w:after="0"/>
        <w:tabs>
          <w:tab w:leader="none" w:pos="4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All members are independent</w:t>
      </w:r>
    </w:p>
    <w:p>
      <w:pPr>
        <w:spacing w:after="0" w:line="200" w:lineRule="exact"/>
        <w:rPr>
          <w:sz w:val="20"/>
          <w:szCs w:val="20"/>
          <w:color w:val="auto"/>
        </w:rPr>
      </w:pPr>
    </w:p>
    <w:p>
      <w:pPr>
        <w:sectPr>
          <w:pgSz w:w="11900" w:h="16838" w:orient="portrait"/>
          <w:cols w:equalWidth="0" w:num="2">
            <w:col w:w="3180" w:space="720"/>
            <w:col w:w="7280"/>
          </w:cols>
          <w:pgMar w:left="320" w:top="771" w:right="399" w:bottom="1440" w:gutter="0" w:footer="0" w:header="0"/>
          <w:type w:val="continuous"/>
        </w:sectPr>
      </w:pPr>
    </w:p>
    <w:p>
      <w:pPr>
        <w:spacing w:after="0" w:line="19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1" w:right="399" w:bottom="1440" w:gutter="0" w:footer="0" w:header="0"/>
          <w:type w:val="continuous"/>
        </w:sectPr>
      </w:pPr>
    </w:p>
    <w:bookmarkStart w:id="29" w:name="page30"/>
    <w:bookmarkEnd w:id="29"/>
    <w:p>
      <w:pPr>
        <w:ind w:left="100"/>
        <w:spacing w:after="0"/>
        <w:rPr>
          <w:sz w:val="20"/>
          <w:szCs w:val="20"/>
          <w:color w:val="auto"/>
        </w:rPr>
      </w:pPr>
      <w:r>
        <w:rPr>
          <w:rFonts w:ascii="Arial" w:cs="Arial" w:eastAsia="Arial" w:hAnsi="Arial"/>
          <w:sz w:val="17"/>
          <w:szCs w:val="17"/>
          <w:b w:val="1"/>
          <w:bCs w:val="1"/>
          <w:color w:val="FFFFFF"/>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05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COMPENSATION &amp; HUMAN RESOURCES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2459990" cy="27857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459990" cy="27857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p>
      <w:pPr>
        <w:spacing w:after="0" w:line="13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Shane D. Wall</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Tracy A. Embree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John W. Norris, III</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Jon Vander Ark</w:t>
      </w: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2025:</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5</w:t>
      </w: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Independent Compensation Consultant:</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Meridian Compensation Partners, LLC</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right="40"/>
        <w:spacing w:after="0" w:line="265" w:lineRule="auto"/>
        <w:rPr>
          <w:sz w:val="20"/>
          <w:szCs w:val="20"/>
          <w:color w:val="auto"/>
        </w:rPr>
      </w:pPr>
      <w:r>
        <w:rPr>
          <w:rFonts w:ascii="Arial" w:cs="Arial" w:eastAsia="Arial" w:hAnsi="Arial"/>
          <w:sz w:val="14"/>
          <w:szCs w:val="14"/>
          <w:color w:val="auto"/>
        </w:rPr>
        <w:t>The Compensation and Human Resources Committee determines the compensation philosophy and oversees the compensation programs for the Company’s executive officers and the non-employee members of the Board. The Committee’s responsibilities include oversight of the short- and long-term incentive plans and senior management succession plans. The Committee also reviews the funding requirements and investment policies for the defined benefit and defined contribution retirement plans, and the performance of investment funds, investment advisors, and investment managers under those plans. The Committee may delegate its responsibilities to a subcommittee comprised of Committee members.</w:t>
      </w:r>
    </w:p>
    <w:p>
      <w:pPr>
        <w:spacing w:after="0" w:line="79" w:lineRule="exact"/>
        <w:rPr>
          <w:sz w:val="20"/>
          <w:szCs w:val="20"/>
          <w:color w:val="auto"/>
        </w:rPr>
      </w:pPr>
    </w:p>
    <w:p>
      <w:pPr>
        <w:ind w:left="160" w:right="140"/>
        <w:spacing w:after="0" w:line="262" w:lineRule="auto"/>
        <w:rPr>
          <w:sz w:val="20"/>
          <w:szCs w:val="20"/>
          <w:color w:val="auto"/>
        </w:rPr>
      </w:pPr>
      <w:r>
        <w:rPr>
          <w:rFonts w:ascii="Arial" w:cs="Arial" w:eastAsia="Arial" w:hAnsi="Arial"/>
          <w:sz w:val="14"/>
          <w:szCs w:val="14"/>
          <w:color w:val="auto"/>
        </w:rPr>
        <w:t>Although the Committee seeks input from the CEO on various elements of executive compensation, the Committee determines and approves the final compensation elements and amounts to be provided to the Company’s NEOs. The independent members of the Board (rather than the Committee) have direct responsibility for approving CEO and Board compensation; however, the Committee reviews and recommends proposed changes to CEO and Board compensation to the independent members of the Board for approval. See “Executive Compensation — Compensation Discussion and Analysis” for information concerning the Committee’s philosophy and objectives in overseeing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the Members:</w:t>
      </w:r>
    </w:p>
    <w:p>
      <w:pPr>
        <w:spacing w:after="0" w:line="69" w:lineRule="exact"/>
        <w:rPr>
          <w:sz w:val="20"/>
          <w:szCs w:val="20"/>
          <w:color w:val="auto"/>
        </w:rPr>
      </w:pPr>
    </w:p>
    <w:p>
      <w:pPr>
        <w:ind w:left="480" w:hanging="318"/>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members are independent as defined for compensation committee members by NYSE</w:t>
      </w:r>
    </w:p>
    <w:p>
      <w:pPr>
        <w:spacing w:after="0" w:line="68" w:lineRule="exact"/>
        <w:rPr>
          <w:rFonts w:ascii="Arial" w:cs="Arial" w:eastAsia="Arial" w:hAnsi="Arial"/>
          <w:sz w:val="14"/>
          <w:szCs w:val="14"/>
          <w:color w:val="auto"/>
        </w:rPr>
      </w:pPr>
    </w:p>
    <w:p>
      <w:pPr>
        <w:ind w:left="480" w:hanging="318"/>
        <w:spacing w:after="0"/>
        <w:tabs>
          <w:tab w:leader="none" w:pos="4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All members are “non-employee directors” under Section 16b-3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246380</wp:posOffset>
            </wp:positionV>
            <wp:extent cx="7132320" cy="205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720"/>
            <w:col w:w="7320"/>
          </w:cols>
          <w:pgMar w:left="320" w:top="823" w:right="359" w:bottom="1440" w:gutter="0" w:footer="0" w:header="0"/>
          <w:type w:val="continuous"/>
        </w:sectPr>
      </w:pPr>
    </w:p>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2459990" cy="1817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59990" cy="1817370"/>
                    </a:xfrm>
                    <a:prstGeom prst="rect">
                      <a:avLst/>
                    </a:prstGeom>
                    <a:noFill/>
                  </pic:spPr>
                </pic:pic>
              </a:graphicData>
            </a:graphic>
          </wp:anchor>
        </w:drawing>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Committee Chair:</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Todd J. Teske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Other Committee Members: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Alok Maskara</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Sherry L. Buck</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Karen H. Quintos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Shane D. Wall</w:t>
      </w:r>
    </w:p>
    <w:p>
      <w:pPr>
        <w:spacing w:after="0" w:line="39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Meetings Held in 2025:</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69" w:lineRule="exact"/>
        <w:rPr>
          <w:sz w:val="20"/>
          <w:szCs w:val="20"/>
          <w:color w:val="auto"/>
        </w:rPr>
      </w:pPr>
    </w:p>
    <w:p>
      <w:pPr>
        <w:ind w:left="160" w:right="40"/>
        <w:spacing w:after="0" w:line="285" w:lineRule="auto"/>
        <w:rPr>
          <w:sz w:val="20"/>
          <w:szCs w:val="20"/>
          <w:color w:val="auto"/>
        </w:rPr>
      </w:pPr>
      <w:r>
        <w:rPr>
          <w:rFonts w:ascii="Arial" w:cs="Arial" w:eastAsia="Arial" w:hAnsi="Arial"/>
          <w:sz w:val="14"/>
          <w:szCs w:val="14"/>
          <w:color w:val="auto"/>
        </w:rPr>
        <w:t>The Executive Committee aids the Board in handling any matters that arise between Board meetings and, in the opinion of the Chair of the Board, should not be postponed until the next scheduled meeting of the Board.</w:t>
      </w:r>
    </w:p>
    <w:p>
      <w:pPr>
        <w:spacing w:after="0" w:line="2381" w:lineRule="exact"/>
        <w:rPr>
          <w:sz w:val="20"/>
          <w:szCs w:val="20"/>
          <w:color w:val="auto"/>
        </w:rPr>
      </w:pPr>
    </w:p>
    <w:p>
      <w:pPr>
        <w:sectPr>
          <w:pgSz w:w="11900" w:h="16838" w:orient="portrait"/>
          <w:cols w:equalWidth="0" w:num="2">
            <w:col w:w="3180" w:space="720"/>
            <w:col w:w="7320"/>
          </w:cols>
          <w:pgMar w:left="320" w:top="823" w:right="35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Risk Management</w:t>
      </w:r>
    </w:p>
    <w:p>
      <w:pPr>
        <w:spacing w:after="0" w:line="121"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While the Board oversees the Company’s risk management, our management is responsible for the development, implementation, and maintenance of our risk management processes. Management provides periodic reports to the Board and Board committees on its assessment of strategic, operational, legal and compliance, information security, and financial reporting risks to the Company. The Board and Board committees, as appropriate, review and consider the management reports provided on the Company’s enterprise risk and risk management strategy.</w:t>
      </w:r>
    </w:p>
    <w:p>
      <w:pPr>
        <w:spacing w:after="0" w:line="123" w:lineRule="exact"/>
        <w:rPr>
          <w:sz w:val="20"/>
          <w:szCs w:val="20"/>
          <w:color w:val="auto"/>
        </w:rPr>
      </w:pPr>
    </w:p>
    <w:p>
      <w:pPr>
        <w:ind w:right="440" w:firstLine="324"/>
        <w:spacing w:after="0" w:line="261" w:lineRule="auto"/>
        <w:rPr>
          <w:sz w:val="20"/>
          <w:szCs w:val="20"/>
          <w:color w:val="auto"/>
        </w:rPr>
      </w:pPr>
      <w:r>
        <w:rPr>
          <w:rFonts w:ascii="Arial" w:cs="Arial" w:eastAsia="Arial" w:hAnsi="Arial"/>
          <w:sz w:val="18"/>
          <w:szCs w:val="18"/>
          <w:color w:val="auto"/>
        </w:rPr>
        <w:t>In 2025, our Enterprise Risk Management program, identifying and addressing risk, was presented to the full Board. The Audit Committee oversees the guidelines and policies that govern the Company’s processes to assess and manage significant enterprise risk exposure.</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color w:val="C60C35"/>
        </w:rPr>
        <w:t>Other Corporate Governance Policies and Practices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Code of Business Conduct</w:t>
      </w:r>
    </w:p>
    <w:p>
      <w:pPr>
        <w:spacing w:after="0" w:line="169"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The Company has adopted a Code of Ethics (which we call our Code of Business Conduct) that applies to all its directors and employees, including its senior financial and principal executive officers. The Code of Business Conduct covers a variety of matters, such as acting with integrity and compliance with laws, including anti-corruption laws. Amendments to and waivers, if any, of the Code of Business Conduct as it pertains to the principal executive officer, principal financial officer, and principal accounting officer, if any, will be disclosed on our website. The Code of Business Conduct is available on the Company’s website at www.lennox.com by following the links “Investors — Corporate Governance — Documents &amp; Charters.”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Corporate Governance Guidelines</w:t>
      </w:r>
    </w:p>
    <w:p>
      <w:pPr>
        <w:spacing w:after="0" w:line="169" w:lineRule="exact"/>
        <w:rPr>
          <w:sz w:val="20"/>
          <w:szCs w:val="20"/>
          <w:color w:val="auto"/>
        </w:rPr>
      </w:pPr>
    </w:p>
    <w:p>
      <w:pPr>
        <w:ind w:right="460" w:firstLine="324"/>
        <w:spacing w:after="0" w:line="271" w:lineRule="auto"/>
        <w:rPr>
          <w:sz w:val="20"/>
          <w:szCs w:val="20"/>
          <w:color w:val="auto"/>
        </w:rPr>
      </w:pPr>
      <w:r>
        <w:rPr>
          <w:rFonts w:ascii="Arial" w:cs="Arial" w:eastAsia="Arial" w:hAnsi="Arial"/>
          <w:sz w:val="18"/>
          <w:szCs w:val="18"/>
          <w:color w:val="auto"/>
        </w:rPr>
        <w:t>The Company has adopted Corporate Governance Guidelines that are available on the Company’s website at www.lennox.com by following the links “Investors — Corporate Governance — Corporate Governance Guidelines.”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Insider Trading Policy</w:t>
      </w:r>
    </w:p>
    <w:p>
      <w:pPr>
        <w:spacing w:after="0" w:line="156" w:lineRule="exact"/>
        <w:rPr>
          <w:sz w:val="20"/>
          <w:szCs w:val="20"/>
          <w:color w:val="auto"/>
        </w:rPr>
      </w:pPr>
    </w:p>
    <w:p>
      <w:pPr>
        <w:ind w:right="240" w:firstLine="324"/>
        <w:spacing w:after="0" w:line="231" w:lineRule="auto"/>
        <w:rPr>
          <w:sz w:val="20"/>
          <w:szCs w:val="20"/>
          <w:color w:val="auto"/>
        </w:rPr>
      </w:pPr>
      <w:r>
        <w:rPr>
          <w:rFonts w:ascii="Arial" w:cs="Arial" w:eastAsia="Arial" w:hAnsi="Arial"/>
          <w:sz w:val="18"/>
          <w:szCs w:val="18"/>
          <w:color w:val="auto"/>
        </w:rPr>
        <w:t>The Company has adopted an insider trading policy governing the purchase, sale, and other dispositions of the Company’s securities that applies to all Lennox personnel, including directors, officers, employees, and other covered persons. The insider trading policy also applies to transactions by the Company in its own securities. We believe our insider trading policy is reasonably designed to promote</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compliance with insider trading laws, rules and regulations, and listing standards applicable to Lennox. A copy of the Company’s insider trading policy was filed as Exhibit 19.1 to the Form 10-K and is also available on the Company’s website at www.lennox.com by following the links “Investors — Corporate Governance — Documents &amp; Charters.”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Whistleblower Procedures</w:t>
      </w:r>
    </w:p>
    <w:p>
      <w:pPr>
        <w:spacing w:after="0" w:line="16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Audit Committee has established procedures for the handling of complaints regarding accounting, internal accounting controls, or auditing matters, including procedures for confidential and anonymous submission by our employees of concerns regarding such matters. The Company’s Code of Business Conduct prohibits retaliation against employees who report violations or suspected violations of the Code of Business Conduct.</w:t>
      </w:r>
    </w:p>
    <w:p>
      <w:pPr>
        <w:spacing w:after="0" w:line="4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1" w:right="41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9"/>
          <w:szCs w:val="29"/>
          <w:b w:val="1"/>
          <w:bCs w:val="1"/>
          <w:color w:val="C6093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720" w:firstLine="324"/>
        <w:spacing w:after="0" w:line="271" w:lineRule="auto"/>
        <w:rPr>
          <w:sz w:val="20"/>
          <w:szCs w:val="20"/>
          <w:color w:val="auto"/>
        </w:rPr>
      </w:pPr>
      <w:r>
        <w:rPr>
          <w:rFonts w:ascii="Arial" w:cs="Arial" w:eastAsia="Arial" w:hAnsi="Arial"/>
          <w:sz w:val="18"/>
          <w:szCs w:val="18"/>
          <w:color w:val="auto"/>
        </w:rPr>
        <w:t>Our non-employee director compensation program uses a combination of cash and equity awards to provide market-competitive compensation to members of our Board.</w:t>
      </w:r>
    </w:p>
    <w:p>
      <w:pPr>
        <w:spacing w:after="0" w:line="10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Each year, the Compensation and Human Resources Committee (the “Committee”) reviews benchmark data from our Compensation Peer Group and other general industry surveys to assess the competitiveness of our director compensation program. If the Committee believes changes are warranted to the Board compensation program, the Committee recommends the proposed changes to the independent members of the Board for approval. As a result of this review for purposes of the 2025 program, the Committee recommended, and the independent members of the Board approved, a $5,000 increase in the value of the annual stock grant (from $150,000 to $155,000).</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2025 Annual Compensation</w:t>
      </w:r>
    </w:p>
    <w:p>
      <w:pPr>
        <w:spacing w:after="0" w:line="108" w:lineRule="exact"/>
        <w:rPr>
          <w:sz w:val="20"/>
          <w:szCs w:val="20"/>
          <w:color w:val="auto"/>
        </w:rPr>
      </w:pPr>
    </w:p>
    <w:p>
      <w:pPr>
        <w:ind w:right="440" w:firstLine="324"/>
        <w:spacing w:after="0" w:line="271" w:lineRule="auto"/>
        <w:rPr>
          <w:sz w:val="20"/>
          <w:szCs w:val="20"/>
          <w:color w:val="auto"/>
        </w:rPr>
      </w:pPr>
      <w:r>
        <w:rPr>
          <w:rFonts w:ascii="Arial" w:cs="Arial" w:eastAsia="Arial" w:hAnsi="Arial"/>
          <w:sz w:val="18"/>
          <w:szCs w:val="18"/>
          <w:color w:val="auto"/>
        </w:rPr>
        <w:t>In 2025, we provided the following compensation to our non-employee directors; cash retainers shown in the table below are paid in quarterly installments to 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p>
      <w:pPr>
        <w:spacing w:after="0" w:line="177" w:lineRule="exact"/>
        <w:rPr>
          <w:sz w:val="20"/>
          <w:szCs w:val="20"/>
          <w:color w:val="auto"/>
        </w:rPr>
      </w:pPr>
    </w:p>
    <w:p>
      <w:pPr>
        <w:ind w:left="100" w:right="700"/>
        <w:spacing w:after="0" w:line="314" w:lineRule="auto"/>
        <w:rPr>
          <w:sz w:val="20"/>
          <w:szCs w:val="20"/>
          <w:color w:val="auto"/>
        </w:rPr>
      </w:pPr>
      <w:r>
        <w:rPr>
          <w:rFonts w:ascii="Arial" w:cs="Arial" w:eastAsia="Arial" w:hAnsi="Arial"/>
          <w:sz w:val="14"/>
          <w:szCs w:val="14"/>
          <w:b w:val="1"/>
          <w:bCs w:val="1"/>
          <w:color w:val="FFFFFF"/>
        </w:rPr>
        <w:t>Board Retainer for Each Director</w:t>
      </w:r>
    </w:p>
    <w:p>
      <w:pPr>
        <w:spacing w:after="0" w:line="92" w:lineRule="exact"/>
        <w:rPr>
          <w:sz w:val="20"/>
          <w:szCs w:val="20"/>
          <w:color w:val="auto"/>
        </w:rPr>
      </w:pPr>
    </w:p>
    <w:p>
      <w:pPr>
        <w:ind w:left="100"/>
        <w:spacing w:after="0" w:line="273" w:lineRule="auto"/>
        <w:rPr>
          <w:sz w:val="20"/>
          <w:szCs w:val="20"/>
          <w:color w:val="auto"/>
        </w:rPr>
      </w:pPr>
      <w:r>
        <w:rPr>
          <w:rFonts w:ascii="Arial" w:cs="Arial" w:eastAsia="Arial" w:hAnsi="Arial"/>
          <w:sz w:val="14"/>
          <w:szCs w:val="14"/>
          <w:color w:val="auto"/>
        </w:rPr>
        <w:t>$105,000 payable quarterly in cash with the option to receive a portion in Company common stock.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20" w:type="dxa"/>
            <w:vAlign w:val="bottom"/>
          </w:tcPr>
          <w:p>
            <w:pPr>
              <w:ind w:left="400"/>
              <w:spacing w:after="0"/>
              <w:rPr>
                <w:sz w:val="20"/>
                <w:szCs w:val="20"/>
                <w:color w:val="auto"/>
              </w:rPr>
            </w:pPr>
            <w:r>
              <w:rPr>
                <w:rFonts w:ascii="Arial" w:cs="Arial" w:eastAsia="Arial" w:hAnsi="Arial"/>
                <w:sz w:val="14"/>
                <w:szCs w:val="14"/>
                <w:b w:val="1"/>
                <w:bCs w:val="1"/>
                <w:color w:val="FFFFFF"/>
              </w:rPr>
              <w:t>Equity Award for Each</w:t>
            </w:r>
          </w:p>
        </w:tc>
        <w:tc>
          <w:tcPr>
            <w:tcW w:w="0" w:type="dxa"/>
            <w:vAlign w:val="bottom"/>
          </w:tcPr>
          <w:p>
            <w:pPr>
              <w:spacing w:after="0"/>
              <w:rPr>
                <w:sz w:val="1"/>
                <w:szCs w:val="1"/>
                <w:color w:val="auto"/>
              </w:rPr>
            </w:pPr>
          </w:p>
        </w:tc>
      </w:tr>
      <w:tr>
        <w:trPr>
          <w:trHeight w:val="204"/>
        </w:trPr>
        <w:tc>
          <w:tcPr>
            <w:tcW w:w="4100" w:type="dxa"/>
            <w:vAlign w:val="bottom"/>
            <w:gridSpan w:val="2"/>
          </w:tcPr>
          <w:p>
            <w:pPr>
              <w:ind w:left="400"/>
              <w:spacing w:after="0"/>
              <w:rPr>
                <w:sz w:val="20"/>
                <w:szCs w:val="20"/>
                <w:color w:val="auto"/>
              </w:rPr>
            </w:pPr>
            <w:r>
              <w:rPr>
                <w:rFonts w:ascii="Arial" w:cs="Arial" w:eastAsia="Arial" w:hAnsi="Arial"/>
                <w:sz w:val="14"/>
                <w:szCs w:val="14"/>
                <w:b w:val="1"/>
                <w:bCs w:val="1"/>
                <w:color w:val="FFFFFF"/>
              </w:rPr>
              <w:t>Board Leadership Retainers</w:t>
            </w:r>
          </w:p>
        </w:tc>
        <w:tc>
          <w:tcPr>
            <w:tcW w:w="1540" w:type="dxa"/>
            <w:vAlign w:val="bottom"/>
          </w:tcPr>
          <w:p>
            <w:pPr>
              <w:spacing w:after="0"/>
              <w:rPr>
                <w:sz w:val="17"/>
                <w:szCs w:val="17"/>
                <w:color w:val="auto"/>
              </w:rPr>
            </w:pPr>
          </w:p>
        </w:tc>
        <w:tc>
          <w:tcPr>
            <w:tcW w:w="2820" w:type="dxa"/>
            <w:vAlign w:val="bottom"/>
          </w:tcPr>
          <w:p>
            <w:pPr>
              <w:ind w:left="400"/>
              <w:spacing w:after="0"/>
              <w:rPr>
                <w:sz w:val="20"/>
                <w:szCs w:val="20"/>
                <w:color w:val="auto"/>
              </w:rPr>
            </w:pPr>
            <w:r>
              <w:rPr>
                <w:rFonts w:ascii="Arial" w:cs="Arial" w:eastAsia="Arial" w:hAnsi="Arial"/>
                <w:sz w:val="14"/>
                <w:szCs w:val="14"/>
                <w:b w:val="1"/>
                <w:bCs w:val="1"/>
                <w:color w:val="FFFFFF"/>
              </w:rPr>
              <w:t>Director</w:t>
            </w:r>
          </w:p>
        </w:tc>
        <w:tc>
          <w:tcPr>
            <w:tcW w:w="0" w:type="dxa"/>
            <w:vAlign w:val="bottom"/>
          </w:tcPr>
          <w:p>
            <w:pPr>
              <w:spacing w:after="0"/>
              <w:rPr>
                <w:sz w:val="1"/>
                <w:szCs w:val="1"/>
                <w:color w:val="auto"/>
              </w:rPr>
            </w:pPr>
          </w:p>
        </w:tc>
      </w:tr>
      <w:tr>
        <w:trPr>
          <w:trHeight w:val="62"/>
        </w:trPr>
        <w:tc>
          <w:tcPr>
            <w:tcW w:w="580" w:type="dxa"/>
            <w:vAlign w:val="bottom"/>
            <w:shd w:val="clear" w:color="auto" w:fill="C60C35"/>
          </w:tcPr>
          <w:p>
            <w:pPr>
              <w:spacing w:after="0"/>
              <w:rPr>
                <w:sz w:val="5"/>
                <w:szCs w:val="5"/>
                <w:color w:val="auto"/>
              </w:rPr>
            </w:pPr>
          </w:p>
        </w:tc>
        <w:tc>
          <w:tcPr>
            <w:tcW w:w="3520" w:type="dxa"/>
            <w:vAlign w:val="bottom"/>
            <w:shd w:val="clear" w:color="auto" w:fill="C60C35"/>
          </w:tcPr>
          <w:p>
            <w:pPr>
              <w:spacing w:after="0"/>
              <w:rPr>
                <w:sz w:val="5"/>
                <w:szCs w:val="5"/>
                <w:color w:val="auto"/>
              </w:rPr>
            </w:pPr>
          </w:p>
        </w:tc>
        <w:tc>
          <w:tcPr>
            <w:tcW w:w="1540" w:type="dxa"/>
            <w:vAlign w:val="bottom"/>
            <w:shd w:val="clear" w:color="auto" w:fill="C60C35"/>
          </w:tcPr>
          <w:p>
            <w:pPr>
              <w:spacing w:after="0"/>
              <w:rPr>
                <w:sz w:val="5"/>
                <w:szCs w:val="5"/>
                <w:color w:val="auto"/>
              </w:rPr>
            </w:pPr>
          </w:p>
        </w:tc>
        <w:tc>
          <w:tcPr>
            <w:tcW w:w="2820" w:type="dxa"/>
            <w:vAlign w:val="bottom"/>
            <w:shd w:val="clear" w:color="auto" w:fill="C60C35"/>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Chair of the Board</w:t>
            </w:r>
          </w:p>
        </w:tc>
        <w:tc>
          <w:tcPr>
            <w:tcW w:w="1540" w:type="dxa"/>
            <w:vAlign w:val="bottom"/>
          </w:tcPr>
          <w:p>
            <w:pPr>
              <w:jc w:val="center"/>
              <w:ind w:left="148"/>
              <w:spacing w:after="0"/>
              <w:rPr>
                <w:sz w:val="20"/>
                <w:szCs w:val="20"/>
                <w:color w:val="auto"/>
              </w:rPr>
            </w:pPr>
            <w:r>
              <w:rPr>
                <w:rFonts w:ascii="Arial" w:cs="Arial" w:eastAsia="Arial" w:hAnsi="Arial"/>
                <w:sz w:val="14"/>
                <w:szCs w:val="14"/>
                <w:color w:val="auto"/>
              </w:rPr>
              <w:t>$ 150,000</w:t>
            </w:r>
          </w:p>
        </w:tc>
        <w:tc>
          <w:tcPr>
            <w:tcW w:w="2820" w:type="dxa"/>
            <w:vAlign w:val="bottom"/>
          </w:tcPr>
          <w:p>
            <w:pPr>
              <w:ind w:left="320"/>
              <w:spacing w:after="0"/>
              <w:rPr>
                <w:sz w:val="20"/>
                <w:szCs w:val="20"/>
                <w:color w:val="auto"/>
              </w:rPr>
            </w:pPr>
            <w:r>
              <w:rPr>
                <w:rFonts w:ascii="Arial" w:cs="Arial" w:eastAsia="Arial" w:hAnsi="Arial"/>
                <w:sz w:val="14"/>
                <w:szCs w:val="14"/>
                <w:color w:val="auto"/>
              </w:rPr>
              <w:t>$155,000 annual stock grant</w:t>
            </w:r>
          </w:p>
        </w:tc>
        <w:tc>
          <w:tcPr>
            <w:tcW w:w="0" w:type="dxa"/>
            <w:vAlign w:val="bottom"/>
          </w:tcPr>
          <w:p>
            <w:pPr>
              <w:spacing w:after="0"/>
              <w:rPr>
                <w:sz w:val="1"/>
                <w:szCs w:val="1"/>
                <w:color w:val="auto"/>
              </w:rPr>
            </w:pPr>
          </w:p>
        </w:tc>
      </w:tr>
      <w:tr>
        <w:trPr>
          <w:trHeight w:val="162"/>
        </w:trPr>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Audit Chair</w:t>
            </w:r>
          </w:p>
        </w:tc>
        <w:tc>
          <w:tcPr>
            <w:tcW w:w="1540" w:type="dxa"/>
            <w:vAlign w:val="bottom"/>
            <w:vMerge w:val="restart"/>
          </w:tcPr>
          <w:p>
            <w:pPr>
              <w:jc w:val="center"/>
              <w:ind w:left="148"/>
              <w:spacing w:after="0"/>
              <w:rPr>
                <w:sz w:val="20"/>
                <w:szCs w:val="20"/>
                <w:color w:val="auto"/>
              </w:rPr>
            </w:pPr>
            <w:r>
              <w:rPr>
                <w:rFonts w:ascii="Arial" w:cs="Arial" w:eastAsia="Arial" w:hAnsi="Arial"/>
                <w:sz w:val="14"/>
                <w:szCs w:val="14"/>
                <w:color w:val="auto"/>
              </w:rPr>
              <w:t>$ 25,000</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58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3520" w:type="dxa"/>
            <w:vAlign w:val="bottom"/>
            <w:vMerge w:val="restart"/>
          </w:tcPr>
          <w:p>
            <w:pPr>
              <w:ind w:left="140"/>
              <w:spacing w:after="0"/>
              <w:rPr>
                <w:sz w:val="20"/>
                <w:szCs w:val="20"/>
                <w:color w:val="auto"/>
              </w:rPr>
            </w:pPr>
            <w:r>
              <w:rPr>
                <w:rFonts w:ascii="Arial" w:cs="Arial" w:eastAsia="Arial" w:hAnsi="Arial"/>
                <w:sz w:val="14"/>
                <w:szCs w:val="14"/>
                <w:color w:val="auto"/>
              </w:rPr>
              <w:t>Compensation and Human Resources Chair</w:t>
            </w:r>
          </w:p>
        </w:tc>
        <w:tc>
          <w:tcPr>
            <w:tcW w:w="1540" w:type="dxa"/>
            <w:vAlign w:val="bottom"/>
            <w:vMerge w:val="continue"/>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580" w:type="dxa"/>
            <w:vAlign w:val="bottom"/>
            <w:vMerge w:val="continue"/>
          </w:tcPr>
          <w:p>
            <w:pPr>
              <w:spacing w:after="0"/>
              <w:rPr>
                <w:sz w:val="4"/>
                <w:szCs w:val="4"/>
                <w:color w:val="auto"/>
              </w:rPr>
            </w:pPr>
          </w:p>
        </w:tc>
        <w:tc>
          <w:tcPr>
            <w:tcW w:w="3520" w:type="dxa"/>
            <w:vAlign w:val="bottom"/>
            <w:vMerge w:val="continue"/>
          </w:tcPr>
          <w:p>
            <w:pPr>
              <w:spacing w:after="0"/>
              <w:rPr>
                <w:sz w:val="4"/>
                <w:szCs w:val="4"/>
                <w:color w:val="auto"/>
              </w:rPr>
            </w:pPr>
          </w:p>
        </w:tc>
        <w:tc>
          <w:tcPr>
            <w:tcW w:w="1540" w:type="dxa"/>
            <w:vAlign w:val="bottom"/>
            <w:vMerge w:val="restart"/>
          </w:tcPr>
          <w:p>
            <w:pPr>
              <w:jc w:val="center"/>
              <w:ind w:left="148"/>
              <w:spacing w:after="0"/>
              <w:rPr>
                <w:sz w:val="20"/>
                <w:szCs w:val="20"/>
                <w:color w:val="auto"/>
              </w:rPr>
            </w:pPr>
            <w:r>
              <w:rPr>
                <w:rFonts w:ascii="Arial" w:cs="Arial" w:eastAsia="Arial" w:hAnsi="Arial"/>
                <w:sz w:val="14"/>
                <w:szCs w:val="14"/>
                <w:color w:val="auto"/>
              </w:rPr>
              <w:t>$ 20,000</w:t>
            </w: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3520" w:type="dxa"/>
            <w:vAlign w:val="bottom"/>
          </w:tcPr>
          <w:p>
            <w:pPr>
              <w:ind w:left="140"/>
              <w:spacing w:after="0"/>
              <w:rPr>
                <w:sz w:val="20"/>
                <w:szCs w:val="20"/>
                <w:color w:val="auto"/>
              </w:rPr>
            </w:pPr>
            <w:r>
              <w:rPr>
                <w:rFonts w:ascii="Arial" w:cs="Arial" w:eastAsia="Arial" w:hAnsi="Arial"/>
                <w:sz w:val="14"/>
                <w:szCs w:val="14"/>
                <w:color w:val="auto"/>
              </w:rPr>
              <w:t>Board Governance Chair</w:t>
            </w:r>
          </w:p>
        </w:tc>
        <w:tc>
          <w:tcPr>
            <w:tcW w:w="1540" w:type="dxa"/>
            <w:vAlign w:val="bottom"/>
            <w:vMerge w:val="continue"/>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540" w:type="dxa"/>
            <w:vAlign w:val="bottom"/>
          </w:tcPr>
          <w:p>
            <w:pPr>
              <w:jc w:val="center"/>
              <w:ind w:left="148"/>
              <w:spacing w:after="0"/>
              <w:rPr>
                <w:sz w:val="20"/>
                <w:szCs w:val="20"/>
                <w:color w:val="auto"/>
              </w:rPr>
            </w:pPr>
            <w:r>
              <w:rPr>
                <w:rFonts w:ascii="Arial" w:cs="Arial" w:eastAsia="Arial" w:hAnsi="Arial"/>
                <w:sz w:val="14"/>
                <w:szCs w:val="14"/>
                <w:color w:val="auto"/>
              </w:rPr>
              <w:t>$ 20,000</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60" w:space="320"/>
            <w:col w:w="8460"/>
          </w:cols>
          <w:pgMar w:left="320" w:top="807" w:right="33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Equity Awards</w:t>
      </w:r>
    </w:p>
    <w:p>
      <w:pPr>
        <w:spacing w:after="0" w:line="121" w:lineRule="exact"/>
        <w:rPr>
          <w:sz w:val="20"/>
          <w:szCs w:val="20"/>
          <w:color w:val="auto"/>
        </w:rPr>
      </w:pPr>
    </w:p>
    <w:p>
      <w:pPr>
        <w:ind w:right="700" w:firstLine="324"/>
        <w:spacing w:after="0" w:line="253" w:lineRule="auto"/>
        <w:rPr>
          <w:sz w:val="20"/>
          <w:szCs w:val="20"/>
          <w:color w:val="auto"/>
        </w:rPr>
      </w:pPr>
      <w:r>
        <w:rPr>
          <w:rFonts w:ascii="Arial" w:cs="Arial" w:eastAsia="Arial" w:hAnsi="Arial"/>
          <w:sz w:val="18"/>
          <w:szCs w:val="18"/>
          <w:color w:val="auto"/>
        </w:rPr>
        <w:t>Non-employee directors receive 100% of their equity award in the form of common stock under the 2019 Equity and Incentive Compensation Plan. In 2025, each non-employee director continuing in service following the Annual Meeting received approximately $155,000 in common stock on the date of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Perquisites and Other Compensation</w:t>
      </w:r>
    </w:p>
    <w:p>
      <w:pPr>
        <w:spacing w:after="0" w:line="108" w:lineRule="exact"/>
        <w:rPr>
          <w:sz w:val="20"/>
          <w:szCs w:val="20"/>
          <w:color w:val="auto"/>
        </w:rPr>
      </w:pPr>
    </w:p>
    <w:p>
      <w:pPr>
        <w:jc w:val="both"/>
        <w:ind w:right="580" w:firstLine="324"/>
        <w:spacing w:after="0" w:line="253" w:lineRule="auto"/>
        <w:rPr>
          <w:sz w:val="20"/>
          <w:szCs w:val="20"/>
          <w:color w:val="auto"/>
        </w:rPr>
      </w:pPr>
      <w:r>
        <w:rPr>
          <w:rFonts w:ascii="Arial" w:cs="Arial" w:eastAsia="Arial" w:hAnsi="Arial"/>
          <w:sz w:val="18"/>
          <w:szCs w:val="18"/>
          <w:color w:val="auto"/>
        </w:rPr>
        <w:t>We allow our non-employee directors to participate in our employee rebate program, which provides rebates on eligible residential heating and air conditioning equipment, accessories, and supplies. We also reimburse all non-employee directors for their reasonable expenses incurred in connection with attendance at Board or Board committee meetings.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Stock Ownership Guidelines</w:t>
      </w:r>
    </w:p>
    <w:p>
      <w:pPr>
        <w:spacing w:after="0" w:line="108" w:lineRule="exact"/>
        <w:rPr>
          <w:sz w:val="20"/>
          <w:szCs w:val="20"/>
          <w:color w:val="auto"/>
        </w:rPr>
      </w:pPr>
    </w:p>
    <w:p>
      <w:pPr>
        <w:jc w:val="both"/>
        <w:ind w:right="60" w:firstLine="324"/>
        <w:spacing w:after="0" w:line="252" w:lineRule="auto"/>
        <w:rPr>
          <w:sz w:val="20"/>
          <w:szCs w:val="20"/>
          <w:color w:val="auto"/>
        </w:rPr>
      </w:pPr>
      <w:r>
        <w:rPr>
          <w:rFonts w:ascii="Arial" w:cs="Arial" w:eastAsia="Arial" w:hAnsi="Arial"/>
          <w:sz w:val="18"/>
          <w:szCs w:val="18"/>
          <w:color w:val="auto"/>
        </w:rPr>
        <w:t>Pursuant to our director stock ownership guidelines, each non-employee director is required to own shares of our common stock having a value of at least five times their annual retainer within five years after their first election to the Board. Directors must retain their shares until they have met their ownership requirement. Unvested restricted stock units (“RSUs”) and shares of common stock owned count towards this requirement.</w:t>
      </w:r>
    </w:p>
    <w:p>
      <w:pPr>
        <w:spacing w:after="0" w:line="11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As of December 31, 2025, all non-employee directors elected prior to 2024 were in compliance with these stock ownership guidelines. While Sivasankaran Somasundaram, Jon Vander Ark, and Tracy Embree do not yet meet the 5X ownership requirement, Messrs. Somasundaram and Vander Ark were elected to the Board in 2024 and have until 2029 to meet the ownership requirement, and Ms. Embree was elected to the Board in 2025 and has until 2030 to meet the ownership requirement.</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2"/>
          <w:szCs w:val="22"/>
          <w:b w:val="1"/>
          <w:bCs w:val="1"/>
          <w:color w:val="C60C35"/>
        </w:rPr>
        <w:t>2025 Director Compensation Table</w:t>
      </w:r>
    </w:p>
    <w:p>
      <w:pPr>
        <w:spacing w:after="0" w:line="10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The following table provides information regarding compensation earned in 2025 by each non-employee director who served as a non-employee director during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20" w:type="dxa"/>
            <w:vAlign w:val="bottom"/>
            <w:shd w:val="clear" w:color="auto" w:fill="C6093B"/>
          </w:tcPr>
          <w:p>
            <w:pPr>
              <w:spacing w:after="0"/>
              <w:rPr>
                <w:sz w:val="16"/>
                <w:szCs w:val="16"/>
                <w:color w:val="auto"/>
              </w:rPr>
            </w:pPr>
          </w:p>
        </w:tc>
        <w:tc>
          <w:tcPr>
            <w:tcW w:w="3820" w:type="dxa"/>
            <w:vAlign w:val="bottom"/>
            <w:shd w:val="clear" w:color="auto" w:fill="C6093B"/>
          </w:tcPr>
          <w:p>
            <w:pPr>
              <w:jc w:val="right"/>
              <w:ind w:right="708"/>
              <w:spacing w:after="0"/>
              <w:rPr>
                <w:sz w:val="20"/>
                <w:szCs w:val="20"/>
                <w:color w:val="auto"/>
              </w:rPr>
            </w:pPr>
            <w:r>
              <w:rPr>
                <w:rFonts w:ascii="Arial" w:cs="Arial" w:eastAsia="Arial" w:hAnsi="Arial"/>
                <w:sz w:val="14"/>
                <w:szCs w:val="14"/>
                <w:b w:val="1"/>
                <w:bCs w:val="1"/>
                <w:color w:val="FFFFFF"/>
              </w:rPr>
              <w:t>Fees Earned or</w:t>
            </w:r>
          </w:p>
        </w:tc>
        <w:tc>
          <w:tcPr>
            <w:tcW w:w="2040" w:type="dxa"/>
            <w:vAlign w:val="bottom"/>
            <w:shd w:val="clear" w:color="auto" w:fill="C6093B"/>
          </w:tcPr>
          <w:p>
            <w:pPr>
              <w:jc w:val="right"/>
              <w:ind w:right="628"/>
              <w:spacing w:after="0"/>
              <w:rPr>
                <w:sz w:val="20"/>
                <w:szCs w:val="20"/>
                <w:color w:val="auto"/>
              </w:rPr>
            </w:pPr>
            <w:r>
              <w:rPr>
                <w:rFonts w:ascii="Arial" w:cs="Arial" w:eastAsia="Arial" w:hAnsi="Arial"/>
                <w:sz w:val="14"/>
                <w:szCs w:val="14"/>
                <w:b w:val="1"/>
                <w:bCs w:val="1"/>
                <w:color w:val="FFFFFF"/>
              </w:rPr>
              <w:t>Stock</w:t>
            </w:r>
          </w:p>
        </w:tc>
        <w:tc>
          <w:tcPr>
            <w:tcW w:w="1360" w:type="dxa"/>
            <w:vAlign w:val="bottom"/>
            <w:vMerge w:val="restart"/>
            <w:shd w:val="clear" w:color="auto" w:fill="C6093B"/>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2"/>
        </w:trPr>
        <w:tc>
          <w:tcPr>
            <w:tcW w:w="4020" w:type="dxa"/>
            <w:vAlign w:val="bottom"/>
            <w:shd w:val="clear" w:color="auto" w:fill="C6093B"/>
          </w:tcPr>
          <w:p>
            <w:pPr>
              <w:spacing w:after="0"/>
              <w:rPr>
                <w:sz w:val="14"/>
                <w:szCs w:val="14"/>
                <w:color w:val="auto"/>
              </w:rPr>
            </w:pPr>
          </w:p>
        </w:tc>
        <w:tc>
          <w:tcPr>
            <w:tcW w:w="3820" w:type="dxa"/>
            <w:vAlign w:val="bottom"/>
            <w:shd w:val="clear" w:color="auto" w:fill="C6093B"/>
          </w:tcPr>
          <w:p>
            <w:pPr>
              <w:jc w:val="right"/>
              <w:ind w:right="708"/>
              <w:spacing w:after="0"/>
              <w:rPr>
                <w:sz w:val="20"/>
                <w:szCs w:val="20"/>
                <w:color w:val="auto"/>
              </w:rPr>
            </w:pPr>
            <w:r>
              <w:rPr>
                <w:rFonts w:ascii="Arial" w:cs="Arial" w:eastAsia="Arial" w:hAnsi="Arial"/>
                <w:sz w:val="14"/>
                <w:szCs w:val="14"/>
                <w:b w:val="1"/>
                <w:bCs w:val="1"/>
                <w:color w:val="FFFFFF"/>
              </w:rPr>
              <w:t>Paid in Cash</w:t>
            </w:r>
          </w:p>
        </w:tc>
        <w:tc>
          <w:tcPr>
            <w:tcW w:w="2040" w:type="dxa"/>
            <w:vAlign w:val="bottom"/>
            <w:shd w:val="clear" w:color="auto" w:fill="C6093B"/>
          </w:tcPr>
          <w:p>
            <w:pPr>
              <w:jc w:val="right"/>
              <w:ind w:right="628"/>
              <w:spacing w:after="0"/>
              <w:rPr>
                <w:sz w:val="20"/>
                <w:szCs w:val="20"/>
                <w:color w:val="auto"/>
              </w:rPr>
            </w:pPr>
            <w:r>
              <w:rPr>
                <w:rFonts w:ascii="Arial" w:cs="Arial" w:eastAsia="Arial" w:hAnsi="Arial"/>
                <w:sz w:val="14"/>
                <w:szCs w:val="14"/>
                <w:b w:val="1"/>
                <w:bCs w:val="1"/>
                <w:color w:val="FFFFFF"/>
              </w:rPr>
              <w:t>Awards</w:t>
            </w:r>
          </w:p>
        </w:tc>
        <w:tc>
          <w:tcPr>
            <w:tcW w:w="1360" w:type="dxa"/>
            <w:vAlign w:val="bottom"/>
            <w:vMerge w:val="continue"/>
            <w:shd w:val="clear" w:color="auto" w:fill="C6093B"/>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4020" w:type="dxa"/>
            <w:vAlign w:val="bottom"/>
            <w:tcBorders>
              <w:bottom w:val="single" w:sz="8" w:color="C60C35"/>
            </w:tcBorders>
            <w:shd w:val="clear" w:color="auto" w:fill="C6093B"/>
          </w:tcPr>
          <w:p>
            <w:pPr>
              <w:ind w:left="100"/>
              <w:spacing w:after="0"/>
              <w:rPr>
                <w:sz w:val="20"/>
                <w:szCs w:val="20"/>
                <w:color w:val="auto"/>
              </w:rPr>
            </w:pPr>
            <w:r>
              <w:rPr>
                <w:rFonts w:ascii="Arial" w:cs="Arial" w:eastAsia="Arial" w:hAnsi="Arial"/>
                <w:sz w:val="14"/>
                <w:szCs w:val="14"/>
                <w:b w:val="1"/>
                <w:bCs w:val="1"/>
                <w:color w:val="FFFFFF"/>
              </w:rPr>
              <w:t> Name</w:t>
            </w:r>
          </w:p>
        </w:tc>
        <w:tc>
          <w:tcPr>
            <w:tcW w:w="3820" w:type="dxa"/>
            <w:vAlign w:val="bottom"/>
            <w:tcBorders>
              <w:bottom w:val="single" w:sz="8" w:color="C60C35"/>
            </w:tcBorders>
            <w:shd w:val="clear" w:color="auto" w:fill="C6093B"/>
          </w:tcPr>
          <w:p>
            <w:pPr>
              <w:jc w:val="right"/>
              <w:ind w:right="70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c>
          <w:tcPr>
            <w:tcW w:w="2040" w:type="dxa"/>
            <w:vAlign w:val="bottom"/>
            <w:tcBorders>
              <w:bottom w:val="single" w:sz="8" w:color="C60C35"/>
            </w:tcBorders>
            <w:shd w:val="clear" w:color="auto" w:fill="C6093B"/>
          </w:tcPr>
          <w:p>
            <w:pPr>
              <w:jc w:val="right"/>
              <w:ind w:right="62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(2)</w:t>
            </w:r>
          </w:p>
        </w:tc>
        <w:tc>
          <w:tcPr>
            <w:tcW w:w="1360" w:type="dxa"/>
            <w:vAlign w:val="bottom"/>
            <w:tcBorders>
              <w:bottom w:val="single" w:sz="8" w:color="C60C35"/>
            </w:tcBorders>
            <w:shd w:val="clear" w:color="auto" w:fill="C6093B"/>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F2F2F2"/>
            </w:tcBorders>
            <w:shd w:val="clear" w:color="auto" w:fill="F2F2F2"/>
          </w:tcPr>
          <w:p>
            <w:pPr>
              <w:ind w:left="100"/>
              <w:spacing w:after="0"/>
              <w:rPr>
                <w:sz w:val="20"/>
                <w:szCs w:val="20"/>
                <w:color w:val="auto"/>
              </w:rPr>
            </w:pPr>
            <w:r>
              <w:rPr>
                <w:rFonts w:ascii="Arial" w:cs="Arial" w:eastAsia="Arial" w:hAnsi="Arial"/>
                <w:sz w:val="14"/>
                <w:szCs w:val="14"/>
                <w:color w:val="auto"/>
              </w:rPr>
              <w:t>Sherry L. Buck</w:t>
            </w:r>
          </w:p>
        </w:tc>
        <w:tc>
          <w:tcPr>
            <w:tcW w:w="3820" w:type="dxa"/>
            <w:vAlign w:val="bottom"/>
            <w:tcBorders>
              <w:bottom w:val="single" w:sz="8" w:color="F2F2F2"/>
            </w:tcBorders>
            <w:shd w:val="clear" w:color="auto" w:fill="F2F2F2"/>
          </w:tcPr>
          <w:p>
            <w:pPr>
              <w:jc w:val="right"/>
              <w:ind w:right="768"/>
              <w:spacing w:after="0"/>
              <w:rPr>
                <w:sz w:val="20"/>
                <w:szCs w:val="20"/>
                <w:color w:val="auto"/>
              </w:rPr>
            </w:pPr>
            <w:r>
              <w:rPr>
                <w:rFonts w:ascii="Arial" w:cs="Arial" w:eastAsia="Arial" w:hAnsi="Arial"/>
                <w:sz w:val="14"/>
                <w:szCs w:val="14"/>
                <w:color w:val="auto"/>
              </w:rPr>
              <w:t>123,750</w:t>
            </w:r>
          </w:p>
        </w:tc>
        <w:tc>
          <w:tcPr>
            <w:tcW w:w="2040" w:type="dxa"/>
            <w:vAlign w:val="bottom"/>
            <w:tcBorders>
              <w:bottom w:val="single" w:sz="8" w:color="F2F2F2"/>
            </w:tcBorders>
            <w:shd w:val="clear" w:color="auto" w:fill="F2F2F2"/>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Borders>
              <w:bottom w:val="single" w:sz="8" w:color="F2F2F2"/>
            </w:tcBorders>
            <w:shd w:val="clear" w:color="auto" w:fill="F2F2F2"/>
          </w:tcPr>
          <w:p>
            <w:pPr>
              <w:jc w:val="right"/>
              <w:ind w:right="88"/>
              <w:spacing w:after="0"/>
              <w:rPr>
                <w:sz w:val="20"/>
                <w:szCs w:val="20"/>
                <w:color w:val="auto"/>
              </w:rPr>
            </w:pPr>
            <w:r>
              <w:rPr>
                <w:rFonts w:ascii="Arial" w:cs="Arial" w:eastAsia="Arial" w:hAnsi="Arial"/>
                <w:sz w:val="14"/>
                <w:szCs w:val="14"/>
                <w:color w:val="auto"/>
              </w:rPr>
              <w:t>278,892</w:t>
            </w:r>
          </w:p>
        </w:tc>
        <w:tc>
          <w:tcPr>
            <w:tcW w:w="0" w:type="dxa"/>
            <w:vAlign w:val="bottom"/>
          </w:tcPr>
          <w:p>
            <w:pPr>
              <w:spacing w:after="0"/>
              <w:rPr>
                <w:sz w:val="1"/>
                <w:szCs w:val="1"/>
                <w:color w:val="auto"/>
              </w:rPr>
            </w:pPr>
          </w:p>
        </w:tc>
      </w:tr>
      <w:tr>
        <w:trPr>
          <w:trHeight w:val="208"/>
        </w:trPr>
        <w:tc>
          <w:tcPr>
            <w:tcW w:w="4020" w:type="dxa"/>
            <w:vAlign w:val="bottom"/>
          </w:tcPr>
          <w:p>
            <w:pPr>
              <w:ind w:left="100"/>
              <w:spacing w:after="0"/>
              <w:rPr>
                <w:sz w:val="20"/>
                <w:szCs w:val="20"/>
                <w:color w:val="auto"/>
              </w:rPr>
            </w:pPr>
            <w:r>
              <w:rPr>
                <w:rFonts w:ascii="Arial" w:cs="Arial" w:eastAsia="Arial" w:hAnsi="Arial"/>
                <w:sz w:val="14"/>
                <w:szCs w:val="14"/>
                <w:color w:val="auto"/>
              </w:rPr>
              <w:t>Janet K. Cooper</w:t>
            </w:r>
          </w:p>
        </w:tc>
        <w:tc>
          <w:tcPr>
            <w:tcW w:w="3820" w:type="dxa"/>
            <w:vAlign w:val="bottom"/>
          </w:tcPr>
          <w:p>
            <w:pPr>
              <w:jc w:val="right"/>
              <w:ind w:right="768"/>
              <w:spacing w:after="0"/>
              <w:rPr>
                <w:sz w:val="20"/>
                <w:szCs w:val="20"/>
                <w:color w:val="auto"/>
              </w:rPr>
            </w:pPr>
            <w:r>
              <w:rPr>
                <w:rFonts w:ascii="Arial" w:cs="Arial" w:eastAsia="Arial" w:hAnsi="Arial"/>
                <w:sz w:val="14"/>
                <w:szCs w:val="14"/>
                <w:color w:val="auto"/>
              </w:rPr>
              <w:t>57,500</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230,597</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288,097</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Tracy A. Embree</w:t>
            </w:r>
          </w:p>
        </w:tc>
        <w:tc>
          <w:tcPr>
            <w:tcW w:w="3820" w:type="dxa"/>
            <w:vAlign w:val="bottom"/>
            <w:tcBorders>
              <w:bottom w:val="single" w:sz="8" w:color="F3F3F3"/>
            </w:tcBorders>
            <w:shd w:val="clear" w:color="auto" w:fill="F3F3F3"/>
          </w:tcPr>
          <w:p>
            <w:pPr>
              <w:jc w:val="right"/>
              <w:ind w:right="768"/>
              <w:spacing w:after="0"/>
              <w:rPr>
                <w:sz w:val="20"/>
                <w:szCs w:val="20"/>
                <w:color w:val="auto"/>
              </w:rPr>
            </w:pPr>
            <w:r>
              <w:rPr>
                <w:rFonts w:ascii="Arial" w:cs="Arial" w:eastAsia="Arial" w:hAnsi="Arial"/>
                <w:sz w:val="14"/>
                <w:szCs w:val="14"/>
                <w:color w:val="auto"/>
              </w:rPr>
              <w:t>78,750</w:t>
            </w:r>
          </w:p>
        </w:tc>
        <w:tc>
          <w:tcPr>
            <w:tcW w:w="2040" w:type="dxa"/>
            <w:vAlign w:val="bottom"/>
            <w:tcBorders>
              <w:bottom w:val="single" w:sz="8" w:color="F3F3F3"/>
            </w:tcBorders>
            <w:shd w:val="clear" w:color="auto" w:fill="F3F3F3"/>
          </w:tcPr>
          <w:p>
            <w:pPr>
              <w:jc w:val="right"/>
              <w:ind w:right="6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F3F3F3"/>
            </w:tcBorders>
            <w:shd w:val="clear" w:color="auto" w:fill="F3F3F3"/>
          </w:tcPr>
          <w:p>
            <w:pPr>
              <w:jc w:val="right"/>
              <w:ind w:right="88"/>
              <w:spacing w:after="0"/>
              <w:rPr>
                <w:sz w:val="20"/>
                <w:szCs w:val="20"/>
                <w:color w:val="auto"/>
              </w:rPr>
            </w:pPr>
            <w:r>
              <w:rPr>
                <w:rFonts w:ascii="Arial" w:cs="Arial" w:eastAsia="Arial" w:hAnsi="Arial"/>
                <w:sz w:val="14"/>
                <w:szCs w:val="14"/>
                <w:color w:val="auto"/>
              </w:rPr>
              <w:t>78,750</w:t>
            </w:r>
          </w:p>
        </w:tc>
        <w:tc>
          <w:tcPr>
            <w:tcW w:w="0" w:type="dxa"/>
            <w:vAlign w:val="bottom"/>
          </w:tcPr>
          <w:p>
            <w:pPr>
              <w:spacing w:after="0"/>
              <w:rPr>
                <w:sz w:val="1"/>
                <w:szCs w:val="1"/>
                <w:color w:val="auto"/>
              </w:rPr>
            </w:pPr>
          </w:p>
        </w:tc>
      </w:tr>
      <w:tr>
        <w:trPr>
          <w:trHeight w:val="208"/>
        </w:trPr>
        <w:tc>
          <w:tcPr>
            <w:tcW w:w="4020" w:type="dxa"/>
            <w:vAlign w:val="bottom"/>
          </w:tcPr>
          <w:p>
            <w:pPr>
              <w:ind w:left="100"/>
              <w:spacing w:after="0"/>
              <w:rPr>
                <w:sz w:val="20"/>
                <w:szCs w:val="20"/>
                <w:color w:val="auto"/>
              </w:rPr>
            </w:pPr>
            <w:r>
              <w:rPr>
                <w:rFonts w:ascii="Arial" w:cs="Arial" w:eastAsia="Arial" w:hAnsi="Arial"/>
                <w:sz w:val="14"/>
                <w:szCs w:val="14"/>
                <w:color w:val="auto"/>
              </w:rPr>
              <w:t>John W. Norris, III</w:t>
            </w:r>
          </w:p>
        </w:tc>
        <w:tc>
          <w:tcPr>
            <w:tcW w:w="3820" w:type="dxa"/>
            <w:vAlign w:val="bottom"/>
          </w:tcPr>
          <w:p>
            <w:pPr>
              <w:jc w:val="right"/>
              <w:ind w:right="768"/>
              <w:spacing w:after="0"/>
              <w:rPr>
                <w:sz w:val="20"/>
                <w:szCs w:val="20"/>
                <w:color w:val="auto"/>
              </w:rPr>
            </w:pPr>
            <w:r>
              <w:rPr>
                <w:rFonts w:ascii="Arial" w:cs="Arial" w:eastAsia="Arial" w:hAnsi="Arial"/>
                <w:sz w:val="14"/>
                <w:szCs w:val="14"/>
                <w:color w:val="auto"/>
              </w:rPr>
              <w:t>105,000</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260,142</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Karen H. Quintos</w:t>
            </w:r>
          </w:p>
        </w:tc>
        <w:tc>
          <w:tcPr>
            <w:tcW w:w="3820" w:type="dxa"/>
            <w:vAlign w:val="bottom"/>
            <w:tcBorders>
              <w:bottom w:val="single" w:sz="8" w:color="F3F3F3"/>
            </w:tcBorders>
            <w:shd w:val="clear" w:color="auto" w:fill="F3F3F3"/>
          </w:tcPr>
          <w:p>
            <w:pPr>
              <w:jc w:val="right"/>
              <w:ind w:right="768"/>
              <w:spacing w:after="0"/>
              <w:rPr>
                <w:sz w:val="20"/>
                <w:szCs w:val="20"/>
                <w:color w:val="auto"/>
              </w:rPr>
            </w:pPr>
            <w:r>
              <w:rPr>
                <w:rFonts w:ascii="Arial" w:cs="Arial" w:eastAsia="Arial" w:hAnsi="Arial"/>
                <w:sz w:val="14"/>
                <w:szCs w:val="14"/>
                <w:color w:val="auto"/>
              </w:rPr>
              <w:t>120,000</w:t>
            </w:r>
          </w:p>
        </w:tc>
        <w:tc>
          <w:tcPr>
            <w:tcW w:w="2040" w:type="dxa"/>
            <w:vAlign w:val="bottom"/>
            <w:tcBorders>
              <w:bottom w:val="single" w:sz="8" w:color="F3F3F3"/>
            </w:tcBorders>
            <w:shd w:val="clear" w:color="auto" w:fill="F3F3F3"/>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Borders>
              <w:bottom w:val="single" w:sz="8" w:color="F3F3F3"/>
            </w:tcBorders>
            <w:shd w:val="clear" w:color="auto" w:fill="F3F3F3"/>
          </w:tcPr>
          <w:p>
            <w:pPr>
              <w:jc w:val="right"/>
              <w:ind w:right="88"/>
              <w:spacing w:after="0"/>
              <w:rPr>
                <w:sz w:val="20"/>
                <w:szCs w:val="20"/>
                <w:color w:val="auto"/>
              </w:rPr>
            </w:pPr>
            <w:r>
              <w:rPr>
                <w:rFonts w:ascii="Arial" w:cs="Arial" w:eastAsia="Arial" w:hAnsi="Arial"/>
                <w:sz w:val="14"/>
                <w:szCs w:val="14"/>
                <w:color w:val="auto"/>
              </w:rPr>
              <w:t>275,142</w:t>
            </w:r>
          </w:p>
        </w:tc>
        <w:tc>
          <w:tcPr>
            <w:tcW w:w="0" w:type="dxa"/>
            <w:vAlign w:val="bottom"/>
          </w:tcPr>
          <w:p>
            <w:pPr>
              <w:spacing w:after="0"/>
              <w:rPr>
                <w:sz w:val="1"/>
                <w:szCs w:val="1"/>
                <w:color w:val="auto"/>
              </w:rPr>
            </w:pPr>
          </w:p>
        </w:tc>
      </w:tr>
      <w:tr>
        <w:trPr>
          <w:trHeight w:val="208"/>
        </w:trPr>
        <w:tc>
          <w:tcPr>
            <w:tcW w:w="4020" w:type="dxa"/>
            <w:vAlign w:val="bottom"/>
          </w:tcPr>
          <w:p>
            <w:pPr>
              <w:ind w:left="100"/>
              <w:spacing w:after="0"/>
              <w:rPr>
                <w:sz w:val="20"/>
                <w:szCs w:val="20"/>
                <w:color w:val="auto"/>
              </w:rPr>
            </w:pPr>
            <w:r>
              <w:rPr>
                <w:rFonts w:ascii="Arial" w:cs="Arial" w:eastAsia="Arial" w:hAnsi="Arial"/>
                <w:sz w:val="14"/>
                <w:szCs w:val="14"/>
                <w:color w:val="auto"/>
              </w:rPr>
              <w:t>Sivasankaran Somasundaram</w:t>
            </w:r>
          </w:p>
        </w:tc>
        <w:tc>
          <w:tcPr>
            <w:tcW w:w="3820" w:type="dxa"/>
            <w:vAlign w:val="bottom"/>
          </w:tcPr>
          <w:p>
            <w:pPr>
              <w:jc w:val="right"/>
              <w:ind w:right="768"/>
              <w:spacing w:after="0"/>
              <w:rPr>
                <w:sz w:val="20"/>
                <w:szCs w:val="20"/>
                <w:color w:val="auto"/>
              </w:rPr>
            </w:pPr>
            <w:r>
              <w:rPr>
                <w:rFonts w:ascii="Arial" w:cs="Arial" w:eastAsia="Arial" w:hAnsi="Arial"/>
                <w:sz w:val="14"/>
                <w:szCs w:val="14"/>
                <w:color w:val="auto"/>
              </w:rPr>
              <w:t>105,000</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260,142</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Gregory T. Swienton</w:t>
            </w:r>
          </w:p>
        </w:tc>
        <w:tc>
          <w:tcPr>
            <w:tcW w:w="3820" w:type="dxa"/>
            <w:vAlign w:val="bottom"/>
            <w:tcBorders>
              <w:bottom w:val="single" w:sz="8" w:color="F3F3F3"/>
            </w:tcBorders>
            <w:shd w:val="clear" w:color="auto" w:fill="F3F3F3"/>
          </w:tcPr>
          <w:p>
            <w:pPr>
              <w:jc w:val="right"/>
              <w:ind w:right="768"/>
              <w:spacing w:after="0"/>
              <w:rPr>
                <w:sz w:val="20"/>
                <w:szCs w:val="20"/>
                <w:color w:val="auto"/>
              </w:rPr>
            </w:pPr>
            <w:r>
              <w:rPr>
                <w:rFonts w:ascii="Arial" w:cs="Arial" w:eastAsia="Arial" w:hAnsi="Arial"/>
                <w:sz w:val="14"/>
                <w:szCs w:val="14"/>
                <w:color w:val="auto"/>
              </w:rPr>
              <w:t>58,750</w:t>
            </w:r>
          </w:p>
        </w:tc>
        <w:tc>
          <w:tcPr>
            <w:tcW w:w="2040" w:type="dxa"/>
            <w:vAlign w:val="bottom"/>
            <w:tcBorders>
              <w:bottom w:val="single" w:sz="8" w:color="F3F3F3"/>
            </w:tcBorders>
            <w:shd w:val="clear" w:color="auto" w:fill="F3F3F3"/>
          </w:tcPr>
          <w:p>
            <w:pPr>
              <w:jc w:val="right"/>
              <w:ind w:right="668"/>
              <w:spacing w:after="0"/>
              <w:rPr>
                <w:sz w:val="20"/>
                <w:szCs w:val="20"/>
                <w:color w:val="auto"/>
              </w:rPr>
            </w:pPr>
            <w:r>
              <w:rPr>
                <w:rFonts w:ascii="Arial" w:cs="Arial" w:eastAsia="Arial" w:hAnsi="Arial"/>
                <w:sz w:val="14"/>
                <w:szCs w:val="14"/>
                <w:color w:val="auto"/>
              </w:rPr>
              <w:t>230,597</w:t>
            </w:r>
          </w:p>
        </w:tc>
        <w:tc>
          <w:tcPr>
            <w:tcW w:w="1360" w:type="dxa"/>
            <w:vAlign w:val="bottom"/>
            <w:tcBorders>
              <w:bottom w:val="single" w:sz="8" w:color="F3F3F3"/>
            </w:tcBorders>
            <w:shd w:val="clear" w:color="auto" w:fill="F3F3F3"/>
          </w:tcPr>
          <w:p>
            <w:pPr>
              <w:jc w:val="right"/>
              <w:ind w:right="88"/>
              <w:spacing w:after="0"/>
              <w:rPr>
                <w:sz w:val="20"/>
                <w:szCs w:val="20"/>
                <w:color w:val="auto"/>
              </w:rPr>
            </w:pPr>
            <w:r>
              <w:rPr>
                <w:rFonts w:ascii="Arial" w:cs="Arial" w:eastAsia="Arial" w:hAnsi="Arial"/>
                <w:sz w:val="14"/>
                <w:szCs w:val="14"/>
                <w:color w:val="auto"/>
              </w:rPr>
              <w:t>289,347</w:t>
            </w:r>
          </w:p>
        </w:tc>
        <w:tc>
          <w:tcPr>
            <w:tcW w:w="0" w:type="dxa"/>
            <w:vAlign w:val="bottom"/>
          </w:tcPr>
          <w:p>
            <w:pPr>
              <w:spacing w:after="0"/>
              <w:rPr>
                <w:sz w:val="1"/>
                <w:szCs w:val="1"/>
                <w:color w:val="auto"/>
              </w:rPr>
            </w:pPr>
          </w:p>
        </w:tc>
      </w:tr>
      <w:tr>
        <w:trPr>
          <w:trHeight w:val="208"/>
        </w:trPr>
        <w:tc>
          <w:tcPr>
            <w:tcW w:w="4020" w:type="dxa"/>
            <w:vAlign w:val="bottom"/>
          </w:tcPr>
          <w:p>
            <w:pPr>
              <w:ind w:left="100"/>
              <w:spacing w:after="0"/>
              <w:rPr>
                <w:sz w:val="20"/>
                <w:szCs w:val="20"/>
                <w:color w:val="auto"/>
              </w:rPr>
            </w:pPr>
            <w:r>
              <w:rPr>
                <w:rFonts w:ascii="Arial" w:cs="Arial" w:eastAsia="Arial" w:hAnsi="Arial"/>
                <w:sz w:val="14"/>
                <w:szCs w:val="14"/>
                <w:color w:val="auto"/>
              </w:rPr>
              <w:t>Todd J. Teske</w:t>
            </w:r>
          </w:p>
        </w:tc>
        <w:tc>
          <w:tcPr>
            <w:tcW w:w="3820" w:type="dxa"/>
            <w:vAlign w:val="bottom"/>
          </w:tcPr>
          <w:p>
            <w:pPr>
              <w:jc w:val="right"/>
              <w:ind w:right="768"/>
              <w:spacing w:after="0"/>
              <w:rPr>
                <w:sz w:val="20"/>
                <w:szCs w:val="20"/>
                <w:color w:val="auto"/>
              </w:rPr>
            </w:pPr>
            <w:r>
              <w:rPr>
                <w:rFonts w:ascii="Arial" w:cs="Arial" w:eastAsia="Arial" w:hAnsi="Arial"/>
                <w:sz w:val="14"/>
                <w:szCs w:val="14"/>
                <w:color w:val="auto"/>
              </w:rPr>
              <w:t>255,000</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410,142</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2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Jon Vander Ark</w:t>
            </w:r>
          </w:p>
        </w:tc>
        <w:tc>
          <w:tcPr>
            <w:tcW w:w="3820" w:type="dxa"/>
            <w:vAlign w:val="bottom"/>
            <w:tcBorders>
              <w:bottom w:val="single" w:sz="8" w:color="F3F3F3"/>
            </w:tcBorders>
            <w:shd w:val="clear" w:color="auto" w:fill="F3F3F3"/>
          </w:tcPr>
          <w:p>
            <w:pPr>
              <w:jc w:val="right"/>
              <w:ind w:right="768"/>
              <w:spacing w:after="0"/>
              <w:rPr>
                <w:sz w:val="20"/>
                <w:szCs w:val="20"/>
                <w:color w:val="auto"/>
              </w:rPr>
            </w:pPr>
            <w:r>
              <w:rPr>
                <w:rFonts w:ascii="Arial" w:cs="Arial" w:eastAsia="Arial" w:hAnsi="Arial"/>
                <w:sz w:val="14"/>
                <w:szCs w:val="14"/>
                <w:color w:val="auto"/>
              </w:rPr>
              <w:t>105,000</w:t>
            </w:r>
          </w:p>
        </w:tc>
        <w:tc>
          <w:tcPr>
            <w:tcW w:w="2040" w:type="dxa"/>
            <w:vAlign w:val="bottom"/>
            <w:tcBorders>
              <w:bottom w:val="single" w:sz="8" w:color="F3F3F3"/>
            </w:tcBorders>
            <w:shd w:val="clear" w:color="auto" w:fill="F3F3F3"/>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Borders>
              <w:bottom w:val="single" w:sz="8" w:color="F3F3F3"/>
            </w:tcBorders>
            <w:shd w:val="clear" w:color="auto" w:fill="F3F3F3"/>
          </w:tcPr>
          <w:p>
            <w:pPr>
              <w:jc w:val="right"/>
              <w:ind w:right="88"/>
              <w:spacing w:after="0"/>
              <w:rPr>
                <w:sz w:val="20"/>
                <w:szCs w:val="20"/>
                <w:color w:val="auto"/>
              </w:rPr>
            </w:pPr>
            <w:r>
              <w:rPr>
                <w:rFonts w:ascii="Arial" w:cs="Arial" w:eastAsia="Arial" w:hAnsi="Arial"/>
                <w:sz w:val="14"/>
                <w:szCs w:val="14"/>
                <w:color w:val="auto"/>
              </w:rPr>
              <w:t>260,142</w:t>
            </w:r>
          </w:p>
        </w:tc>
        <w:tc>
          <w:tcPr>
            <w:tcW w:w="0" w:type="dxa"/>
            <w:vAlign w:val="bottom"/>
          </w:tcPr>
          <w:p>
            <w:pPr>
              <w:spacing w:after="0"/>
              <w:rPr>
                <w:sz w:val="1"/>
                <w:szCs w:val="1"/>
                <w:color w:val="auto"/>
              </w:rPr>
            </w:pPr>
          </w:p>
        </w:tc>
      </w:tr>
      <w:tr>
        <w:trPr>
          <w:trHeight w:val="208"/>
        </w:trPr>
        <w:tc>
          <w:tcPr>
            <w:tcW w:w="4020" w:type="dxa"/>
            <w:vAlign w:val="bottom"/>
          </w:tcPr>
          <w:p>
            <w:pPr>
              <w:ind w:left="100"/>
              <w:spacing w:after="0"/>
              <w:rPr>
                <w:sz w:val="20"/>
                <w:szCs w:val="20"/>
                <w:color w:val="auto"/>
              </w:rPr>
            </w:pPr>
            <w:r>
              <w:rPr>
                <w:rFonts w:ascii="Arial" w:cs="Arial" w:eastAsia="Arial" w:hAnsi="Arial"/>
                <w:sz w:val="14"/>
                <w:szCs w:val="14"/>
                <w:color w:val="auto"/>
              </w:rPr>
              <w:t>Shane D. Wall</w:t>
            </w:r>
          </w:p>
        </w:tc>
        <w:tc>
          <w:tcPr>
            <w:tcW w:w="3820" w:type="dxa"/>
            <w:vAlign w:val="bottom"/>
          </w:tcPr>
          <w:p>
            <w:pPr>
              <w:jc w:val="right"/>
              <w:ind w:right="768"/>
              <w:spacing w:after="0"/>
              <w:rPr>
                <w:sz w:val="20"/>
                <w:szCs w:val="20"/>
                <w:color w:val="auto"/>
              </w:rPr>
            </w:pPr>
            <w:r>
              <w:rPr>
                <w:rFonts w:ascii="Arial" w:cs="Arial" w:eastAsia="Arial" w:hAnsi="Arial"/>
                <w:sz w:val="14"/>
                <w:szCs w:val="14"/>
                <w:color w:val="auto"/>
              </w:rPr>
              <w:t>125,000</w:t>
            </w:r>
          </w:p>
        </w:tc>
        <w:tc>
          <w:tcPr>
            <w:tcW w:w="2040" w:type="dxa"/>
            <w:vAlign w:val="bottom"/>
          </w:tcPr>
          <w:p>
            <w:pPr>
              <w:jc w:val="right"/>
              <w:ind w:right="668"/>
              <w:spacing w:after="0"/>
              <w:rPr>
                <w:sz w:val="20"/>
                <w:szCs w:val="20"/>
                <w:color w:val="auto"/>
              </w:rPr>
            </w:pPr>
            <w:r>
              <w:rPr>
                <w:rFonts w:ascii="Arial" w:cs="Arial" w:eastAsia="Arial" w:hAnsi="Arial"/>
                <w:sz w:val="14"/>
                <w:szCs w:val="14"/>
                <w:color w:val="auto"/>
              </w:rPr>
              <w:t>155,142</w:t>
            </w: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280,142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right="240" w:hanging="332"/>
        <w:spacing w:after="0" w:line="285" w:lineRule="auto"/>
        <w:tabs>
          <w:tab w:leader="none" w:pos="3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 2025, Mr. Somasundaram received $78,114 of his fees in stock (141 shares) and $26,886 in cash. All other non-employee directors elected to receive their retainer in cash.</w:t>
      </w:r>
    </w:p>
    <w:p>
      <w:pPr>
        <w:spacing w:after="0" w:line="117" w:lineRule="exact"/>
        <w:rPr>
          <w:rFonts w:ascii="Arial" w:cs="Arial" w:eastAsia="Arial" w:hAnsi="Arial"/>
          <w:sz w:val="14"/>
          <w:szCs w:val="14"/>
          <w:color w:val="auto"/>
        </w:rPr>
      </w:pPr>
    </w:p>
    <w:p>
      <w:pPr>
        <w:ind w:left="340" w:right="100" w:hanging="332"/>
        <w:spacing w:after="0" w:line="283" w:lineRule="auto"/>
        <w:tabs>
          <w:tab w:leader="none" w:pos="327"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Ms. Cooper and Mr. Swienton, the amount represents the incremental fair value associated with the vesting of outstanding RSUs upon their separation from the Board on May 22, 2025. For the other non-employee directors, the amounts shown represent the grant date fair value for common stock granted under the 2019 Equity and Incentive Compensation Plan, in accordance with Financial Accounting Standards Board Accounting Standards Codification (“FASB ASC”) Topic 718, as follows: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4060" w:type="dxa"/>
            <w:vAlign w:val="bottom"/>
            <w:shd w:val="clear" w:color="auto" w:fill="C60C35"/>
          </w:tcPr>
          <w:p>
            <w:pPr>
              <w:spacing w:after="0"/>
              <w:rPr>
                <w:sz w:val="16"/>
                <w:szCs w:val="16"/>
                <w:color w:val="auto"/>
              </w:rPr>
            </w:pPr>
          </w:p>
        </w:tc>
        <w:tc>
          <w:tcPr>
            <w:tcW w:w="1660" w:type="dxa"/>
            <w:vAlign w:val="bottom"/>
            <w:vMerge w:val="restart"/>
            <w:shd w:val="clear" w:color="auto" w:fill="C60C35"/>
          </w:tcPr>
          <w:p>
            <w:pPr>
              <w:jc w:val="center"/>
              <w:ind w:right="8"/>
              <w:spacing w:after="0"/>
              <w:rPr>
                <w:sz w:val="20"/>
                <w:szCs w:val="20"/>
                <w:color w:val="auto"/>
              </w:rPr>
            </w:pPr>
            <w:r>
              <w:rPr>
                <w:rFonts w:ascii="Arial" w:cs="Arial" w:eastAsia="Arial" w:hAnsi="Arial"/>
                <w:sz w:val="14"/>
                <w:szCs w:val="14"/>
                <w:b w:val="1"/>
                <w:bCs w:val="1"/>
                <w:color w:val="FFFFFF"/>
              </w:rPr>
              <w:t>Grant</w:t>
            </w:r>
          </w:p>
        </w:tc>
        <w:tc>
          <w:tcPr>
            <w:tcW w:w="176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Common Stock</w:t>
            </w:r>
          </w:p>
        </w:tc>
        <w:tc>
          <w:tcPr>
            <w:tcW w:w="1620" w:type="dxa"/>
            <w:vAlign w:val="bottom"/>
            <w:shd w:val="clear" w:color="auto" w:fill="C60C35"/>
          </w:tcPr>
          <w:p>
            <w:pPr>
              <w:jc w:val="right"/>
              <w:ind w:right="215"/>
              <w:spacing w:after="0"/>
              <w:rPr>
                <w:sz w:val="20"/>
                <w:szCs w:val="20"/>
                <w:color w:val="auto"/>
              </w:rPr>
            </w:pPr>
            <w:r>
              <w:rPr>
                <w:rFonts w:ascii="Arial" w:cs="Arial" w:eastAsia="Arial" w:hAnsi="Arial"/>
                <w:sz w:val="14"/>
                <w:szCs w:val="14"/>
                <w:b w:val="1"/>
                <w:bCs w:val="1"/>
                <w:color w:val="FFFFFF"/>
              </w:rPr>
              <w:t>Grant Date Fair</w:t>
            </w:r>
          </w:p>
        </w:tc>
        <w:tc>
          <w:tcPr>
            <w:tcW w:w="142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Grant Date</w:t>
            </w:r>
          </w:p>
        </w:tc>
        <w:tc>
          <w:tcPr>
            <w:tcW w:w="0" w:type="dxa"/>
            <w:vAlign w:val="bottom"/>
          </w:tcPr>
          <w:p>
            <w:pPr>
              <w:spacing w:after="0"/>
              <w:rPr>
                <w:sz w:val="1"/>
                <w:szCs w:val="1"/>
                <w:color w:val="auto"/>
              </w:rPr>
            </w:pPr>
          </w:p>
        </w:tc>
      </w:tr>
      <w:tr>
        <w:trPr>
          <w:trHeight w:val="162"/>
        </w:trPr>
        <w:tc>
          <w:tcPr>
            <w:tcW w:w="4060" w:type="dxa"/>
            <w:vAlign w:val="bottom"/>
            <w:shd w:val="clear" w:color="auto" w:fill="C60C35"/>
          </w:tcPr>
          <w:p>
            <w:pPr>
              <w:spacing w:after="0"/>
              <w:rPr>
                <w:sz w:val="14"/>
                <w:szCs w:val="14"/>
                <w:color w:val="auto"/>
              </w:rPr>
            </w:pPr>
          </w:p>
        </w:tc>
        <w:tc>
          <w:tcPr>
            <w:tcW w:w="1660" w:type="dxa"/>
            <w:vAlign w:val="bottom"/>
            <w:vMerge w:val="continue"/>
            <w:shd w:val="clear" w:color="auto" w:fill="C60C35"/>
          </w:tcPr>
          <w:p>
            <w:pPr>
              <w:spacing w:after="0"/>
              <w:rPr>
                <w:sz w:val="14"/>
                <w:szCs w:val="14"/>
                <w:color w:val="auto"/>
              </w:rPr>
            </w:pPr>
          </w:p>
        </w:tc>
        <w:tc>
          <w:tcPr>
            <w:tcW w:w="176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Granted in 2025</w:t>
            </w:r>
          </w:p>
        </w:tc>
        <w:tc>
          <w:tcPr>
            <w:tcW w:w="1620" w:type="dxa"/>
            <w:vAlign w:val="bottom"/>
            <w:shd w:val="clear" w:color="auto" w:fill="C60C35"/>
          </w:tcPr>
          <w:p>
            <w:pPr>
              <w:jc w:val="right"/>
              <w:ind w:right="215"/>
              <w:spacing w:after="0"/>
              <w:rPr>
                <w:sz w:val="20"/>
                <w:szCs w:val="20"/>
                <w:color w:val="auto"/>
              </w:rPr>
            </w:pPr>
            <w:r>
              <w:rPr>
                <w:rFonts w:ascii="Arial" w:cs="Arial" w:eastAsia="Arial" w:hAnsi="Arial"/>
                <w:sz w:val="14"/>
                <w:szCs w:val="14"/>
                <w:b w:val="1"/>
                <w:bCs w:val="1"/>
                <w:color w:val="FFFFFF"/>
              </w:rPr>
              <w:t>Value Per Share</w:t>
            </w:r>
          </w:p>
        </w:tc>
        <w:tc>
          <w:tcPr>
            <w:tcW w:w="142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Fair Value</w:t>
            </w:r>
          </w:p>
        </w:tc>
        <w:tc>
          <w:tcPr>
            <w:tcW w:w="0" w:type="dxa"/>
            <w:vAlign w:val="bottom"/>
          </w:tcPr>
          <w:p>
            <w:pPr>
              <w:spacing w:after="0"/>
              <w:rPr>
                <w:sz w:val="1"/>
                <w:szCs w:val="1"/>
                <w:color w:val="auto"/>
              </w:rPr>
            </w:pPr>
          </w:p>
        </w:tc>
      </w:tr>
      <w:tr>
        <w:trPr>
          <w:trHeight w:val="246"/>
        </w:trPr>
        <w:tc>
          <w:tcPr>
            <w:tcW w:w="4060" w:type="dxa"/>
            <w:vAlign w:val="bottom"/>
            <w:tcBorders>
              <w:bottom w:val="single" w:sz="8" w:color="C60C35"/>
            </w:tcBorders>
            <w:shd w:val="clear" w:color="auto" w:fill="C60C35"/>
          </w:tcPr>
          <w:p>
            <w:pPr>
              <w:spacing w:after="0"/>
              <w:rPr>
                <w:sz w:val="21"/>
                <w:szCs w:val="21"/>
                <w:color w:val="auto"/>
              </w:rPr>
            </w:pPr>
          </w:p>
        </w:tc>
        <w:tc>
          <w:tcPr>
            <w:tcW w:w="166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4"/>
                <w:szCs w:val="14"/>
                <w:b w:val="1"/>
                <w:bCs w:val="1"/>
                <w:color w:val="FFFFFF"/>
                <w:w w:val="98"/>
              </w:rPr>
              <w:t>Date</w:t>
            </w:r>
          </w:p>
        </w:tc>
        <w:tc>
          <w:tcPr>
            <w:tcW w:w="1760" w:type="dxa"/>
            <w:vAlign w:val="bottom"/>
            <w:tcBorders>
              <w:bottom w:val="single" w:sz="8" w:color="C60C35"/>
            </w:tcBorders>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620" w:type="dxa"/>
            <w:vAlign w:val="bottom"/>
            <w:tcBorders>
              <w:bottom w:val="single" w:sz="8" w:color="C60C35"/>
            </w:tcBorders>
            <w:shd w:val="clear" w:color="auto" w:fill="C60C35"/>
          </w:tcPr>
          <w:p>
            <w:pPr>
              <w:jc w:val="right"/>
              <w:ind w:right="215"/>
              <w:spacing w:after="0" w:line="212" w:lineRule="exact"/>
              <w:rPr>
                <w:sz w:val="20"/>
                <w:szCs w:val="20"/>
                <w:color w:val="auto"/>
              </w:rPr>
            </w:pPr>
            <w:r>
              <w:rPr>
                <w:rFonts w:ascii="Arial" w:cs="Arial" w:eastAsia="Arial" w:hAnsi="Arial"/>
                <w:sz w:val="24"/>
                <w:szCs w:val="24"/>
                <w:b w:val="1"/>
                <w:bCs w:val="1"/>
                <w:color w:val="FFFFFF"/>
                <w:vertAlign w:val="subscript"/>
              </w:rPr>
              <w:t>($)</w:t>
            </w:r>
            <w:r>
              <w:rPr>
                <w:rFonts w:ascii="Arial" w:cs="Arial" w:eastAsia="Arial" w:hAnsi="Arial"/>
                <w:sz w:val="9"/>
                <w:szCs w:val="9"/>
                <w:b w:val="1"/>
                <w:bCs w:val="1"/>
                <w:color w:val="FFFFFF"/>
              </w:rPr>
              <w:t>(a)</w:t>
            </w:r>
          </w:p>
        </w:tc>
        <w:tc>
          <w:tcPr>
            <w:tcW w:w="1420" w:type="dxa"/>
            <w:vAlign w:val="bottom"/>
            <w:tcBorders>
              <w:bottom w:val="single" w:sz="8" w:color="C60C35"/>
            </w:tcBorders>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93"/>
        </w:trPr>
        <w:tc>
          <w:tcPr>
            <w:tcW w:w="40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Each Non-Employee Director</w:t>
            </w:r>
          </w:p>
        </w:tc>
        <w:tc>
          <w:tcPr>
            <w:tcW w:w="1660" w:type="dxa"/>
            <w:vAlign w:val="bottom"/>
            <w:vMerge w:val="restart"/>
            <w:shd w:val="clear" w:color="auto" w:fill="F1F2F2"/>
          </w:tcPr>
          <w:p>
            <w:pPr>
              <w:jc w:val="center"/>
              <w:ind w:right="8"/>
              <w:spacing w:after="0"/>
              <w:rPr>
                <w:sz w:val="20"/>
                <w:szCs w:val="20"/>
                <w:color w:val="auto"/>
              </w:rPr>
            </w:pPr>
            <w:r>
              <w:rPr>
                <w:rFonts w:ascii="Arial" w:cs="Arial" w:eastAsia="Arial" w:hAnsi="Arial"/>
                <w:sz w:val="14"/>
                <w:szCs w:val="14"/>
                <w:color w:val="auto"/>
              </w:rPr>
              <w:t>May 22, 2025</w:t>
            </w:r>
          </w:p>
        </w:tc>
        <w:tc>
          <w:tcPr>
            <w:tcW w:w="1760" w:type="dxa"/>
            <w:vAlign w:val="bottom"/>
            <w:vMerge w:val="restart"/>
            <w:shd w:val="clear" w:color="auto" w:fill="F1F2F2"/>
          </w:tcPr>
          <w:p>
            <w:pPr>
              <w:jc w:val="right"/>
              <w:ind w:right="848"/>
              <w:spacing w:after="0"/>
              <w:rPr>
                <w:sz w:val="20"/>
                <w:szCs w:val="20"/>
                <w:color w:val="auto"/>
              </w:rPr>
            </w:pPr>
            <w:r>
              <w:rPr>
                <w:rFonts w:ascii="Arial" w:cs="Arial" w:eastAsia="Arial" w:hAnsi="Arial"/>
                <w:sz w:val="14"/>
                <w:szCs w:val="14"/>
                <w:color w:val="auto"/>
              </w:rPr>
              <w:t>270</w:t>
            </w:r>
          </w:p>
        </w:tc>
        <w:tc>
          <w:tcPr>
            <w:tcW w:w="1620" w:type="dxa"/>
            <w:vAlign w:val="bottom"/>
            <w:vMerge w:val="restart"/>
            <w:shd w:val="clear" w:color="auto" w:fill="F1F2F2"/>
          </w:tcPr>
          <w:p>
            <w:pPr>
              <w:jc w:val="right"/>
              <w:ind w:right="775"/>
              <w:spacing w:after="0"/>
              <w:rPr>
                <w:sz w:val="20"/>
                <w:szCs w:val="20"/>
                <w:color w:val="auto"/>
              </w:rPr>
            </w:pPr>
            <w:r>
              <w:rPr>
                <w:rFonts w:ascii="Arial" w:cs="Arial" w:eastAsia="Arial" w:hAnsi="Arial"/>
                <w:sz w:val="14"/>
                <w:szCs w:val="14"/>
                <w:color w:val="auto"/>
              </w:rPr>
              <w:t>574.60</w:t>
            </w:r>
          </w:p>
        </w:tc>
        <w:tc>
          <w:tcPr>
            <w:tcW w:w="1420" w:type="dxa"/>
            <w:vAlign w:val="bottom"/>
            <w:vMerge w:val="restart"/>
            <w:shd w:val="clear" w:color="auto" w:fill="F1F2F2"/>
          </w:tcPr>
          <w:p>
            <w:pPr>
              <w:jc w:val="right"/>
              <w:ind w:right="548"/>
              <w:spacing w:after="0"/>
              <w:rPr>
                <w:sz w:val="20"/>
                <w:szCs w:val="20"/>
                <w:color w:val="auto"/>
              </w:rPr>
            </w:pPr>
            <w:r>
              <w:rPr>
                <w:rFonts w:ascii="Arial" w:cs="Arial" w:eastAsia="Arial" w:hAnsi="Arial"/>
                <w:sz w:val="14"/>
                <w:szCs w:val="14"/>
                <w:color w:val="auto"/>
              </w:rPr>
              <w:t>155,142</w:t>
            </w:r>
          </w:p>
        </w:tc>
        <w:tc>
          <w:tcPr>
            <w:tcW w:w="0" w:type="dxa"/>
            <w:vAlign w:val="bottom"/>
          </w:tcPr>
          <w:p>
            <w:pPr>
              <w:spacing w:after="0"/>
              <w:rPr>
                <w:sz w:val="1"/>
                <w:szCs w:val="1"/>
                <w:color w:val="auto"/>
              </w:rPr>
            </w:pPr>
          </w:p>
        </w:tc>
      </w:tr>
      <w:tr>
        <w:trPr>
          <w:trHeight w:val="96"/>
        </w:trPr>
        <w:tc>
          <w:tcPr>
            <w:tcW w:w="4060" w:type="dxa"/>
            <w:vAlign w:val="bottom"/>
            <w:vMerge w:val="restart"/>
            <w:shd w:val="clear" w:color="auto" w:fill="F1F2F2"/>
          </w:tcPr>
          <w:p>
            <w:pPr>
              <w:ind w:left="100"/>
              <w:spacing w:after="0"/>
              <w:rPr>
                <w:sz w:val="20"/>
                <w:szCs w:val="20"/>
                <w:color w:val="auto"/>
              </w:rPr>
            </w:pPr>
            <w:r>
              <w:rPr>
                <w:rFonts w:ascii="Arial" w:cs="Arial" w:eastAsia="Arial" w:hAnsi="Arial"/>
                <w:sz w:val="14"/>
                <w:szCs w:val="14"/>
                <w:color w:val="auto"/>
              </w:rPr>
              <w:t>(other than Ms. Cooper and Mr. Swienton)</w:t>
            </w:r>
          </w:p>
        </w:tc>
        <w:tc>
          <w:tcPr>
            <w:tcW w:w="1660" w:type="dxa"/>
            <w:vAlign w:val="bottom"/>
            <w:vMerge w:val="continue"/>
            <w:shd w:val="clear" w:color="auto" w:fill="F1F2F2"/>
          </w:tcPr>
          <w:p>
            <w:pPr>
              <w:spacing w:after="0"/>
              <w:rPr>
                <w:sz w:val="8"/>
                <w:szCs w:val="8"/>
                <w:color w:val="auto"/>
              </w:rPr>
            </w:pPr>
          </w:p>
        </w:tc>
        <w:tc>
          <w:tcPr>
            <w:tcW w:w="1760" w:type="dxa"/>
            <w:vAlign w:val="bottom"/>
            <w:vMerge w:val="continue"/>
            <w:shd w:val="clear" w:color="auto" w:fill="F1F2F2"/>
          </w:tcPr>
          <w:p>
            <w:pPr>
              <w:spacing w:after="0"/>
              <w:rPr>
                <w:sz w:val="8"/>
                <w:szCs w:val="8"/>
                <w:color w:val="auto"/>
              </w:rPr>
            </w:pPr>
          </w:p>
        </w:tc>
        <w:tc>
          <w:tcPr>
            <w:tcW w:w="1620" w:type="dxa"/>
            <w:vAlign w:val="bottom"/>
            <w:vMerge w:val="continue"/>
            <w:shd w:val="clear" w:color="auto" w:fill="F1F2F2"/>
          </w:tcPr>
          <w:p>
            <w:pPr>
              <w:spacing w:after="0"/>
              <w:rPr>
                <w:sz w:val="8"/>
                <w:szCs w:val="8"/>
                <w:color w:val="auto"/>
              </w:rPr>
            </w:pPr>
          </w:p>
        </w:tc>
        <w:tc>
          <w:tcPr>
            <w:tcW w:w="142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60" w:type="dxa"/>
            <w:vAlign w:val="bottom"/>
            <w:vMerge w:val="continue"/>
            <w:shd w:val="clear" w:color="auto" w:fill="F1F2F2"/>
          </w:tcPr>
          <w:p>
            <w:pPr>
              <w:spacing w:after="0"/>
              <w:rPr>
                <w:sz w:val="8"/>
                <w:szCs w:val="8"/>
                <w:color w:val="auto"/>
              </w:rPr>
            </w:pPr>
          </w:p>
        </w:tc>
        <w:tc>
          <w:tcPr>
            <w:tcW w:w="1660" w:type="dxa"/>
            <w:vAlign w:val="bottom"/>
            <w:shd w:val="clear" w:color="auto" w:fill="F1F2F2"/>
          </w:tcPr>
          <w:p>
            <w:pPr>
              <w:spacing w:after="0"/>
              <w:rPr>
                <w:sz w:val="8"/>
                <w:szCs w:val="8"/>
                <w:color w:val="auto"/>
              </w:rPr>
            </w:pPr>
          </w:p>
        </w:tc>
        <w:tc>
          <w:tcPr>
            <w:tcW w:w="1760" w:type="dxa"/>
            <w:vAlign w:val="bottom"/>
            <w:shd w:val="clear" w:color="auto" w:fill="F1F2F2"/>
          </w:tcPr>
          <w:p>
            <w:pPr>
              <w:spacing w:after="0"/>
              <w:rPr>
                <w:sz w:val="8"/>
                <w:szCs w:val="8"/>
                <w:color w:val="auto"/>
              </w:rPr>
            </w:pPr>
          </w:p>
        </w:tc>
        <w:tc>
          <w:tcPr>
            <w:tcW w:w="1620" w:type="dxa"/>
            <w:vAlign w:val="bottom"/>
            <w:shd w:val="clear" w:color="auto" w:fill="F1F2F2"/>
          </w:tcPr>
          <w:p>
            <w:pPr>
              <w:spacing w:after="0"/>
              <w:rPr>
                <w:sz w:val="8"/>
                <w:szCs w:val="8"/>
                <w:color w:val="auto"/>
              </w:rPr>
            </w:pPr>
          </w:p>
        </w:tc>
        <w:tc>
          <w:tcPr>
            <w:tcW w:w="142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60" w:type="dxa"/>
            <w:vAlign w:val="bottom"/>
            <w:shd w:val="clear" w:color="auto" w:fill="F1F2F2"/>
          </w:tcPr>
          <w:p>
            <w:pPr>
              <w:spacing w:after="0" w:line="20" w:lineRule="exact"/>
              <w:rPr>
                <w:sz w:val="1"/>
                <w:szCs w:val="1"/>
                <w:color w:val="auto"/>
              </w:rPr>
            </w:pPr>
          </w:p>
        </w:tc>
        <w:tc>
          <w:tcPr>
            <w:tcW w:w="1660" w:type="dxa"/>
            <w:vAlign w:val="bottom"/>
            <w:shd w:val="clear" w:color="auto" w:fill="F1F2F2"/>
          </w:tcPr>
          <w:p>
            <w:pPr>
              <w:spacing w:after="0" w:line="20" w:lineRule="exact"/>
              <w:rPr>
                <w:sz w:val="1"/>
                <w:szCs w:val="1"/>
                <w:color w:val="auto"/>
              </w:rPr>
            </w:pPr>
          </w:p>
        </w:tc>
        <w:tc>
          <w:tcPr>
            <w:tcW w:w="1760" w:type="dxa"/>
            <w:vAlign w:val="bottom"/>
            <w:shd w:val="clear" w:color="auto" w:fill="F1F2F2"/>
          </w:tcPr>
          <w:p>
            <w:pPr>
              <w:spacing w:after="0" w:line="20" w:lineRule="exact"/>
              <w:rPr>
                <w:sz w:val="1"/>
                <w:szCs w:val="1"/>
                <w:color w:val="auto"/>
              </w:rPr>
            </w:pPr>
          </w:p>
        </w:tc>
        <w:tc>
          <w:tcPr>
            <w:tcW w:w="1620" w:type="dxa"/>
            <w:vAlign w:val="bottom"/>
            <w:shd w:val="clear" w:color="auto" w:fill="F1F2F2"/>
          </w:tcPr>
          <w:p>
            <w:pPr>
              <w:spacing w:after="0" w:line="20" w:lineRule="exact"/>
              <w:rPr>
                <w:sz w:val="1"/>
                <w:szCs w:val="1"/>
                <w:color w:val="auto"/>
              </w:rPr>
            </w:pPr>
          </w:p>
        </w:tc>
        <w:tc>
          <w:tcPr>
            <w:tcW w:w="142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 $574.60 is the closing NYSE trading price of our common stock on the date of grant.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 of the non-employee directors have unvested RSUs or Stock Appreciation Rights (“SARs”) outstanding at fiscal year end.</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3" w:name="page34"/>
    <w:bookmarkEnd w:id="33"/>
    <w:p>
      <w:pPr>
        <w:ind w:left="4260"/>
        <w:spacing w:after="0"/>
        <w:rPr>
          <w:sz w:val="20"/>
          <w:szCs w:val="20"/>
          <w:color w:val="auto"/>
        </w:rPr>
      </w:pPr>
      <w:r>
        <w:rPr>
          <w:rFonts w:ascii="Arial" w:cs="Arial" w:eastAsia="Arial" w:hAnsi="Arial"/>
          <w:sz w:val="29"/>
          <w:szCs w:val="29"/>
          <w:b w:val="1"/>
          <w:bCs w:val="1"/>
          <w:color w:val="C6093B"/>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41275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-206375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current executive officers, their present positions, and their ages are as follows as of April 8, 2026:</w:t>
      </w:r>
    </w:p>
    <w:p>
      <w:pPr>
        <w:spacing w:after="0" w:line="14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Alok Maskara</w:t>
      </w:r>
      <w:r>
        <w:rPr>
          <w:sz w:val="20"/>
          <w:szCs w:val="20"/>
          <w:color w:val="auto"/>
        </w:rPr>
        <w:tab/>
      </w:r>
      <w:r>
        <w:rPr>
          <w:rFonts w:ascii="Arial" w:cs="Arial" w:eastAsia="Arial" w:hAnsi="Arial"/>
          <w:sz w:val="18"/>
          <w:szCs w:val="18"/>
          <w:color w:val="FFFFFF"/>
        </w:rPr>
        <w:t>55</w:t>
      </w:r>
      <w:r>
        <w:rPr>
          <w:sz w:val="20"/>
          <w:szCs w:val="20"/>
          <w:color w:val="auto"/>
        </w:rPr>
        <w:tab/>
      </w:r>
      <w:r>
        <w:rPr>
          <w:rFonts w:ascii="Arial" w:cs="Arial" w:eastAsia="Arial" w:hAnsi="Arial"/>
          <w:sz w:val="18"/>
          <w:szCs w:val="18"/>
          <w:color w:val="FFFFFF"/>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8"/>
          <w:szCs w:val="18"/>
          <w:color w:val="auto"/>
        </w:rPr>
        <w:t>Chief Executive Officer (2022 -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8"/>
          <w:szCs w:val="18"/>
          <w:color w:val="auto"/>
        </w:rPr>
        <w:t>Chief Executive Officer, Luxfer Holdings PLC (2017 - 2022)</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8"/>
          <w:szCs w:val="18"/>
          <w:color w:val="auto"/>
        </w:rPr>
        <w:t>Director, Franklin Electric Co., Inc. (2021 - present)</w:t>
      </w:r>
    </w:p>
    <w:p>
      <w:pPr>
        <w:spacing w:after="0" w:line="320"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Michael P. Quenzer</w:t>
      </w:r>
      <w:r>
        <w:rPr>
          <w:sz w:val="20"/>
          <w:szCs w:val="20"/>
          <w:color w:val="auto"/>
        </w:rPr>
        <w:tab/>
      </w:r>
      <w:r>
        <w:rPr>
          <w:rFonts w:ascii="Arial" w:cs="Arial" w:eastAsia="Arial" w:hAnsi="Arial"/>
          <w:sz w:val="18"/>
          <w:szCs w:val="18"/>
          <w:color w:val="FFFFFF"/>
        </w:rPr>
        <w:t>48</w:t>
      </w:r>
      <w:r>
        <w:rPr>
          <w:sz w:val="20"/>
          <w:szCs w:val="20"/>
          <w:color w:val="auto"/>
        </w:rPr>
        <w:tab/>
      </w:r>
      <w:r>
        <w:rPr>
          <w:rFonts w:ascii="Arial" w:cs="Arial" w:eastAsia="Arial" w:hAnsi="Arial"/>
          <w:sz w:val="17"/>
          <w:szCs w:val="17"/>
          <w:color w:val="FFFFFF"/>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Executive Vice President and Chief Financial Officer (2024 -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Vice President, Financial Planning &amp; Analysis and Investor Relations (2023)</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8"/>
          <w:szCs w:val="18"/>
          <w:color w:val="auto"/>
        </w:rPr>
        <w:t>Chief Financial Officer, Commercial segment (2016 - 2022)</w:t>
      </w:r>
    </w:p>
    <w:p>
      <w:pPr>
        <w:spacing w:after="0" w:line="37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Prakash Bedapudi</w:t>
      </w:r>
      <w:r>
        <w:rPr>
          <w:sz w:val="20"/>
          <w:szCs w:val="20"/>
          <w:color w:val="auto"/>
        </w:rPr>
        <w:tab/>
      </w:r>
      <w:r>
        <w:rPr>
          <w:rFonts w:ascii="Arial" w:cs="Arial" w:eastAsia="Arial" w:hAnsi="Arial"/>
          <w:sz w:val="18"/>
          <w:szCs w:val="18"/>
          <w:color w:val="FFFFFF"/>
        </w:rPr>
        <w:t>59</w:t>
      </w:r>
      <w:r>
        <w:rPr>
          <w:sz w:val="20"/>
          <w:szCs w:val="20"/>
          <w:color w:val="auto"/>
        </w:rPr>
        <w:tab/>
      </w:r>
      <w:r>
        <w:rPr>
          <w:rFonts w:ascii="Arial" w:cs="Arial" w:eastAsia="Arial" w:hAnsi="Arial"/>
          <w:sz w:val="17"/>
          <w:szCs w:val="17"/>
          <w:color w:val="FFFFFF"/>
        </w:rPr>
        <w:t>Executive Vice President, 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8"/>
          <w:szCs w:val="18"/>
          <w:color w:val="auto"/>
        </w:rPr>
        <w:t>Executive Vice President, Chief Technology Officer (2008 - present)</w:t>
      </w:r>
    </w:p>
    <w:p>
      <w:pPr>
        <w:spacing w:after="0" w:line="37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Monica M. Brown</w:t>
      </w:r>
      <w:r>
        <w:rPr>
          <w:sz w:val="20"/>
          <w:szCs w:val="20"/>
          <w:color w:val="auto"/>
        </w:rPr>
        <w:tab/>
      </w:r>
      <w:r>
        <w:rPr>
          <w:rFonts w:ascii="Arial" w:cs="Arial" w:eastAsia="Arial" w:hAnsi="Arial"/>
          <w:sz w:val="18"/>
          <w:szCs w:val="18"/>
          <w:color w:val="FFFFFF"/>
        </w:rPr>
        <w:t>53</w:t>
      </w:r>
      <w:r>
        <w:rPr>
          <w:sz w:val="20"/>
          <w:szCs w:val="20"/>
          <w:color w:val="auto"/>
        </w:rPr>
        <w:tab/>
      </w:r>
      <w:r>
        <w:rPr>
          <w:rFonts w:ascii="Arial" w:cs="Arial" w:eastAsia="Arial" w:hAnsi="Arial"/>
          <w:sz w:val="17"/>
          <w:szCs w:val="17"/>
          <w:color w:val="FFFFFF"/>
        </w:rPr>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Executive Vice President, Chief Legal Officer and Secretary (January 2025 -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Vice President, Deputy General Counsel, and Assistant Secretary (2023 - 2024)</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Assistant General Counsel, Securities and Assistant Secretary (2021 - 2023)</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8"/>
          <w:szCs w:val="18"/>
          <w:color w:val="auto"/>
        </w:rPr>
        <w:t>Assistant General Counsel, Worldwide Refrigeration (2016 - 2021)</w:t>
      </w:r>
    </w:p>
    <w:p>
      <w:pPr>
        <w:spacing w:after="0" w:line="37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Chris A. Kosel</w:t>
      </w:r>
      <w:r>
        <w:rPr>
          <w:sz w:val="20"/>
          <w:szCs w:val="20"/>
          <w:color w:val="auto"/>
        </w:rPr>
        <w:tab/>
      </w:r>
      <w:r>
        <w:rPr>
          <w:rFonts w:ascii="Arial" w:cs="Arial" w:eastAsia="Arial" w:hAnsi="Arial"/>
          <w:sz w:val="18"/>
          <w:szCs w:val="18"/>
          <w:color w:val="FFFFFF"/>
        </w:rPr>
        <w:t>59</w:t>
      </w:r>
      <w:r>
        <w:rPr>
          <w:sz w:val="20"/>
          <w:szCs w:val="20"/>
          <w:color w:val="auto"/>
        </w:rPr>
        <w:tab/>
      </w:r>
      <w:r>
        <w:rPr>
          <w:rFonts w:ascii="Arial" w:cs="Arial" w:eastAsia="Arial" w:hAnsi="Arial"/>
          <w:sz w:val="17"/>
          <w:szCs w:val="17"/>
          <w:color w:val="FFFFFF"/>
        </w:rPr>
        <w:t>Vice President, Chief Accounting Officer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803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8"/>
          <w:szCs w:val="18"/>
          <w:color w:val="auto"/>
        </w:rPr>
        <w:t>Vice President, Chief Accounting Officer and Controller (2017 - present)</w:t>
      </w:r>
    </w:p>
    <w:p>
      <w:pPr>
        <w:spacing w:after="0" w:line="200" w:lineRule="exact"/>
        <w:rPr>
          <w:sz w:val="20"/>
          <w:szCs w:val="20"/>
          <w:color w:val="auto"/>
        </w:rPr>
      </w:pPr>
    </w:p>
    <w:p>
      <w:pPr>
        <w:spacing w:after="0" w:line="268"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Sarah R. Martin</w:t>
      </w:r>
      <w:r>
        <w:rPr>
          <w:sz w:val="20"/>
          <w:szCs w:val="20"/>
          <w:color w:val="auto"/>
        </w:rPr>
        <w:tab/>
      </w:r>
      <w:r>
        <w:rPr>
          <w:rFonts w:ascii="Arial" w:cs="Arial" w:eastAsia="Arial" w:hAnsi="Arial"/>
          <w:sz w:val="18"/>
          <w:szCs w:val="18"/>
          <w:color w:val="FFFFFF"/>
        </w:rPr>
        <w:t>52</w:t>
      </w:r>
      <w:r>
        <w:rPr>
          <w:sz w:val="20"/>
          <w:szCs w:val="20"/>
          <w:color w:val="auto"/>
        </w:rPr>
        <w:tab/>
      </w:r>
      <w:r>
        <w:rPr>
          <w:rFonts w:ascii="Arial" w:cs="Arial" w:eastAsia="Arial" w:hAnsi="Arial"/>
          <w:sz w:val="18"/>
          <w:szCs w:val="18"/>
          <w:color w:val="FFFFFF"/>
        </w:rPr>
        <w:t>Executive Vice President &amp; President, Home Comfort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79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Executive Vice President &amp; President, Home Comfort Solutions (April 2025 - present)</w:t>
      </w:r>
    </w:p>
    <w:p>
      <w:pPr>
        <w:spacing w:after="0" w:line="63" w:lineRule="exact"/>
        <w:rPr>
          <w:rFonts w:ascii="Arial" w:cs="Arial" w:eastAsia="Arial" w:hAnsi="Arial"/>
          <w:sz w:val="14"/>
          <w:szCs w:val="14"/>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President, Honeywell Sensing &amp; Safety Technologies (2022 - 2025)</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8"/>
          <w:szCs w:val="18"/>
          <w:color w:val="auto"/>
        </w:rPr>
        <w:t>President, Honeywell Advanced Sensing Technologies (2018 - 2022)</w:t>
      </w:r>
    </w:p>
    <w:p>
      <w:pPr>
        <w:spacing w:after="0" w:line="374"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Joseph S. Nassab</w:t>
      </w:r>
      <w:r>
        <w:rPr>
          <w:sz w:val="20"/>
          <w:szCs w:val="20"/>
          <w:color w:val="auto"/>
        </w:rPr>
        <w:tab/>
      </w:r>
      <w:r>
        <w:rPr>
          <w:rFonts w:ascii="Arial" w:cs="Arial" w:eastAsia="Arial" w:hAnsi="Arial"/>
          <w:sz w:val="18"/>
          <w:szCs w:val="18"/>
          <w:color w:val="FFFFFF"/>
        </w:rPr>
        <w:t>59</w:t>
      </w:r>
      <w:r>
        <w:rPr>
          <w:sz w:val="20"/>
          <w:szCs w:val="20"/>
          <w:color w:val="auto"/>
        </w:rPr>
        <w:tab/>
      </w:r>
      <w:r>
        <w:rPr>
          <w:rFonts w:ascii="Arial" w:cs="Arial" w:eastAsia="Arial" w:hAnsi="Arial"/>
          <w:sz w:val="17"/>
          <w:szCs w:val="17"/>
          <w:color w:val="FFFFFF"/>
        </w:rPr>
        <w:t>Executive Vice President &amp; President, Building Climate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803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50"/>
        </w:numPr>
        <w:rPr>
          <w:rFonts w:ascii="Arial" w:cs="Arial" w:eastAsia="Arial" w:hAnsi="Arial"/>
          <w:sz w:val="14"/>
          <w:szCs w:val="14"/>
          <w:color w:val="auto"/>
        </w:rPr>
      </w:pPr>
      <w:r>
        <w:rPr>
          <w:rFonts w:ascii="Arial" w:cs="Arial" w:eastAsia="Arial" w:hAnsi="Arial"/>
          <w:sz w:val="18"/>
          <w:szCs w:val="18"/>
          <w:color w:val="auto"/>
        </w:rPr>
        <w:t>Executive Vice President &amp; President, Building Climate Solutions (2022 - present)</w:t>
      </w:r>
    </w:p>
    <w:p>
      <w:pPr>
        <w:spacing w:after="0" w:line="49" w:lineRule="exact"/>
        <w:rPr>
          <w:rFonts w:ascii="Arial" w:cs="Arial" w:eastAsia="Arial" w:hAnsi="Arial"/>
          <w:sz w:val="14"/>
          <w:szCs w:val="14"/>
          <w:color w:val="auto"/>
        </w:rPr>
      </w:pPr>
    </w:p>
    <w:p>
      <w:pPr>
        <w:ind w:left="580" w:hanging="573"/>
        <w:spacing w:after="0"/>
        <w:tabs>
          <w:tab w:leader="none" w:pos="580" w:val="left"/>
        </w:tabs>
        <w:numPr>
          <w:ilvl w:val="0"/>
          <w:numId w:val="50"/>
        </w:numPr>
        <w:rPr>
          <w:rFonts w:ascii="Arial" w:cs="Arial" w:eastAsia="Arial" w:hAnsi="Arial"/>
          <w:sz w:val="14"/>
          <w:szCs w:val="14"/>
          <w:color w:val="auto"/>
        </w:rPr>
      </w:pPr>
      <w:r>
        <w:rPr>
          <w:rFonts w:ascii="Arial" w:cs="Arial" w:eastAsia="Arial" w:hAnsi="Arial"/>
          <w:sz w:val="18"/>
          <w:szCs w:val="18"/>
          <w:color w:val="auto"/>
        </w:rPr>
        <w:t>Vice President and General Manager, Allied Air (2010 - 2022)</w:t>
      </w:r>
    </w:p>
    <w:p>
      <w:pPr>
        <w:spacing w:after="0" w:line="387" w:lineRule="exact"/>
        <w:rPr>
          <w:sz w:val="20"/>
          <w:szCs w:val="20"/>
          <w:color w:val="auto"/>
        </w:rPr>
      </w:pPr>
    </w:p>
    <w:p>
      <w:pPr>
        <w:spacing w:after="0"/>
        <w:tabs>
          <w:tab w:leader="none" w:pos="3420" w:val="left"/>
          <w:tab w:leader="none" w:pos="4720" w:val="left"/>
        </w:tabs>
        <w:rPr>
          <w:sz w:val="20"/>
          <w:szCs w:val="20"/>
          <w:color w:val="auto"/>
        </w:rPr>
      </w:pPr>
      <w:r>
        <w:rPr>
          <w:rFonts w:ascii="Arial" w:cs="Arial" w:eastAsia="Arial" w:hAnsi="Arial"/>
          <w:sz w:val="18"/>
          <w:szCs w:val="18"/>
          <w:color w:val="FFFFFF"/>
        </w:rPr>
        <w:t>Daniel M. Sessa</w:t>
      </w:r>
      <w:r>
        <w:rPr>
          <w:sz w:val="20"/>
          <w:szCs w:val="20"/>
          <w:color w:val="auto"/>
        </w:rPr>
        <w:tab/>
      </w:r>
      <w:r>
        <w:rPr>
          <w:rFonts w:ascii="Arial" w:cs="Arial" w:eastAsia="Arial" w:hAnsi="Arial"/>
          <w:sz w:val="18"/>
          <w:szCs w:val="18"/>
          <w:color w:val="FFFFFF"/>
        </w:rPr>
        <w:t>61</w:t>
      </w:r>
      <w:r>
        <w:rPr>
          <w:sz w:val="20"/>
          <w:szCs w:val="20"/>
          <w:color w:val="auto"/>
        </w:rPr>
        <w:tab/>
      </w:r>
      <w:r>
        <w:rPr>
          <w:rFonts w:ascii="Arial" w:cs="Arial" w:eastAsia="Arial" w:hAnsi="Arial"/>
          <w:sz w:val="17"/>
          <w:szCs w:val="17"/>
          <w:color w:val="FFFFFF"/>
        </w:rPr>
        <w:t>Executive Vice President,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-127635</wp:posOffset>
            </wp:positionV>
            <wp:extent cx="7132320" cy="180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70" w:lineRule="exact"/>
        <w:rPr>
          <w:sz w:val="20"/>
          <w:szCs w:val="20"/>
          <w:color w:val="auto"/>
        </w:rPr>
      </w:pPr>
    </w:p>
    <w:p>
      <w:pPr>
        <w:ind w:left="580" w:hanging="573"/>
        <w:spacing w:after="0"/>
        <w:tabs>
          <w:tab w:leader="none" w:pos="580" w:val="left"/>
        </w:tabs>
        <w:numPr>
          <w:ilvl w:val="0"/>
          <w:numId w:val="51"/>
        </w:numPr>
        <w:rPr>
          <w:rFonts w:ascii="Arial" w:cs="Arial" w:eastAsia="Arial" w:hAnsi="Arial"/>
          <w:sz w:val="14"/>
          <w:szCs w:val="14"/>
          <w:color w:val="auto"/>
        </w:rPr>
      </w:pPr>
      <w:r>
        <w:rPr>
          <w:rFonts w:ascii="Arial" w:cs="Arial" w:eastAsia="Arial" w:hAnsi="Arial"/>
          <w:sz w:val="18"/>
          <w:szCs w:val="18"/>
          <w:color w:val="auto"/>
        </w:rPr>
        <w:t>Executive Vice President, Chief Human Resources Officer (2007 - present)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11" w:lineRule="exact"/>
        <w:rPr>
          <w:rFonts w:ascii="Arial" w:cs="Arial" w:eastAsia="Arial" w:hAnsi="Arial"/>
          <w:sz w:val="14"/>
          <w:szCs w:val="14"/>
          <w:color w:val="auto"/>
        </w:rPr>
      </w:pPr>
    </w:p>
    <w:p>
      <w:pPr>
        <w:ind w:left="5520"/>
        <w:spacing w:after="0"/>
        <w:rPr>
          <w:rFonts w:ascii="Arial" w:cs="Arial" w:eastAsia="Arial" w:hAnsi="Arial"/>
          <w:sz w:val="14"/>
          <w:szCs w:val="14"/>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167640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807"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29"/>
          <w:szCs w:val="29"/>
          <w:b w:val="1"/>
          <w:bCs w:val="1"/>
          <w:color w:val="C6093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60C35"/>
        </w:rPr>
        <w:t>Compensation Discussion and Analysis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2025 CD&amp;A At-A-Glance</w:t>
      </w:r>
    </w:p>
    <w:p>
      <w:pPr>
        <w:spacing w:after="0" w:line="10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This Compensation Discussion and Analysis (“CD&amp;A”) reviews the philosophy, objectives, and elements of our executive compensation program, and describes the 2025 compensation of our NEOs. It also describes the process followed by the Committee for making pay decisions, as well as its rationale for specific pay decisions for 2025 executive compensation.</w:t>
      </w:r>
    </w:p>
    <w:p>
      <w:pPr>
        <w:spacing w:after="0" w:line="67" w:lineRule="exact"/>
        <w:rPr>
          <w:sz w:val="20"/>
          <w:szCs w:val="20"/>
          <w:color w:val="auto"/>
        </w:rPr>
      </w:pPr>
    </w:p>
    <w:p>
      <w:pPr>
        <w:jc w:val="both"/>
        <w:ind w:right="520" w:firstLine="324"/>
        <w:spacing w:after="0" w:line="252" w:lineRule="auto"/>
        <w:rPr>
          <w:sz w:val="20"/>
          <w:szCs w:val="20"/>
          <w:color w:val="auto"/>
        </w:rPr>
      </w:pPr>
      <w:r>
        <w:rPr>
          <w:rFonts w:ascii="Arial" w:cs="Arial" w:eastAsia="Arial" w:hAnsi="Arial"/>
          <w:sz w:val="18"/>
          <w:szCs w:val="18"/>
          <w:color w:val="auto"/>
        </w:rPr>
        <w:t>At our 2025 Annual Meeting of Stockholders, the advisory vote to approve the compensation of the Company’s NEOs received the approval of approximately 93% of the stockholders voting for or against this proposal. The Committee considered this vote to represent strong overall support for our NEO compensation program, and it did not make any changes to our executive compensation policies or practices that were significantly driven by the results of the vote.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2025 NEOs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6093B"/>
            </w:tcBorders>
            <w:shd w:val="clear" w:color="auto" w:fill="C6093B"/>
          </w:tcPr>
          <w:p>
            <w:pPr>
              <w:ind w:left="140"/>
              <w:spacing w:after="0"/>
              <w:rPr>
                <w:sz w:val="20"/>
                <w:szCs w:val="20"/>
                <w:color w:val="auto"/>
              </w:rPr>
            </w:pPr>
            <w:r>
              <w:rPr>
                <w:rFonts w:ascii="Arial" w:cs="Arial" w:eastAsia="Arial" w:hAnsi="Arial"/>
                <w:sz w:val="14"/>
                <w:szCs w:val="14"/>
                <w:b w:val="1"/>
                <w:bCs w:val="1"/>
                <w:color w:val="FFFFFF"/>
              </w:rPr>
              <w:t>NEO</w:t>
            </w:r>
          </w:p>
        </w:tc>
        <w:tc>
          <w:tcPr>
            <w:tcW w:w="8760" w:type="dxa"/>
            <w:vAlign w:val="bottom"/>
            <w:tcBorders>
              <w:bottom w:val="single" w:sz="8" w:color="C6093B"/>
            </w:tcBorders>
            <w:shd w:val="clear" w:color="auto" w:fill="C6093B"/>
          </w:tcPr>
          <w:p>
            <w:pPr>
              <w:ind w:left="100"/>
              <w:spacing w:after="0"/>
              <w:rPr>
                <w:sz w:val="20"/>
                <w:szCs w:val="20"/>
                <w:color w:val="auto"/>
              </w:rPr>
            </w:pPr>
            <w:r>
              <w:rPr>
                <w:rFonts w:ascii="Arial" w:cs="Arial" w:eastAsia="Arial" w:hAnsi="Arial"/>
                <w:sz w:val="14"/>
                <w:szCs w:val="14"/>
                <w:b w:val="1"/>
                <w:bCs w:val="1"/>
                <w:color w:val="FFFFFF"/>
              </w:rPr>
              <w:t>Title</w:t>
            </w:r>
          </w:p>
        </w:tc>
      </w:tr>
      <w:tr>
        <w:trPr>
          <w:trHeight w:val="210"/>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87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President and Chief Executive Officer</w:t>
            </w:r>
          </w:p>
        </w:tc>
      </w:tr>
      <w:tr>
        <w:trPr>
          <w:trHeight w:val="208"/>
        </w:trPr>
        <w:tc>
          <w:tcPr>
            <w:tcW w:w="248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8760" w:type="dxa"/>
            <w:vAlign w:val="bottom"/>
          </w:tcPr>
          <w:p>
            <w:pPr>
              <w:ind w:left="100"/>
              <w:spacing w:after="0"/>
              <w:rPr>
                <w:sz w:val="20"/>
                <w:szCs w:val="20"/>
                <w:color w:val="auto"/>
              </w:rPr>
            </w:pPr>
            <w:r>
              <w:rPr>
                <w:rFonts w:ascii="Arial" w:cs="Arial" w:eastAsia="Arial" w:hAnsi="Arial"/>
                <w:sz w:val="14"/>
                <w:szCs w:val="14"/>
                <w:color w:val="auto"/>
              </w:rPr>
              <w:t>Executive Vice President, Chief Financial Officer</w:t>
            </w:r>
          </w:p>
        </w:tc>
      </w:tr>
      <w:tr>
        <w:trPr>
          <w:trHeight w:val="22"/>
        </w:trPr>
        <w:tc>
          <w:tcPr>
            <w:tcW w:w="24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209"/>
        </w:trPr>
        <w:tc>
          <w:tcPr>
            <w:tcW w:w="24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Sarah R. Martin</w:t>
            </w:r>
          </w:p>
        </w:tc>
        <w:tc>
          <w:tcPr>
            <w:tcW w:w="876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Executive Vice President and President, Home Comfort Solutions</w:t>
            </w:r>
          </w:p>
        </w:tc>
      </w:tr>
      <w:tr>
        <w:trPr>
          <w:trHeight w:val="208"/>
        </w:trPr>
        <w:tc>
          <w:tcPr>
            <w:tcW w:w="248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8760" w:type="dxa"/>
            <w:vAlign w:val="bottom"/>
          </w:tcPr>
          <w:p>
            <w:pPr>
              <w:ind w:left="100"/>
              <w:spacing w:after="0"/>
              <w:rPr>
                <w:sz w:val="20"/>
                <w:szCs w:val="20"/>
                <w:color w:val="auto"/>
              </w:rPr>
            </w:pPr>
            <w:r>
              <w:rPr>
                <w:rFonts w:ascii="Arial" w:cs="Arial" w:eastAsia="Arial" w:hAnsi="Arial"/>
                <w:sz w:val="14"/>
                <w:szCs w:val="14"/>
                <w:color w:val="auto"/>
              </w:rPr>
              <w:t>Executive Vice President and President, Building Climate Solutions</w:t>
            </w:r>
          </w:p>
        </w:tc>
      </w:tr>
      <w:tr>
        <w:trPr>
          <w:trHeight w:val="22"/>
        </w:trPr>
        <w:tc>
          <w:tcPr>
            <w:tcW w:w="248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r>
      <w:tr>
        <w:trPr>
          <w:trHeight w:val="208"/>
        </w:trPr>
        <w:tc>
          <w:tcPr>
            <w:tcW w:w="248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876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Executive Vice President, Chief Human Resources Officer</w:t>
            </w:r>
          </w:p>
        </w:tc>
      </w:tr>
      <w:tr>
        <w:trPr>
          <w:trHeight w:val="22"/>
        </w:trPr>
        <w:tc>
          <w:tcPr>
            <w:tcW w:w="2480" w:type="dxa"/>
            <w:vAlign w:val="bottom"/>
            <w:shd w:val="clear" w:color="auto" w:fill="F1F2F2"/>
          </w:tcPr>
          <w:p>
            <w:pPr>
              <w:spacing w:after="0" w:line="20" w:lineRule="exact"/>
              <w:rPr>
                <w:sz w:val="1"/>
                <w:szCs w:val="1"/>
                <w:color w:val="auto"/>
              </w:rPr>
            </w:pPr>
          </w:p>
        </w:tc>
        <w:tc>
          <w:tcPr>
            <w:tcW w:w="8760" w:type="dxa"/>
            <w:vAlign w:val="bottom"/>
            <w:shd w:val="clear" w:color="auto" w:fill="F1F2F2"/>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Leadership Transitions</w:t>
      </w:r>
    </w:p>
    <w:p>
      <w:pPr>
        <w:spacing w:after="0" w:line="156"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Gary Bedard, Executive Vice President and President of Home Comfort Solutions, retired from the Company on April 30, 2025, after 26 years of dedicated service. On April 28, 2025, Sarah Martin was appointed as Executive Vice President and President of Home Comfort Solutions. Ms. Martin previously served in senior leadership roles with Honeywell International Inc.</w:t>
      </w:r>
    </w:p>
    <w:p>
      <w:pPr>
        <w:spacing w:after="0" w:line="6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Company provided Ms. Martin with a one-time sign-on award intended to generally replicate the amount and timing of the annual and long-term incentive compensation forfeited from her prior employer. This award consisted of:</w:t>
      </w:r>
    </w:p>
    <w:p>
      <w:pPr>
        <w:spacing w:after="0" w:line="45" w:lineRule="exact"/>
        <w:rPr>
          <w:sz w:val="20"/>
          <w:szCs w:val="20"/>
          <w:color w:val="auto"/>
        </w:rPr>
      </w:pPr>
    </w:p>
    <w:p>
      <w:pPr>
        <w:ind w:left="660" w:right="80" w:hanging="328"/>
        <w:spacing w:after="0" w:line="25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RSUs with a grant date value of $875,000, with one-half of the RSUs vesting 18 months after Ms. Martin’s commencement of employment and the remaining one-half of the RSUs vesting 36 months after Ms. Martin’s commencement of employment. Pursuant to the Company’s stock ownership guidelines, Ms. Martin must hold these shares when distributed at least until she has met the stock ownership requirement of three times base salary;</w:t>
      </w:r>
    </w:p>
    <w:p>
      <w:pPr>
        <w:spacing w:after="0" w:line="75" w:lineRule="exact"/>
        <w:rPr>
          <w:rFonts w:ascii="Arial" w:cs="Arial" w:eastAsia="Arial" w:hAnsi="Arial"/>
          <w:sz w:val="18"/>
          <w:szCs w:val="18"/>
          <w:color w:val="auto"/>
        </w:rPr>
      </w:pPr>
    </w:p>
    <w:p>
      <w:pPr>
        <w:ind w:left="660" w:right="1060" w:hanging="328"/>
        <w:spacing w:after="0" w:line="27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Performance share units (“PSUs”) with a grant date value of $375,000, which will vest on December 31, 2027, based on performance against the core net income growth and return on invested capital performance goals; and</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cash payment of $500,000, subject to a three-year clawback for voluntary departure or termination for cause.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determined that this make-whole award was reasonable and necessary to attract an executive of Ms. Martin’s caliber.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Executive Summary</w:t>
      </w:r>
    </w:p>
    <w:p>
      <w:pPr>
        <w:spacing w:after="0" w:line="1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Company’s executive compensation program is designed to attract, retain, and motivate leadership talent, align with short- and long-term business goals, maintain market competitiveness, and increase stockholder value by maintaining a strong alignment between pay and performance.</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35" w:name="page36"/>
    <w:bookmarkEnd w:id="35"/>
    <w:p>
      <w:pPr>
        <w:ind w:right="240" w:firstLine="324"/>
        <w:spacing w:after="0" w:line="271" w:lineRule="auto"/>
        <w:rPr>
          <w:sz w:val="20"/>
          <w:szCs w:val="20"/>
          <w:color w:val="auto"/>
        </w:rPr>
      </w:pPr>
      <w:r>
        <w:rPr>
          <w:rFonts w:ascii="Arial" w:cs="Arial" w:eastAsia="Arial" w:hAnsi="Arial"/>
          <w:sz w:val="18"/>
          <w:szCs w:val="18"/>
          <w:color w:val="auto"/>
        </w:rPr>
        <w:t>Highlights of our 2025 financial performance and the linkage between executive compensation and financial performance are set forth below.</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Financial Highlights</w:t>
      </w:r>
    </w:p>
    <w:p>
      <w:pPr>
        <w:spacing w:after="0" w:line="15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 2025, the Company strengthened its market position with enhanced product offerings and availability. Despite softer end markets and macroeconomic headwinds, Lennox delivered solid results. Most notably, the Company achieved full-year margins above 20% for the first time in its history. This meaningful milestone reflects the structural improvements made in the Company’s production capacity and operational efficiency. Highlights of our 2025 performance include the following:</w:t>
      </w:r>
    </w:p>
    <w:p>
      <w:pPr>
        <w:spacing w:after="0" w:line="11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GAAP diluted earnings per share up 0.6% to $22.79, while adjusted diluted earnings per share was up 2% to $23.16;</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Segment profit up 2% to $1.1 billion and segment profit margin up 90 basis points to 20.4%;</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Three-year TSR of 109% and five-year TSR of 88%; and</w:t>
      </w:r>
    </w:p>
    <w:p>
      <w:pPr>
        <w:spacing w:after="0" w:line="15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Quarterly dividends resulted in approximately $173 million paid to stockholders, and the Company used an additional $482 million to repurchase shares under our stock repurchase program.</w:t>
      </w:r>
    </w:p>
    <w:p>
      <w:pPr>
        <w:spacing w:after="0" w:line="85" w:lineRule="exact"/>
        <w:rPr>
          <w:sz w:val="20"/>
          <w:szCs w:val="20"/>
          <w:color w:val="auto"/>
        </w:rPr>
      </w:pPr>
    </w:p>
    <w:p>
      <w:pPr>
        <w:ind w:right="840" w:firstLine="324"/>
        <w:spacing w:after="0" w:line="271" w:lineRule="auto"/>
        <w:rPr>
          <w:sz w:val="20"/>
          <w:szCs w:val="20"/>
          <w:color w:val="auto"/>
        </w:rPr>
      </w:pPr>
      <w:r>
        <w:rPr>
          <w:rFonts w:ascii="Arial" w:cs="Arial" w:eastAsia="Arial" w:hAnsi="Arial"/>
          <w:sz w:val="18"/>
          <w:szCs w:val="18"/>
          <w:color w:val="auto"/>
        </w:rPr>
        <w:t>Financial results, including those from prior periods, are described in more detail in our Form 10-K. For non-GAAP results, see reconciliation in Appendix A. All TSR calculations assume reinvestment of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Compensation Highlights</w:t>
      </w:r>
    </w:p>
    <w:p>
      <w:pPr>
        <w:spacing w:after="0" w:line="158" w:lineRule="exact"/>
        <w:rPr>
          <w:sz w:val="20"/>
          <w:szCs w:val="20"/>
          <w:color w:val="auto"/>
        </w:rPr>
      </w:pPr>
    </w:p>
    <w:p>
      <w:pPr>
        <w:ind w:right="60" w:firstLine="324"/>
        <w:spacing w:after="0" w:line="248" w:lineRule="auto"/>
        <w:rPr>
          <w:sz w:val="20"/>
          <w:szCs w:val="20"/>
          <w:color w:val="auto"/>
        </w:rPr>
      </w:pPr>
      <w:r>
        <w:rPr>
          <w:rFonts w:ascii="Arial" w:cs="Arial" w:eastAsia="Arial" w:hAnsi="Arial"/>
          <w:sz w:val="18"/>
          <w:szCs w:val="18"/>
          <w:color w:val="auto"/>
        </w:rPr>
        <w:t>The Committee believes that the design of the Company’s executive compensation program provides a direct link between Company performance and the compensation to our NEOs. Our executive compensation program has three primary elements: base salary, short-term incentives (as part of our Short-Term Incentive (“STI”) Program), and long-term equity incentives (as part of our Long-Term Incentive (“LTI”) Program). Each of these compensation elements serves a specific purpose in our compensation strategy. Base salary is an essential component to any market-competitive executive compensation program. Short-term incentives reward the achievement of annual goals, while long-term incentives drive our NEOs to focus on continuous stockholder value creation.</w:t>
      </w:r>
    </w:p>
    <w:p>
      <w:pPr>
        <w:spacing w:after="0" w:line="121" w:lineRule="exact"/>
        <w:rPr>
          <w:sz w:val="20"/>
          <w:szCs w:val="20"/>
          <w:color w:val="auto"/>
        </w:rPr>
      </w:pPr>
    </w:p>
    <w:p>
      <w:pPr>
        <w:jc w:val="both"/>
        <w:ind w:left="660" w:right="320" w:hanging="328"/>
        <w:spacing w:after="0" w:line="283" w:lineRule="auto"/>
        <w:tabs>
          <w:tab w:leader="none" w:pos="655"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Base salaries: </w:t>
      </w:r>
      <w:r>
        <w:rPr>
          <w:rFonts w:ascii="Arial" w:cs="Arial" w:eastAsia="Arial" w:hAnsi="Arial"/>
          <w:sz w:val="17"/>
          <w:szCs w:val="17"/>
          <w:color w:val="auto"/>
        </w:rPr>
        <w:t>NEOs’ base salaries are adjusted annually, effective April 1. The average increase in 2025 for Messrs. Maskara,</w:t>
      </w:r>
      <w:r>
        <w:rPr>
          <w:rFonts w:ascii="Arial" w:cs="Arial" w:eastAsia="Arial" w:hAnsi="Arial"/>
          <w:sz w:val="17"/>
          <w:szCs w:val="17"/>
          <w:b w:val="1"/>
          <w:bCs w:val="1"/>
          <w:color w:val="auto"/>
        </w:rPr>
        <w:t xml:space="preserve"> </w:t>
      </w:r>
      <w:r>
        <w:rPr>
          <w:rFonts w:ascii="Arial" w:cs="Arial" w:eastAsia="Arial" w:hAnsi="Arial"/>
          <w:sz w:val="17"/>
          <w:szCs w:val="17"/>
          <w:color w:val="auto"/>
        </w:rPr>
        <w:t>Nassab, and Sessa was 4.2% with a range of 3.0% to 5.3%. Mr. Quenzer’s increase of 18.2% is due to the multi-year strategy to attain median compensation levels for the CFO position. Ms. Martin was hired in April of 2025 and did not receive an increase.</w:t>
      </w:r>
    </w:p>
    <w:p>
      <w:pPr>
        <w:spacing w:after="0" w:line="91" w:lineRule="exact"/>
        <w:rPr>
          <w:rFonts w:ascii="Arial" w:cs="Arial" w:eastAsia="Arial" w:hAnsi="Arial"/>
          <w:sz w:val="17"/>
          <w:szCs w:val="17"/>
          <w:b w:val="1"/>
          <w:bCs w:val="1"/>
          <w:color w:val="auto"/>
        </w:rPr>
      </w:pPr>
    </w:p>
    <w:p>
      <w:pPr>
        <w:ind w:left="660" w:right="20" w:hanging="328"/>
        <w:spacing w:after="0" w:line="244" w:lineRule="auto"/>
        <w:tabs>
          <w:tab w:leader="none" w:pos="6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STI Program: </w:t>
      </w:r>
      <w:r>
        <w:rPr>
          <w:rFonts w:ascii="Arial" w:cs="Arial" w:eastAsia="Arial" w:hAnsi="Arial"/>
          <w:sz w:val="18"/>
          <w:szCs w:val="18"/>
          <w:color w:val="auto"/>
        </w:rPr>
        <w:t>STI amounts are determined by Company performance against the earnings, cash flow, and revenue goals,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Committee. Once the Company’s performance against goals is determined, 25% of that amount may be modified from 0% to 225% based on each NEO’s individual performance, with total payout capped at 225%. When determining whether to modify an NEO’s calculated STI amount, the Committee considered each NEO’s performance against specific financial, operational, and strategic objectives, as well as each NEO’s contribution to our sustainability commitment for the benefit of our stakeholders. The Company’s sustainability goals include reducing the environmental impact of our products and operations, reducing the number of safety incidents in our operations, and enhancing the inclusiveness of our workforce. For more information on the Company’s sustainability performance, see www.lennox.com/sustainability.</w:t>
      </w:r>
    </w:p>
    <w:p>
      <w:pPr>
        <w:spacing w:after="0" w:line="139" w:lineRule="exact"/>
        <w:rPr>
          <w:rFonts w:ascii="Arial" w:cs="Arial" w:eastAsia="Arial" w:hAnsi="Arial"/>
          <w:sz w:val="18"/>
          <w:szCs w:val="18"/>
          <w:b w:val="1"/>
          <w:bCs w:val="1"/>
          <w:color w:val="auto"/>
        </w:rPr>
      </w:pPr>
    </w:p>
    <w:p>
      <w:pPr>
        <w:ind w:left="660"/>
        <w:spacing w:after="0" w:line="262" w:lineRule="auto"/>
        <w:rPr>
          <w:rFonts w:ascii="Arial" w:cs="Arial" w:eastAsia="Arial" w:hAnsi="Arial"/>
          <w:sz w:val="18"/>
          <w:szCs w:val="18"/>
          <w:b w:val="1"/>
          <w:bCs w:val="1"/>
          <w:color w:val="auto"/>
        </w:rPr>
      </w:pPr>
      <w:r>
        <w:rPr>
          <w:rFonts w:ascii="Arial" w:cs="Arial" w:eastAsia="Arial" w:hAnsi="Arial"/>
          <w:sz w:val="17"/>
          <w:szCs w:val="17"/>
          <w:color w:val="auto"/>
        </w:rPr>
        <w:t>For 2025, Company performance against the STI earnings goal came in around target while cash flow and revenue fell below target, resulting in an STI payout of approximately 90% of target for Messrs. Maskara, Quenzer, and Sessa. Ms. Martin’s STI payout of 80% was a result of Home Comfort Solutions segment performance falling below target and blended with consolidated Company performance. Mr. Nassab’s STI payout of 89% was a result of Business Climate Solutions segment performance falling below target and blended with consolidated Company performance. The STI payout for all NEOs was calculated based on Company performance against pre-established goals. The Committee did not apply any discretion to adjust for tariffs or any other unexpected headwinds.</w:t>
      </w:r>
    </w:p>
    <w:p>
      <w:pPr>
        <w:spacing w:after="0" w:line="110" w:lineRule="exact"/>
        <w:rPr>
          <w:rFonts w:ascii="Arial" w:cs="Arial" w:eastAsia="Arial" w:hAnsi="Arial"/>
          <w:sz w:val="18"/>
          <w:szCs w:val="18"/>
          <w:b w:val="1"/>
          <w:bCs w:val="1"/>
          <w:color w:val="auto"/>
        </w:rPr>
      </w:pPr>
    </w:p>
    <w:p>
      <w:pPr>
        <w:ind w:left="660" w:right="180" w:hanging="328"/>
        <w:spacing w:after="0" w:line="261" w:lineRule="auto"/>
        <w:tabs>
          <w:tab w:leader="none" w:pos="655"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LTI Program: </w:t>
      </w:r>
      <w:r>
        <w:rPr>
          <w:rFonts w:ascii="Arial" w:cs="Arial" w:eastAsia="Arial" w:hAnsi="Arial"/>
          <w:sz w:val="18"/>
          <w:szCs w:val="18"/>
          <w:color w:val="auto"/>
        </w:rPr>
        <w:t>NEOs receive 50% of their annual LTI grant in the form of performance-based restricted stock units, which vest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three years. In 2025, the NEOs earned approximately 196% of their target PSUs granted in December 2022 based on core net income and ROIC performance over the 2023-2025 three-year period. The three-year TSR over this time frame was 109%.</w:t>
      </w:r>
    </w:p>
    <w:p>
      <w:pPr>
        <w:spacing w:after="0" w:line="39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C60C35"/>
        </w:rPr>
        <w:t>Positive Governance Practices</w:t>
      </w:r>
    </w:p>
    <w:p>
      <w:pPr>
        <w:spacing w:after="0" w:line="156" w:lineRule="exact"/>
        <w:rPr>
          <w:sz w:val="20"/>
          <w:szCs w:val="20"/>
          <w:color w:val="auto"/>
        </w:rPr>
      </w:pPr>
    </w:p>
    <w:p>
      <w:pPr>
        <w:jc w:val="both"/>
        <w:ind w:right="460" w:firstLine="324"/>
        <w:spacing w:after="0" w:line="261" w:lineRule="auto"/>
        <w:rPr>
          <w:sz w:val="20"/>
          <w:szCs w:val="20"/>
          <w:color w:val="auto"/>
        </w:rPr>
      </w:pPr>
      <w:r>
        <w:rPr>
          <w:rFonts w:ascii="Arial" w:cs="Arial" w:eastAsia="Arial" w:hAnsi="Arial"/>
          <w:sz w:val="18"/>
          <w:szCs w:val="18"/>
          <w:color w:val="auto"/>
        </w:rPr>
        <w:t>The Committee assesses trends and developments in executive compensation practices and implements those that best fit with the Company’s business strategy and our stockholders’ long-term interests. Below are some of the practices we have incorporated into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3346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3346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p>
      <w:pPr>
        <w:spacing w:after="0" w:line="27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FFFFFF"/>
        </w:rPr>
        <w:t>What We Do</w:t>
      </w:r>
    </w:p>
    <w:p>
      <w:pPr>
        <w:ind w:left="460" w:hanging="434"/>
        <w:spacing w:after="0" w:line="192" w:lineRule="auto"/>
        <w:tabs>
          <w:tab w:leader="none" w:pos="460" w:val="left"/>
        </w:tabs>
        <w:numPr>
          <w:ilvl w:val="0"/>
          <w:numId w:val="55"/>
        </w:numPr>
        <w:rPr>
          <w:rFonts w:ascii="MS PGothic" w:cs="MS PGothic" w:eastAsia="MS PGothic" w:hAnsi="MS PGothic"/>
          <w:sz w:val="50"/>
          <w:szCs w:val="50"/>
          <w:color w:val="auto"/>
          <w:vertAlign w:val="subscript"/>
        </w:rPr>
      </w:pPr>
      <w:r>
        <w:rPr>
          <w:rFonts w:ascii="Arial" w:cs="Arial" w:eastAsia="Arial" w:hAnsi="Arial"/>
          <w:sz w:val="18"/>
          <w:szCs w:val="18"/>
          <w:color w:val="auto"/>
        </w:rPr>
        <w:t>Median compensation philosophy</w:t>
      </w:r>
    </w:p>
    <w:p>
      <w:pPr>
        <w:spacing w:after="0" w:line="153" w:lineRule="exact"/>
        <w:rPr>
          <w:rFonts w:ascii="MS PGothic" w:cs="MS PGothic" w:eastAsia="MS PGothic" w:hAnsi="MS PGothic"/>
          <w:sz w:val="50"/>
          <w:szCs w:val="50"/>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Pay-for-performance linkage</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Long-term balance in compensation structure</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Use of independent compensation consultant</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Annual risk assessment</w:t>
      </w:r>
    </w:p>
    <w:p>
      <w:pPr>
        <w:spacing w:after="0" w:line="235" w:lineRule="exact"/>
        <w:rPr>
          <w:rFonts w:ascii="MS PGothic" w:cs="MS PGothic" w:eastAsia="MS PGothic" w:hAnsi="MS PGothic"/>
          <w:sz w:val="42"/>
          <w:szCs w:val="42"/>
          <w:color w:val="auto"/>
          <w:vertAlign w:val="subscript"/>
        </w:rPr>
      </w:pPr>
    </w:p>
    <w:p>
      <w:pPr>
        <w:ind w:left="460"/>
        <w:spacing w:after="0"/>
        <w:rPr>
          <w:rFonts w:ascii="MS PGothic" w:cs="MS PGothic" w:eastAsia="MS PGothic" w:hAnsi="MS PGothic"/>
          <w:sz w:val="42"/>
          <w:szCs w:val="42"/>
          <w:color w:val="auto"/>
          <w:vertAlign w:val="subscript"/>
        </w:rPr>
      </w:pPr>
      <w:r>
        <w:rPr>
          <w:rFonts w:ascii="Arial" w:cs="Arial" w:eastAsia="Arial" w:hAnsi="Arial"/>
          <w:sz w:val="18"/>
          <w:szCs w:val="18"/>
          <w:color w:val="auto"/>
        </w:rPr>
        <w:t>Change in control double-trigger for severance and equity</w:t>
      </w:r>
    </w:p>
    <w:p>
      <w:pPr>
        <w:spacing w:after="0" w:line="27" w:lineRule="exact"/>
        <w:rPr>
          <w:rFonts w:ascii="MS PGothic" w:cs="MS PGothic" w:eastAsia="MS PGothic" w:hAnsi="MS PGothic"/>
          <w:sz w:val="42"/>
          <w:szCs w:val="42"/>
          <w:color w:val="auto"/>
          <w:vertAlign w:val="subscript"/>
        </w:rPr>
      </w:pPr>
    </w:p>
    <w:p>
      <w:pPr>
        <w:ind w:left="460" w:hanging="434"/>
        <w:spacing w:after="0" w:line="209" w:lineRule="auto"/>
        <w:tabs>
          <w:tab w:leader="none" w:pos="460" w:val="left"/>
        </w:tabs>
        <w:numPr>
          <w:ilvl w:val="0"/>
          <w:numId w:val="55"/>
        </w:numPr>
        <w:rPr>
          <w:rFonts w:ascii="MS PGothic" w:cs="MS PGothic" w:eastAsia="MS PGothic" w:hAnsi="MS PGothic"/>
          <w:sz w:val="25"/>
          <w:szCs w:val="25"/>
          <w:color w:val="auto"/>
        </w:rPr>
      </w:pPr>
      <w:r>
        <w:rPr>
          <w:rFonts w:ascii="Arial" w:cs="Arial" w:eastAsia="Arial" w:hAnsi="Arial"/>
          <w:sz w:val="18"/>
          <w:szCs w:val="18"/>
          <w:color w:val="auto"/>
        </w:rPr>
        <w:t>vesting</w:t>
      </w:r>
    </w:p>
    <w:p>
      <w:pPr>
        <w:spacing w:after="0" w:line="45" w:lineRule="exact"/>
        <w:rPr>
          <w:rFonts w:ascii="MS PGothic" w:cs="MS PGothic" w:eastAsia="MS PGothic" w:hAnsi="MS PGothic"/>
          <w:sz w:val="25"/>
          <w:szCs w:val="25"/>
          <w:color w:val="auto"/>
        </w:rPr>
      </w:pPr>
    </w:p>
    <w:p>
      <w:pPr>
        <w:ind w:left="460" w:hanging="434"/>
        <w:spacing w:after="0" w:line="205" w:lineRule="auto"/>
        <w:tabs>
          <w:tab w:leader="none" w:pos="460" w:val="left"/>
        </w:tabs>
        <w:numPr>
          <w:ilvl w:val="0"/>
          <w:numId w:val="55"/>
        </w:numPr>
        <w:rPr>
          <w:rFonts w:ascii="MS PGothic" w:cs="MS PGothic" w:eastAsia="MS PGothic" w:hAnsi="MS PGothic"/>
          <w:sz w:val="50"/>
          <w:szCs w:val="50"/>
          <w:color w:val="auto"/>
          <w:vertAlign w:val="subscript"/>
        </w:rPr>
      </w:pPr>
      <w:r>
        <w:rPr>
          <w:rFonts w:ascii="Arial" w:cs="Arial" w:eastAsia="Arial" w:hAnsi="Arial"/>
          <w:sz w:val="18"/>
          <w:szCs w:val="18"/>
          <w:color w:val="auto"/>
        </w:rPr>
        <w:t>Clawback policies and provisions</w:t>
      </w:r>
    </w:p>
    <w:p>
      <w:pPr>
        <w:spacing w:after="0" w:line="153" w:lineRule="exact"/>
        <w:rPr>
          <w:rFonts w:ascii="MS PGothic" w:cs="MS PGothic" w:eastAsia="MS PGothic" w:hAnsi="MS PGothic"/>
          <w:sz w:val="50"/>
          <w:szCs w:val="50"/>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Non-Competition / Non-Solicitation restrictions</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Annual review of share utilization</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Regular market assessment of our peer group</w:t>
      </w:r>
    </w:p>
    <w:p>
      <w:pPr>
        <w:spacing w:after="0" w:line="154" w:lineRule="exact"/>
        <w:rPr>
          <w:rFonts w:ascii="MS PGothic" w:cs="MS PGothic" w:eastAsia="MS PGothic" w:hAnsi="MS PGothic"/>
          <w:sz w:val="42"/>
          <w:szCs w:val="42"/>
          <w:color w:val="auto"/>
          <w:vertAlign w:val="subscript"/>
        </w:rPr>
      </w:pPr>
    </w:p>
    <w:p>
      <w:pPr>
        <w:ind w:left="460" w:hanging="434"/>
        <w:spacing w:after="0" w:line="182" w:lineRule="auto"/>
        <w:tabs>
          <w:tab w:leader="none" w:pos="460" w:val="left"/>
        </w:tabs>
        <w:numPr>
          <w:ilvl w:val="0"/>
          <w:numId w:val="55"/>
        </w:numPr>
        <w:rPr>
          <w:rFonts w:ascii="MS PGothic" w:cs="MS PGothic" w:eastAsia="MS PGothic" w:hAnsi="MS PGothic"/>
          <w:sz w:val="42"/>
          <w:szCs w:val="42"/>
          <w:color w:val="auto"/>
          <w:vertAlign w:val="subscript"/>
        </w:rPr>
      </w:pPr>
      <w:r>
        <w:rPr>
          <w:rFonts w:ascii="Arial" w:cs="Arial" w:eastAsia="Arial" w:hAnsi="Arial"/>
          <w:sz w:val="16"/>
          <w:szCs w:val="16"/>
          <w:color w:val="auto"/>
        </w:rPr>
        <w:t>Rigorous stock ownership guidelines</w:t>
      </w:r>
    </w:p>
    <w:p>
      <w:pPr>
        <w:spacing w:after="0" w:line="235" w:lineRule="exact"/>
        <w:rPr>
          <w:rFonts w:ascii="MS PGothic" w:cs="MS PGothic" w:eastAsia="MS PGothic" w:hAnsi="MS PGothic"/>
          <w:sz w:val="42"/>
          <w:szCs w:val="42"/>
          <w:color w:val="auto"/>
          <w:vertAlign w:val="subscript"/>
        </w:rPr>
      </w:pPr>
    </w:p>
    <w:p>
      <w:pPr>
        <w:ind w:left="460"/>
        <w:spacing w:after="0"/>
        <w:rPr>
          <w:rFonts w:ascii="MS PGothic" w:cs="MS PGothic" w:eastAsia="MS PGothic" w:hAnsi="MS PGothic"/>
          <w:sz w:val="42"/>
          <w:szCs w:val="42"/>
          <w:color w:val="auto"/>
          <w:vertAlign w:val="subscript"/>
        </w:rPr>
      </w:pPr>
      <w:r>
        <w:rPr>
          <w:rFonts w:ascii="Arial" w:cs="Arial" w:eastAsia="Arial" w:hAnsi="Arial"/>
          <w:sz w:val="17"/>
          <w:szCs w:val="17"/>
          <w:color w:val="auto"/>
        </w:rPr>
        <w:t>Minimum vesting requirement of at least one year for 95%</w:t>
      </w:r>
    </w:p>
    <w:p>
      <w:pPr>
        <w:spacing w:after="0" w:line="38" w:lineRule="exact"/>
        <w:rPr>
          <w:rFonts w:ascii="MS PGothic" w:cs="MS PGothic" w:eastAsia="MS PGothic" w:hAnsi="MS PGothic"/>
          <w:sz w:val="42"/>
          <w:szCs w:val="42"/>
          <w:color w:val="auto"/>
          <w:vertAlign w:val="subscript"/>
        </w:rPr>
      </w:pPr>
    </w:p>
    <w:p>
      <w:pPr>
        <w:ind w:left="460" w:hanging="434"/>
        <w:spacing w:after="0" w:line="209" w:lineRule="auto"/>
        <w:tabs>
          <w:tab w:leader="none" w:pos="460" w:val="left"/>
        </w:tabs>
        <w:numPr>
          <w:ilvl w:val="0"/>
          <w:numId w:val="55"/>
        </w:numPr>
        <w:rPr>
          <w:rFonts w:ascii="MS PGothic" w:cs="MS PGothic" w:eastAsia="MS PGothic" w:hAnsi="MS PGothic"/>
          <w:sz w:val="25"/>
          <w:szCs w:val="25"/>
          <w:color w:val="auto"/>
        </w:rPr>
      </w:pPr>
      <w:r>
        <w:rPr>
          <w:rFonts w:ascii="Arial" w:cs="Arial" w:eastAsia="Arial" w:hAnsi="Arial"/>
          <w:sz w:val="18"/>
          <w:szCs w:val="18"/>
          <w:color w:val="auto"/>
        </w:rPr>
        <w:t>or more of equity incentive plan awards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69"/>
        <w:spacing w:after="0"/>
        <w:rPr>
          <w:sz w:val="20"/>
          <w:szCs w:val="20"/>
          <w:color w:val="auto"/>
        </w:rPr>
      </w:pPr>
      <w:r>
        <w:rPr>
          <w:rFonts w:ascii="Arial" w:cs="Arial" w:eastAsia="Arial" w:hAnsi="Arial"/>
          <w:sz w:val="22"/>
          <w:szCs w:val="22"/>
          <w:b w:val="1"/>
          <w:bCs w:val="1"/>
          <w:color w:val="FFFFFF"/>
        </w:rPr>
        <w:t>What We Don’t Do</w:t>
      </w:r>
    </w:p>
    <w:p>
      <w:pPr>
        <w:ind w:left="449" w:hanging="449"/>
        <w:spacing w:after="0" w:line="192" w:lineRule="auto"/>
        <w:tabs>
          <w:tab w:leader="none" w:pos="449" w:val="left"/>
        </w:tabs>
        <w:numPr>
          <w:ilvl w:val="0"/>
          <w:numId w:val="56"/>
        </w:numPr>
        <w:rPr>
          <w:rFonts w:ascii="MS PGothic" w:cs="MS PGothic" w:eastAsia="MS PGothic" w:hAnsi="MS PGothic"/>
          <w:sz w:val="50"/>
          <w:szCs w:val="50"/>
          <w:color w:val="auto"/>
          <w:vertAlign w:val="subscript"/>
        </w:rPr>
      </w:pPr>
      <w:r>
        <w:rPr>
          <w:rFonts w:ascii="Arial" w:cs="Arial" w:eastAsia="Arial" w:hAnsi="Arial"/>
          <w:sz w:val="18"/>
          <w:szCs w:val="18"/>
          <w:color w:val="auto"/>
        </w:rPr>
        <w:t>No excise tax gross-ups</w:t>
      </w:r>
    </w:p>
    <w:p>
      <w:pPr>
        <w:spacing w:after="0" w:line="153" w:lineRule="exact"/>
        <w:rPr>
          <w:rFonts w:ascii="MS PGothic" w:cs="MS PGothic" w:eastAsia="MS PGothic" w:hAnsi="MS PGothic"/>
          <w:sz w:val="50"/>
          <w:szCs w:val="50"/>
          <w:color w:val="auto"/>
          <w:vertAlign w:val="subscript"/>
        </w:rPr>
      </w:pPr>
    </w:p>
    <w:p>
      <w:pPr>
        <w:ind w:left="449" w:hanging="449"/>
        <w:spacing w:after="0" w:line="182" w:lineRule="auto"/>
        <w:tabs>
          <w:tab w:leader="none" w:pos="449" w:val="left"/>
        </w:tabs>
        <w:numPr>
          <w:ilvl w:val="0"/>
          <w:numId w:val="56"/>
        </w:numPr>
        <w:rPr>
          <w:rFonts w:ascii="MS PGothic" w:cs="MS PGothic" w:eastAsia="MS PGothic" w:hAnsi="MS PGothic"/>
          <w:sz w:val="42"/>
          <w:szCs w:val="42"/>
          <w:color w:val="auto"/>
          <w:vertAlign w:val="subscript"/>
        </w:rPr>
      </w:pPr>
      <w:r>
        <w:rPr>
          <w:rFonts w:ascii="Arial" w:cs="Arial" w:eastAsia="Arial" w:hAnsi="Arial"/>
          <w:sz w:val="16"/>
          <w:szCs w:val="16"/>
          <w:color w:val="auto"/>
        </w:rPr>
        <w:t>No hedging of Company stock</w:t>
      </w:r>
    </w:p>
    <w:p>
      <w:pPr>
        <w:spacing w:after="0" w:line="154" w:lineRule="exact"/>
        <w:rPr>
          <w:rFonts w:ascii="MS PGothic" w:cs="MS PGothic" w:eastAsia="MS PGothic" w:hAnsi="MS PGothic"/>
          <w:sz w:val="42"/>
          <w:szCs w:val="42"/>
          <w:color w:val="auto"/>
          <w:vertAlign w:val="subscript"/>
        </w:rPr>
      </w:pPr>
    </w:p>
    <w:p>
      <w:pPr>
        <w:ind w:left="449" w:hanging="449"/>
        <w:spacing w:after="0" w:line="182" w:lineRule="auto"/>
        <w:tabs>
          <w:tab w:leader="none" w:pos="449" w:val="left"/>
        </w:tabs>
        <w:numPr>
          <w:ilvl w:val="0"/>
          <w:numId w:val="56"/>
        </w:numPr>
        <w:rPr>
          <w:rFonts w:ascii="MS PGothic" w:cs="MS PGothic" w:eastAsia="MS PGothic" w:hAnsi="MS PGothic"/>
          <w:sz w:val="42"/>
          <w:szCs w:val="42"/>
          <w:color w:val="auto"/>
          <w:vertAlign w:val="subscript"/>
        </w:rPr>
      </w:pPr>
      <w:r>
        <w:rPr>
          <w:rFonts w:ascii="Arial" w:cs="Arial" w:eastAsia="Arial" w:hAnsi="Arial"/>
          <w:sz w:val="16"/>
          <w:szCs w:val="16"/>
          <w:color w:val="auto"/>
        </w:rPr>
        <w:t>No pledging of Company stock</w:t>
      </w:r>
    </w:p>
    <w:p>
      <w:pPr>
        <w:spacing w:after="0" w:line="154" w:lineRule="exact"/>
        <w:rPr>
          <w:rFonts w:ascii="MS PGothic" w:cs="MS PGothic" w:eastAsia="MS PGothic" w:hAnsi="MS PGothic"/>
          <w:sz w:val="42"/>
          <w:szCs w:val="42"/>
          <w:color w:val="auto"/>
          <w:vertAlign w:val="subscript"/>
        </w:rPr>
      </w:pPr>
    </w:p>
    <w:p>
      <w:pPr>
        <w:ind w:left="449" w:hanging="449"/>
        <w:spacing w:after="0" w:line="182" w:lineRule="auto"/>
        <w:tabs>
          <w:tab w:leader="none" w:pos="449" w:val="left"/>
        </w:tabs>
        <w:numPr>
          <w:ilvl w:val="0"/>
          <w:numId w:val="56"/>
        </w:numPr>
        <w:rPr>
          <w:rFonts w:ascii="MS PGothic" w:cs="MS PGothic" w:eastAsia="MS PGothic" w:hAnsi="MS PGothic"/>
          <w:sz w:val="42"/>
          <w:szCs w:val="42"/>
          <w:color w:val="auto"/>
          <w:vertAlign w:val="subscript"/>
        </w:rPr>
      </w:pPr>
      <w:r>
        <w:rPr>
          <w:rFonts w:ascii="Arial" w:cs="Arial" w:eastAsia="Arial" w:hAnsi="Arial"/>
          <w:sz w:val="16"/>
          <w:szCs w:val="16"/>
          <w:color w:val="auto"/>
        </w:rPr>
        <w:t>No dividends on equity awards in annual grant</w:t>
      </w:r>
    </w:p>
    <w:p>
      <w:pPr>
        <w:spacing w:after="0" w:line="154" w:lineRule="exact"/>
        <w:rPr>
          <w:rFonts w:ascii="MS PGothic" w:cs="MS PGothic" w:eastAsia="MS PGothic" w:hAnsi="MS PGothic"/>
          <w:sz w:val="42"/>
          <w:szCs w:val="42"/>
          <w:color w:val="auto"/>
          <w:vertAlign w:val="subscript"/>
        </w:rPr>
      </w:pPr>
    </w:p>
    <w:p>
      <w:pPr>
        <w:ind w:left="449" w:hanging="449"/>
        <w:spacing w:after="0" w:line="182" w:lineRule="auto"/>
        <w:tabs>
          <w:tab w:leader="none" w:pos="449" w:val="left"/>
        </w:tabs>
        <w:numPr>
          <w:ilvl w:val="0"/>
          <w:numId w:val="56"/>
        </w:numPr>
        <w:rPr>
          <w:rFonts w:ascii="MS PGothic" w:cs="MS PGothic" w:eastAsia="MS PGothic" w:hAnsi="MS PGothic"/>
          <w:sz w:val="42"/>
          <w:szCs w:val="42"/>
          <w:color w:val="auto"/>
          <w:vertAlign w:val="subscript"/>
        </w:rPr>
      </w:pPr>
      <w:r>
        <w:rPr>
          <w:rFonts w:ascii="Arial" w:cs="Arial" w:eastAsia="Arial" w:hAnsi="Arial"/>
          <w:sz w:val="16"/>
          <w:szCs w:val="16"/>
          <w:color w:val="auto"/>
        </w:rPr>
        <w:t>No repricing of stock appreciation rights or options</w:t>
      </w:r>
    </w:p>
    <w:p>
      <w:pPr>
        <w:spacing w:after="0" w:line="235" w:lineRule="exact"/>
        <w:rPr>
          <w:rFonts w:ascii="MS PGothic" w:cs="MS PGothic" w:eastAsia="MS PGothic" w:hAnsi="MS PGothic"/>
          <w:sz w:val="42"/>
          <w:szCs w:val="42"/>
          <w:color w:val="auto"/>
          <w:vertAlign w:val="subscript"/>
        </w:rPr>
      </w:pPr>
    </w:p>
    <w:p>
      <w:pPr>
        <w:ind w:left="449"/>
        <w:spacing w:after="0"/>
        <w:rPr>
          <w:rFonts w:ascii="MS PGothic" w:cs="MS PGothic" w:eastAsia="MS PGothic" w:hAnsi="MS PGothic"/>
          <w:sz w:val="42"/>
          <w:szCs w:val="42"/>
          <w:color w:val="auto"/>
          <w:vertAlign w:val="subscript"/>
        </w:rPr>
      </w:pPr>
      <w:r>
        <w:rPr>
          <w:rFonts w:ascii="Arial" w:cs="Arial" w:eastAsia="Arial" w:hAnsi="Arial"/>
          <w:sz w:val="17"/>
          <w:szCs w:val="17"/>
          <w:color w:val="auto"/>
        </w:rPr>
        <w:t>No cash buyouts of underwater stock appreciation rights or</w:t>
      </w:r>
    </w:p>
    <w:p>
      <w:pPr>
        <w:spacing w:after="0" w:line="38" w:lineRule="exact"/>
        <w:rPr>
          <w:rFonts w:ascii="MS PGothic" w:cs="MS PGothic" w:eastAsia="MS PGothic" w:hAnsi="MS PGothic"/>
          <w:sz w:val="42"/>
          <w:szCs w:val="42"/>
          <w:color w:val="auto"/>
          <w:vertAlign w:val="subscript"/>
        </w:rPr>
      </w:pPr>
    </w:p>
    <w:p>
      <w:pPr>
        <w:ind w:left="449" w:hanging="449"/>
        <w:spacing w:after="0" w:line="209" w:lineRule="auto"/>
        <w:tabs>
          <w:tab w:leader="none" w:pos="449" w:val="left"/>
        </w:tabs>
        <w:numPr>
          <w:ilvl w:val="0"/>
          <w:numId w:val="56"/>
        </w:numPr>
        <w:rPr>
          <w:rFonts w:ascii="MS PGothic" w:cs="MS PGothic" w:eastAsia="MS PGothic" w:hAnsi="MS PGothic"/>
          <w:sz w:val="25"/>
          <w:szCs w:val="25"/>
          <w:color w:val="auto"/>
        </w:rPr>
      </w:pPr>
      <w:r>
        <w:rPr>
          <w:rFonts w:ascii="Arial" w:cs="Arial" w:eastAsia="Arial" w:hAnsi="Arial"/>
          <w:sz w:val="18"/>
          <w:szCs w:val="18"/>
          <w:color w:val="auto"/>
        </w:rPr>
        <w:t>options</w:t>
      </w:r>
    </w:p>
    <w:p>
      <w:pPr>
        <w:spacing w:after="0" w:line="45" w:lineRule="exact"/>
        <w:rPr>
          <w:rFonts w:ascii="MS PGothic" w:cs="MS PGothic" w:eastAsia="MS PGothic" w:hAnsi="MS PGothic"/>
          <w:sz w:val="25"/>
          <w:szCs w:val="25"/>
          <w:color w:val="auto"/>
        </w:rPr>
      </w:pPr>
    </w:p>
    <w:p>
      <w:pPr>
        <w:ind w:left="449" w:hanging="449"/>
        <w:spacing w:after="0" w:line="205" w:lineRule="auto"/>
        <w:tabs>
          <w:tab w:leader="none" w:pos="449" w:val="left"/>
        </w:tabs>
        <w:numPr>
          <w:ilvl w:val="0"/>
          <w:numId w:val="56"/>
        </w:numPr>
        <w:rPr>
          <w:rFonts w:ascii="MS PGothic" w:cs="MS PGothic" w:eastAsia="MS PGothic" w:hAnsi="MS PGothic"/>
          <w:sz w:val="50"/>
          <w:szCs w:val="50"/>
          <w:color w:val="auto"/>
          <w:vertAlign w:val="subscript"/>
        </w:rPr>
      </w:pPr>
      <w:r>
        <w:rPr>
          <w:rFonts w:ascii="Arial" w:cs="Arial" w:eastAsia="Arial" w:hAnsi="Arial"/>
          <w:sz w:val="18"/>
          <w:szCs w:val="18"/>
          <w:color w:val="auto"/>
        </w:rPr>
        <w:t>No significant annual perquisites</w:t>
      </w:r>
    </w:p>
    <w:p>
      <w:pPr>
        <w:spacing w:after="0" w:line="2778" w:lineRule="exact"/>
        <w:rPr>
          <w:sz w:val="20"/>
          <w:szCs w:val="20"/>
          <w:color w:val="auto"/>
        </w:rPr>
      </w:pPr>
    </w:p>
    <w:p>
      <w:pPr>
        <w:sectPr>
          <w:pgSz w:w="11900" w:h="16838" w:orient="portrait"/>
          <w:cols w:equalWidth="0" w:num="2">
            <w:col w:w="5151" w:space="720"/>
            <w:col w:w="5369"/>
          </w:cols>
          <w:pgMar w:left="320" w:top="771"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What Guides Our Program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Pay-for-Performance</w:t>
      </w:r>
    </w:p>
    <w:p>
      <w:pPr>
        <w:spacing w:after="0" w:line="15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We maintain a pay-for-performance philosophy designed to reward successful execution of our business strategy and achievement of desired business results, with a focus on aligning compensation with stockholders’ interests. When our financial results exceed performance goals, monetary rewards to our NEOs generally pay out at higher levels. When our financial results fall below performance goals, monetary awards to our NEOs generally pay out at lower levels or not at all.</w:t>
      </w:r>
    </w:p>
    <w:p>
      <w:pPr>
        <w:spacing w:after="0" w:line="13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Recent payouts under our STI and LTI Programs demonstrate the alignment between Company performance and payments made to our NEOs. In 2025, the Company’s achievement at target for the core net income goals and falling below target for cash flow and revenue resulted in below target level payouts under our annual STI Program for all NEOs.</w:t>
      </w:r>
    </w:p>
    <w:p>
      <w:pPr>
        <w:spacing w:after="0" w:line="128"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Under our LTI Program, weighted average return on invested capital of 47.0% for the 2023-2025 performance period exceeded the maximum payout goal for that metric, while the Company core net income compound annual growth rate of 17.2% for that same period fell just below the maximum payout goal for that metric. As a result, our NEOs received a PSU payout of approximately 196% for the 2023-2025 performance period under our LTI Program, consistent with our pay-for-performance approach and results-oriented compensation. The three-year TSR over this time frame was 109%.</w:t>
      </w: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37" w:name="page38"/>
    <w:bookmarkEnd w:id="37"/>
    <w:p>
      <w:pPr>
        <w:ind w:firstLine="324"/>
        <w:spacing w:after="0" w:line="271" w:lineRule="auto"/>
        <w:rPr>
          <w:sz w:val="20"/>
          <w:szCs w:val="20"/>
          <w:color w:val="auto"/>
        </w:rPr>
      </w:pPr>
      <w:r>
        <w:rPr>
          <w:rFonts w:ascii="Arial" w:cs="Arial" w:eastAsia="Arial" w:hAnsi="Arial"/>
          <w:sz w:val="18"/>
          <w:szCs w:val="18"/>
          <w:color w:val="auto"/>
        </w:rPr>
        <w:t>The two charts below illustrate that three-year Lennox CEO target total direct compensation (“TDC”) was below median of the peer group and Lennox substantially outperformed the peer group on three-year TSR and certain other relevant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83820</wp:posOffset>
            </wp:positionV>
            <wp:extent cx="4543425" cy="63436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43425"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C60C35"/>
        </w:rPr>
        <w:t>Key Strategic Objectives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strategic objectives of our executive compensation program are to:</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attract, retain, and motivate top executive talent;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align compensation with the achievement of short-term and long-term business goals;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maintain a market-competitive executive compensation program;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drive increased stockholder value by maintaining a strong alignment between pay and performance.</w:t>
      </w:r>
    </w:p>
    <w:p>
      <w:pPr>
        <w:spacing w:after="0" w:line="158" w:lineRule="exact"/>
        <w:rPr>
          <w:sz w:val="20"/>
          <w:szCs w:val="20"/>
          <w:color w:val="auto"/>
        </w:rPr>
      </w:pPr>
    </w:p>
    <w:p>
      <w:pPr>
        <w:ind w:right="420" w:firstLine="324"/>
        <w:spacing w:after="0" w:line="271" w:lineRule="auto"/>
        <w:rPr>
          <w:sz w:val="20"/>
          <w:szCs w:val="20"/>
          <w:color w:val="auto"/>
        </w:rPr>
      </w:pPr>
      <w:r>
        <w:rPr>
          <w:rFonts w:ascii="Arial" w:cs="Arial" w:eastAsia="Arial" w:hAnsi="Arial"/>
          <w:sz w:val="18"/>
          <w:szCs w:val="18"/>
          <w:color w:val="auto"/>
        </w:rPr>
        <w:t>The following table lists each element of executive compensation and how the Committee believes it correlates to our compensation philosophy and key objectives: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40" w:type="dxa"/>
            <w:vAlign w:val="bottom"/>
            <w:shd w:val="clear" w:color="auto" w:fill="C60C35"/>
          </w:tcPr>
          <w:p>
            <w:pPr>
              <w:spacing w:after="0"/>
              <w:rPr>
                <w:sz w:val="15"/>
                <w:szCs w:val="15"/>
                <w:color w:val="auto"/>
              </w:rPr>
            </w:pPr>
          </w:p>
        </w:tc>
        <w:tc>
          <w:tcPr>
            <w:tcW w:w="1020" w:type="dxa"/>
            <w:vAlign w:val="bottom"/>
            <w:shd w:val="clear" w:color="auto" w:fill="C60C35"/>
          </w:tcPr>
          <w:p>
            <w:pPr>
              <w:spacing w:after="0"/>
              <w:rPr>
                <w:sz w:val="15"/>
                <w:szCs w:val="15"/>
                <w:color w:val="auto"/>
              </w:rPr>
            </w:pP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Retain &amp;</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Achieve</w:t>
            </w:r>
          </w:p>
        </w:tc>
        <w:tc>
          <w:tcPr>
            <w:tcW w:w="10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Achieve</w:t>
            </w:r>
          </w:p>
        </w:tc>
        <w:tc>
          <w:tcPr>
            <w:tcW w:w="1600" w:type="dxa"/>
            <w:vAlign w:val="bottom"/>
            <w:shd w:val="clear" w:color="auto" w:fill="C60C35"/>
          </w:tcPr>
          <w:p>
            <w:pPr>
              <w:spacing w:after="0"/>
              <w:rPr>
                <w:sz w:val="15"/>
                <w:szCs w:val="15"/>
                <w:color w:val="auto"/>
              </w:rPr>
            </w:pPr>
          </w:p>
        </w:tc>
        <w:tc>
          <w:tcPr>
            <w:tcW w:w="1280" w:type="dxa"/>
            <w:vAlign w:val="bottom"/>
            <w:shd w:val="clear" w:color="auto" w:fill="C60C35"/>
          </w:tcPr>
          <w:p>
            <w:pPr>
              <w:spacing w:after="0"/>
              <w:rPr>
                <w:sz w:val="15"/>
                <w:szCs w:val="15"/>
                <w:color w:val="auto"/>
              </w:rPr>
            </w:pPr>
          </w:p>
        </w:tc>
      </w:tr>
      <w:tr>
        <w:trPr>
          <w:trHeight w:val="176"/>
        </w:trPr>
        <w:tc>
          <w:tcPr>
            <w:tcW w:w="4040" w:type="dxa"/>
            <w:vAlign w:val="bottom"/>
            <w:shd w:val="clear" w:color="auto" w:fill="C60C35"/>
          </w:tcPr>
          <w:p>
            <w:pPr>
              <w:spacing w:after="0"/>
              <w:rPr>
                <w:sz w:val="15"/>
                <w:szCs w:val="15"/>
                <w:color w:val="auto"/>
              </w:rPr>
            </w:pP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Attract</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Motivate</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Short-</w:t>
            </w:r>
          </w:p>
        </w:tc>
        <w:tc>
          <w:tcPr>
            <w:tcW w:w="1080" w:type="dxa"/>
            <w:vAlign w:val="bottom"/>
            <w:shd w:val="clear" w:color="auto" w:fill="C60C35"/>
          </w:tcPr>
          <w:p>
            <w:pPr>
              <w:jc w:val="center"/>
              <w:ind w:left="8"/>
              <w:spacing w:after="0"/>
              <w:rPr>
                <w:sz w:val="20"/>
                <w:szCs w:val="20"/>
                <w:color w:val="auto"/>
              </w:rPr>
            </w:pPr>
            <w:r>
              <w:rPr>
                <w:rFonts w:ascii="Arial" w:cs="Arial" w:eastAsia="Arial" w:hAnsi="Arial"/>
                <w:sz w:val="14"/>
                <w:szCs w:val="14"/>
                <w:b w:val="1"/>
                <w:bCs w:val="1"/>
                <w:color w:val="FFFFFF"/>
              </w:rPr>
              <w:t>Long-</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Maintain</w:t>
            </w:r>
          </w:p>
        </w:tc>
        <w:tc>
          <w:tcPr>
            <w:tcW w:w="1280" w:type="dxa"/>
            <w:vAlign w:val="bottom"/>
            <w:shd w:val="clear" w:color="auto" w:fill="C60C35"/>
          </w:tcPr>
          <w:p>
            <w:pPr>
              <w:spacing w:after="0"/>
              <w:rPr>
                <w:sz w:val="15"/>
                <w:szCs w:val="15"/>
                <w:color w:val="auto"/>
              </w:rPr>
            </w:pPr>
          </w:p>
        </w:tc>
      </w:tr>
      <w:tr>
        <w:trPr>
          <w:trHeight w:val="162"/>
        </w:trPr>
        <w:tc>
          <w:tcPr>
            <w:tcW w:w="4040" w:type="dxa"/>
            <w:vAlign w:val="bottom"/>
            <w:shd w:val="clear" w:color="auto" w:fill="C60C35"/>
          </w:tcPr>
          <w:p>
            <w:pPr>
              <w:spacing w:after="0"/>
              <w:rPr>
                <w:sz w:val="14"/>
                <w:szCs w:val="14"/>
                <w:color w:val="auto"/>
              </w:rPr>
            </w:pP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Top</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Top</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w w:val="99"/>
              </w:rPr>
              <w:t>Term</w:t>
            </w:r>
          </w:p>
        </w:tc>
        <w:tc>
          <w:tcPr>
            <w:tcW w:w="10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w w:val="99"/>
              </w:rPr>
              <w:t>Term</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Market</w:t>
            </w:r>
          </w:p>
        </w:tc>
        <w:tc>
          <w:tcPr>
            <w:tcW w:w="12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Pay for</w:t>
            </w:r>
          </w:p>
        </w:tc>
      </w:tr>
      <w:tr>
        <w:trPr>
          <w:trHeight w:val="210"/>
        </w:trPr>
        <w:tc>
          <w:tcPr>
            <w:tcW w:w="40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Executive Compensation Elements</w:t>
            </w:r>
          </w:p>
        </w:tc>
        <w:tc>
          <w:tcPr>
            <w:tcW w:w="10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Talent</w:t>
            </w:r>
          </w:p>
        </w:tc>
        <w:tc>
          <w:tcPr>
            <w:tcW w:w="112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Talent</w:t>
            </w:r>
          </w:p>
        </w:tc>
        <w:tc>
          <w:tcPr>
            <w:tcW w:w="11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Goals</w:t>
            </w:r>
          </w:p>
        </w:tc>
        <w:tc>
          <w:tcPr>
            <w:tcW w:w="1080" w:type="dxa"/>
            <w:vAlign w:val="bottom"/>
            <w:shd w:val="clear" w:color="auto" w:fill="C60C35"/>
          </w:tcPr>
          <w:p>
            <w:pPr>
              <w:jc w:val="center"/>
              <w:ind w:left="8"/>
              <w:spacing w:after="0"/>
              <w:rPr>
                <w:sz w:val="20"/>
                <w:szCs w:val="20"/>
                <w:color w:val="auto"/>
              </w:rPr>
            </w:pPr>
            <w:r>
              <w:rPr>
                <w:rFonts w:ascii="Arial" w:cs="Arial" w:eastAsia="Arial" w:hAnsi="Arial"/>
                <w:sz w:val="14"/>
                <w:szCs w:val="14"/>
                <w:b w:val="1"/>
                <w:bCs w:val="1"/>
                <w:color w:val="FFFFFF"/>
              </w:rPr>
              <w:t>Goals</w:t>
            </w:r>
          </w:p>
        </w:tc>
        <w:tc>
          <w:tcPr>
            <w:tcW w:w="160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Competitiveness</w:t>
            </w:r>
          </w:p>
        </w:tc>
        <w:tc>
          <w:tcPr>
            <w:tcW w:w="12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Performance</w:t>
            </w:r>
          </w:p>
        </w:tc>
      </w:tr>
      <w:tr>
        <w:trPr>
          <w:trHeight w:val="70"/>
        </w:trPr>
        <w:tc>
          <w:tcPr>
            <w:tcW w:w="404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100" w:type="dxa"/>
            <w:vAlign w:val="bottom"/>
            <w:shd w:val="clear" w:color="auto" w:fill="C60C35"/>
          </w:tcPr>
          <w:p>
            <w:pPr>
              <w:spacing w:after="0"/>
              <w:rPr>
                <w:sz w:val="6"/>
                <w:szCs w:val="6"/>
                <w:color w:val="auto"/>
              </w:rPr>
            </w:pPr>
          </w:p>
        </w:tc>
        <w:tc>
          <w:tcPr>
            <w:tcW w:w="1080" w:type="dxa"/>
            <w:vAlign w:val="bottom"/>
            <w:shd w:val="clear" w:color="auto" w:fill="C60C35"/>
          </w:tcPr>
          <w:p>
            <w:pPr>
              <w:spacing w:after="0"/>
              <w:rPr>
                <w:sz w:val="6"/>
                <w:szCs w:val="6"/>
                <w:color w:val="auto"/>
              </w:rPr>
            </w:pPr>
          </w:p>
        </w:tc>
        <w:tc>
          <w:tcPr>
            <w:tcW w:w="1600" w:type="dxa"/>
            <w:vAlign w:val="bottom"/>
            <w:shd w:val="clear" w:color="auto" w:fill="C60C35"/>
          </w:tcPr>
          <w:p>
            <w:pPr>
              <w:spacing w:after="0"/>
              <w:rPr>
                <w:sz w:val="6"/>
                <w:szCs w:val="6"/>
                <w:color w:val="auto"/>
              </w:rPr>
            </w:pPr>
          </w:p>
        </w:tc>
        <w:tc>
          <w:tcPr>
            <w:tcW w:w="1280" w:type="dxa"/>
            <w:vAlign w:val="bottom"/>
            <w:shd w:val="clear" w:color="auto" w:fill="C60C35"/>
          </w:tcPr>
          <w:p>
            <w:pPr>
              <w:spacing w:after="0"/>
              <w:rPr>
                <w:sz w:val="6"/>
                <w:szCs w:val="6"/>
                <w:color w:val="auto"/>
              </w:rPr>
            </w:pPr>
          </w:p>
        </w:tc>
      </w:tr>
      <w:tr>
        <w:trPr>
          <w:trHeight w:val="317"/>
        </w:trPr>
        <w:tc>
          <w:tcPr>
            <w:tcW w:w="40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Base Salary</w:t>
            </w:r>
          </w:p>
        </w:tc>
        <w:tc>
          <w:tcPr>
            <w:tcW w:w="10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00" w:type="dxa"/>
            <w:vAlign w:val="bottom"/>
            <w:tcBorders>
              <w:bottom w:val="single" w:sz="8" w:color="F1F2F2"/>
            </w:tcBorders>
            <w:shd w:val="clear" w:color="auto" w:fill="F1F2F2"/>
          </w:tcPr>
          <w:p>
            <w:pPr>
              <w:spacing w:after="0"/>
              <w:rPr>
                <w:sz w:val="24"/>
                <w:szCs w:val="24"/>
                <w:color w:val="auto"/>
              </w:rPr>
            </w:pPr>
          </w:p>
        </w:tc>
        <w:tc>
          <w:tcPr>
            <w:tcW w:w="1080" w:type="dxa"/>
            <w:vAlign w:val="bottom"/>
            <w:tcBorders>
              <w:bottom w:val="single" w:sz="8" w:color="F1F2F2"/>
            </w:tcBorders>
            <w:shd w:val="clear" w:color="auto" w:fill="F1F2F2"/>
          </w:tcPr>
          <w:p>
            <w:pPr>
              <w:spacing w:after="0"/>
              <w:rPr>
                <w:sz w:val="24"/>
                <w:szCs w:val="24"/>
                <w:color w:val="auto"/>
              </w:rPr>
            </w:pPr>
          </w:p>
        </w:tc>
        <w:tc>
          <w:tcPr>
            <w:tcW w:w="1600" w:type="dxa"/>
            <w:vAlign w:val="bottom"/>
            <w:tcBorders>
              <w:bottom w:val="single" w:sz="8" w:color="F1F2F2"/>
            </w:tcBorders>
            <w:shd w:val="clear" w:color="auto" w:fill="F1F2F2"/>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280" w:type="dxa"/>
            <w:vAlign w:val="bottom"/>
            <w:tcBorders>
              <w:bottom w:val="single" w:sz="8" w:color="F1F2F2"/>
            </w:tcBorders>
            <w:shd w:val="clear" w:color="auto" w:fill="F1F2F2"/>
          </w:tcPr>
          <w:p>
            <w:pPr>
              <w:spacing w:after="0"/>
              <w:rPr>
                <w:sz w:val="24"/>
                <w:szCs w:val="24"/>
                <w:color w:val="auto"/>
              </w:rPr>
            </w:pPr>
          </w:p>
        </w:tc>
      </w:tr>
      <w:tr>
        <w:trPr>
          <w:trHeight w:val="295"/>
        </w:trPr>
        <w:tc>
          <w:tcPr>
            <w:tcW w:w="4040" w:type="dxa"/>
            <w:vAlign w:val="bottom"/>
          </w:tcPr>
          <w:p>
            <w:pPr>
              <w:ind w:left="100"/>
              <w:spacing w:after="0"/>
              <w:rPr>
                <w:sz w:val="20"/>
                <w:szCs w:val="20"/>
                <w:color w:val="auto"/>
              </w:rPr>
            </w:pPr>
            <w:r>
              <w:rPr>
                <w:rFonts w:ascii="Arial" w:cs="Arial" w:eastAsia="Arial" w:hAnsi="Arial"/>
                <w:sz w:val="14"/>
                <w:szCs w:val="14"/>
                <w:color w:val="auto"/>
              </w:rPr>
              <w:t>Short-Term Incentive Program</w:t>
            </w:r>
          </w:p>
        </w:tc>
        <w:tc>
          <w:tcPr>
            <w:tcW w:w="102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10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c>
          <w:tcPr>
            <w:tcW w:w="1280" w:type="dxa"/>
            <w:vAlign w:val="bottom"/>
          </w:tcPr>
          <w:p>
            <w:pPr>
              <w:jc w:val="center"/>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43"/>
        </w:trPr>
        <w:tc>
          <w:tcPr>
            <w:tcW w:w="4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8"/>
        </w:trPr>
        <w:tc>
          <w:tcPr>
            <w:tcW w:w="40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Long-Term Incentive Program:</w:t>
            </w:r>
          </w:p>
        </w:tc>
        <w:tc>
          <w:tcPr>
            <w:tcW w:w="1020" w:type="dxa"/>
            <w:vAlign w:val="bottom"/>
            <w:shd w:val="clear" w:color="auto" w:fill="F1F2F2"/>
          </w:tcPr>
          <w:p>
            <w:pPr>
              <w:spacing w:after="0"/>
              <w:rPr>
                <w:sz w:val="18"/>
                <w:szCs w:val="18"/>
                <w:color w:val="auto"/>
              </w:rPr>
            </w:pPr>
          </w:p>
        </w:tc>
        <w:tc>
          <w:tcPr>
            <w:tcW w:w="1120" w:type="dxa"/>
            <w:vAlign w:val="bottom"/>
            <w:shd w:val="clear" w:color="auto" w:fill="F1F2F2"/>
          </w:tcPr>
          <w:p>
            <w:pPr>
              <w:spacing w:after="0"/>
              <w:rPr>
                <w:sz w:val="18"/>
                <w:szCs w:val="18"/>
                <w:color w:val="auto"/>
              </w:rPr>
            </w:pPr>
          </w:p>
        </w:tc>
        <w:tc>
          <w:tcPr>
            <w:tcW w:w="1100" w:type="dxa"/>
            <w:vAlign w:val="bottom"/>
            <w:shd w:val="clear" w:color="auto" w:fill="F1F2F2"/>
          </w:tcPr>
          <w:p>
            <w:pPr>
              <w:spacing w:after="0"/>
              <w:rPr>
                <w:sz w:val="18"/>
                <w:szCs w:val="18"/>
                <w:color w:val="auto"/>
              </w:rPr>
            </w:pPr>
          </w:p>
        </w:tc>
        <w:tc>
          <w:tcPr>
            <w:tcW w:w="1080" w:type="dxa"/>
            <w:vAlign w:val="bottom"/>
            <w:shd w:val="clear" w:color="auto" w:fill="F1F2F2"/>
          </w:tcPr>
          <w:p>
            <w:pPr>
              <w:spacing w:after="0"/>
              <w:rPr>
                <w:sz w:val="18"/>
                <w:szCs w:val="18"/>
                <w:color w:val="auto"/>
              </w:rPr>
            </w:pPr>
          </w:p>
        </w:tc>
        <w:tc>
          <w:tcPr>
            <w:tcW w:w="1600" w:type="dxa"/>
            <w:vAlign w:val="bottom"/>
            <w:shd w:val="clear" w:color="auto" w:fill="F1F2F2"/>
          </w:tcPr>
          <w:p>
            <w:pPr>
              <w:spacing w:after="0"/>
              <w:rPr>
                <w:sz w:val="18"/>
                <w:szCs w:val="18"/>
                <w:color w:val="auto"/>
              </w:rPr>
            </w:pPr>
          </w:p>
        </w:tc>
        <w:tc>
          <w:tcPr>
            <w:tcW w:w="1280" w:type="dxa"/>
            <w:vAlign w:val="bottom"/>
            <w:shd w:val="clear" w:color="auto" w:fill="F1F2F2"/>
          </w:tcPr>
          <w:p>
            <w:pPr>
              <w:spacing w:after="0"/>
              <w:rPr>
                <w:sz w:val="18"/>
                <w:szCs w:val="18"/>
                <w:color w:val="auto"/>
              </w:rPr>
            </w:pPr>
          </w:p>
        </w:tc>
      </w:tr>
      <w:tr>
        <w:trPr>
          <w:trHeight w:val="22"/>
        </w:trPr>
        <w:tc>
          <w:tcPr>
            <w:tcW w:w="40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1120" w:type="dxa"/>
            <w:vAlign w:val="bottom"/>
            <w:shd w:val="clear" w:color="auto" w:fill="F1F2F2"/>
          </w:tcPr>
          <w:p>
            <w:pPr>
              <w:spacing w:after="0" w:line="20" w:lineRule="exact"/>
              <w:rPr>
                <w:sz w:val="1"/>
                <w:szCs w:val="1"/>
                <w:color w:val="auto"/>
              </w:rPr>
            </w:pPr>
          </w:p>
        </w:tc>
        <w:tc>
          <w:tcPr>
            <w:tcW w:w="1100" w:type="dxa"/>
            <w:vAlign w:val="bottom"/>
            <w:shd w:val="clear" w:color="auto" w:fill="F1F2F2"/>
          </w:tcPr>
          <w:p>
            <w:pPr>
              <w:spacing w:after="0" w:line="20" w:lineRule="exact"/>
              <w:rPr>
                <w:sz w:val="1"/>
                <w:szCs w:val="1"/>
                <w:color w:val="auto"/>
              </w:rPr>
            </w:pPr>
          </w:p>
        </w:tc>
        <w:tc>
          <w:tcPr>
            <w:tcW w:w="1080" w:type="dxa"/>
            <w:vAlign w:val="bottom"/>
            <w:shd w:val="clear" w:color="auto" w:fill="F1F2F2"/>
          </w:tcPr>
          <w:p>
            <w:pPr>
              <w:spacing w:after="0" w:line="20" w:lineRule="exact"/>
              <w:rPr>
                <w:sz w:val="1"/>
                <w:szCs w:val="1"/>
                <w:color w:val="auto"/>
              </w:rPr>
            </w:pPr>
          </w:p>
        </w:tc>
        <w:tc>
          <w:tcPr>
            <w:tcW w:w="1600" w:type="dxa"/>
            <w:vAlign w:val="bottom"/>
            <w:shd w:val="clear" w:color="auto" w:fill="F1F2F2"/>
          </w:tcPr>
          <w:p>
            <w:pPr>
              <w:spacing w:after="0" w:line="20" w:lineRule="exact"/>
              <w:rPr>
                <w:sz w:val="1"/>
                <w:szCs w:val="1"/>
                <w:color w:val="auto"/>
              </w:rPr>
            </w:pPr>
          </w:p>
        </w:tc>
        <w:tc>
          <w:tcPr>
            <w:tcW w:w="1280" w:type="dxa"/>
            <w:vAlign w:val="bottom"/>
            <w:shd w:val="clear" w:color="auto" w:fill="F1F2F2"/>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771" w:right="339" w:bottom="1440" w:gutter="0" w:footer="0" w:header="0"/>
        </w:sectPr>
      </w:pP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Performance Share Units</w:t>
      </w:r>
    </w:p>
    <w:p>
      <w:pPr>
        <w:spacing w:after="0" w:line="177" w:lineRule="exact"/>
        <w:rPr>
          <w:sz w:val="20"/>
          <w:szCs w:val="20"/>
          <w:color w:val="auto"/>
        </w:rPr>
      </w:pPr>
    </w:p>
    <w:p>
      <w:pPr>
        <w:ind w:left="260" w:hanging="72"/>
        <w:spacing w:after="0"/>
        <w:tabs>
          <w:tab w:leader="none" w:pos="2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Restricted Stock Units</w:t>
      </w:r>
    </w:p>
    <w:p>
      <w:pPr>
        <w:spacing w:after="0" w:line="176" w:lineRule="exact"/>
        <w:rPr>
          <w:rFonts w:ascii="Arial" w:cs="Arial" w:eastAsia="Arial" w:hAnsi="Arial"/>
          <w:sz w:val="14"/>
          <w:szCs w:val="14"/>
          <w:color w:val="auto"/>
        </w:rPr>
      </w:pPr>
    </w:p>
    <w:p>
      <w:pPr>
        <w:ind w:left="180" w:right="1840" w:firstLine="8"/>
        <w:spacing w:after="0" w:line="586" w:lineRule="auto"/>
        <w:tabs>
          <w:tab w:leader="none" w:pos="252" w:val="left"/>
        </w:tabs>
        <w:numPr>
          <w:ilvl w:val="0"/>
          <w:numId w:val="58"/>
        </w:numPr>
        <w:rPr>
          <w:rFonts w:ascii="Arial" w:cs="Arial" w:eastAsia="Arial" w:hAnsi="Arial"/>
          <w:sz w:val="12"/>
          <w:szCs w:val="12"/>
          <w:color w:val="auto"/>
        </w:rPr>
      </w:pPr>
      <w:r>
        <w:rPr>
          <w:rFonts w:ascii="Arial" w:cs="Arial" w:eastAsia="Arial" w:hAnsi="Arial"/>
          <w:sz w:val="12"/>
          <w:szCs w:val="12"/>
          <w:color w:val="auto"/>
        </w:rPr>
        <w:t>Stock Appreciation Rights Perquisites</w:t>
      </w:r>
    </w:p>
    <w:p>
      <w:pPr>
        <w:spacing w:after="0" w:line="1" w:lineRule="exact"/>
        <w:rPr>
          <w:rFonts w:ascii="Arial" w:cs="Arial" w:eastAsia="Arial" w:hAnsi="Arial"/>
          <w:sz w:val="12"/>
          <w:szCs w:val="12"/>
          <w:color w:val="auto"/>
        </w:rPr>
      </w:pPr>
    </w:p>
    <w:p>
      <w:pPr>
        <w:ind w:left="180"/>
        <w:spacing w:after="0"/>
        <w:rPr>
          <w:rFonts w:ascii="Arial" w:cs="Arial" w:eastAsia="Arial" w:hAnsi="Arial"/>
          <w:sz w:val="12"/>
          <w:szCs w:val="12"/>
          <w:color w:val="auto"/>
        </w:rPr>
      </w:pPr>
      <w:r>
        <w:rPr>
          <w:rFonts w:ascii="Arial" w:cs="Arial" w:eastAsia="Arial" w:hAnsi="Arial"/>
          <w:sz w:val="14"/>
          <w:szCs w:val="14"/>
          <w:color w:val="auto"/>
        </w:rPr>
        <w:t>Benefit Programs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Pay Positioning and Compensation Mix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spacing w:after="0"/>
              <w:rPr>
                <w:sz w:val="24"/>
                <w:szCs w:val="24"/>
                <w:color w:val="auto"/>
              </w:rPr>
            </w:pPr>
          </w:p>
        </w:tc>
        <w:tc>
          <w:tcPr>
            <w:tcW w:w="1240" w:type="dxa"/>
            <w:vAlign w:val="bottom"/>
          </w:tcPr>
          <w:p>
            <w:pPr>
              <w:ind w:left="480"/>
              <w:spacing w:after="0"/>
              <w:rPr>
                <w:sz w:val="20"/>
                <w:szCs w:val="20"/>
                <w:color w:val="auto"/>
              </w:rPr>
            </w:pPr>
            <w:r>
              <w:rPr>
                <w:rFonts w:ascii="Wingdings" w:cs="Wingdings" w:eastAsia="Wingdings" w:hAnsi="Wingdings"/>
                <w:sz w:val="25"/>
                <w:szCs w:val="25"/>
                <w:b w:val="1"/>
                <w:bCs w:val="1"/>
                <w:color w:val="auto"/>
                <w:highlight w:val="black"/>
              </w:rPr>
              <w:t>ü</w:t>
            </w: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ind w:left="620"/>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ind w:left="460"/>
              <w:spacing w:after="0"/>
              <w:rPr>
                <w:sz w:val="20"/>
                <w:szCs w:val="20"/>
                <w:color w:val="auto"/>
              </w:rPr>
            </w:pPr>
            <w:r>
              <w:rPr>
                <w:rFonts w:ascii="Wingdings" w:cs="Wingdings" w:eastAsia="Wingdings" w:hAnsi="Wingdings"/>
                <w:sz w:val="25"/>
                <w:szCs w:val="25"/>
                <w:b w:val="1"/>
                <w:bCs w:val="1"/>
                <w:color w:val="auto"/>
                <w:highlight w:val="black"/>
              </w:rPr>
              <w:t>ü</w:t>
            </w:r>
          </w:p>
        </w:tc>
        <w:tc>
          <w:tcPr>
            <w:tcW w:w="1240" w:type="dxa"/>
            <w:vAlign w:val="bottom"/>
          </w:tcPr>
          <w:p>
            <w:pPr>
              <w:ind w:left="480"/>
              <w:spacing w:after="0"/>
              <w:rPr>
                <w:sz w:val="20"/>
                <w:szCs w:val="20"/>
                <w:color w:val="auto"/>
              </w:rPr>
            </w:pPr>
            <w:r>
              <w:rPr>
                <w:rFonts w:ascii="Wingdings" w:cs="Wingdings" w:eastAsia="Wingdings" w:hAnsi="Wingdings"/>
                <w:sz w:val="25"/>
                <w:szCs w:val="25"/>
                <w:b w:val="1"/>
                <w:bCs w:val="1"/>
                <w:color w:val="auto"/>
                <w:highlight w:val="black"/>
              </w:rPr>
              <w:t>ü</w:t>
            </w: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ind w:left="620"/>
              <w:spacing w:after="0"/>
              <w:rPr>
                <w:sz w:val="20"/>
                <w:szCs w:val="20"/>
                <w:color w:val="auto"/>
              </w:rPr>
            </w:pPr>
            <w:r>
              <w:rPr>
                <w:rFonts w:ascii="Wingdings" w:cs="Wingdings" w:eastAsia="Wingdings" w:hAnsi="Wingdings"/>
                <w:sz w:val="25"/>
                <w:szCs w:val="25"/>
                <w:b w:val="1"/>
                <w:bCs w:val="1"/>
                <w:color w:val="auto"/>
                <w:highlight w:val="black"/>
              </w:rPr>
              <w:t>ü</w:t>
            </w: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r>
        <w:trPr>
          <w:trHeight w:val="338"/>
        </w:trPr>
        <w:tc>
          <w:tcPr>
            <w:tcW w:w="620" w:type="dxa"/>
            <w:vAlign w:val="bottom"/>
          </w:tcPr>
          <w:p>
            <w:pPr>
              <w:spacing w:after="0"/>
              <w:rPr>
                <w:sz w:val="20"/>
                <w:szCs w:val="20"/>
                <w:color w:val="auto"/>
              </w:rPr>
            </w:pPr>
            <w:r>
              <w:rPr>
                <w:rFonts w:ascii="Wingdings" w:cs="Wingdings" w:eastAsia="Wingdings" w:hAnsi="Wingdings"/>
                <w:sz w:val="25"/>
                <w:szCs w:val="25"/>
                <w:b w:val="1"/>
                <w:bCs w:val="1"/>
                <w:color w:val="auto"/>
                <w:highlight w:val="black"/>
              </w:rPr>
              <w:t>ü</w:t>
            </w:r>
          </w:p>
        </w:tc>
        <w:tc>
          <w:tcPr>
            <w:tcW w:w="1080" w:type="dxa"/>
            <w:vAlign w:val="bottom"/>
          </w:tcPr>
          <w:p>
            <w:pPr>
              <w:ind w:left="440"/>
              <w:spacing w:after="0"/>
              <w:rPr>
                <w:sz w:val="20"/>
                <w:szCs w:val="20"/>
                <w:color w:val="auto"/>
              </w:rPr>
            </w:pPr>
            <w:r>
              <w:rPr>
                <w:rFonts w:ascii="Wingdings" w:cs="Wingdings" w:eastAsia="Wingdings" w:hAnsi="Wingdings"/>
                <w:sz w:val="25"/>
                <w:szCs w:val="25"/>
                <w:b w:val="1"/>
                <w:bCs w:val="1"/>
                <w:color w:val="auto"/>
                <w:highlight w:val="black"/>
              </w:rPr>
              <w:t>ü</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ind w:left="560"/>
              <w:spacing w:after="0"/>
              <w:rPr>
                <w:sz w:val="20"/>
                <w:szCs w:val="20"/>
                <w:color w:val="auto"/>
              </w:rPr>
            </w:pPr>
            <w:r>
              <w:rPr>
                <w:rFonts w:ascii="Wingdings" w:cs="Wingdings" w:eastAsia="Wingdings" w:hAnsi="Wingdings"/>
                <w:sz w:val="25"/>
                <w:szCs w:val="25"/>
                <w:b w:val="1"/>
                <w:bCs w:val="1"/>
                <w:color w:val="auto"/>
                <w:highlight w:val="black"/>
              </w:rPr>
              <w:t>ü</w:t>
            </w:r>
          </w:p>
        </w:tc>
        <w:tc>
          <w:tcPr>
            <w:tcW w:w="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-829945</wp:posOffset>
            </wp:positionV>
            <wp:extent cx="713232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-401320</wp:posOffset>
            </wp:positionV>
            <wp:extent cx="713232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590" w:lineRule="exact"/>
        <w:rPr>
          <w:sz w:val="20"/>
          <w:szCs w:val="20"/>
          <w:color w:val="auto"/>
        </w:rPr>
      </w:pPr>
    </w:p>
    <w:p>
      <w:pPr>
        <w:sectPr>
          <w:pgSz w:w="11900" w:h="16838" w:orient="portrait"/>
          <w:cols w:equalWidth="0" w:num="2">
            <w:col w:w="3740" w:space="720"/>
            <w:col w:w="6780"/>
          </w:cols>
          <w:pgMar w:left="320" w:top="771" w:right="339" w:bottom="1440" w:gutter="0" w:footer="0" w:header="0"/>
          <w:type w:val="continuous"/>
        </w:sectPr>
      </w:pPr>
    </w:p>
    <w:p>
      <w:pPr>
        <w:ind w:firstLine="324"/>
        <w:spacing w:after="0" w:line="253" w:lineRule="auto"/>
        <w:rPr>
          <w:sz w:val="20"/>
          <w:szCs w:val="20"/>
          <w:color w:val="auto"/>
        </w:rPr>
      </w:pPr>
      <w:r>
        <w:rPr>
          <w:rFonts w:ascii="Arial" w:cs="Arial" w:eastAsia="Arial" w:hAnsi="Arial"/>
          <w:sz w:val="18"/>
          <w:szCs w:val="18"/>
          <w:color w:val="auto"/>
        </w:rPr>
        <w:t>For 2025, the Committee targeted all elements of compensation for the Company’s NEOs at the 50th percentile of the market and granted a majority of the NEOs’ total target compensation in the form of incentive compensation. The following chart shows the 2025 average total target direct compensation mix for the CEO and NEOs.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CEO &amp; NEOs –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111760</wp:posOffset>
            </wp:positionV>
            <wp:extent cx="5357495" cy="24174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357495" cy="24174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22"/>
          <w:szCs w:val="22"/>
          <w:b w:val="1"/>
          <w:bCs w:val="1"/>
          <w:color w:val="C60C35"/>
        </w:rPr>
        <w:t>The Decision-Making Process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the Compensation and Human Resources Committee</w:t>
      </w:r>
    </w:p>
    <w:p>
      <w:pPr>
        <w:spacing w:after="0" w:line="16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Committee establishes and administers our executive compensation program, practices, and policies. The Committee receives input from management and its independent compensation consultant and considers competitive practices, our business objectives, stockholder interests, regulatory requirements, and other relevant factors to develop our executive compensation program in an effort to most effectively drive the achievement of the Company’s business objectives.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Senior Management</w:t>
      </w:r>
    </w:p>
    <w:p>
      <w:pPr>
        <w:spacing w:after="0" w:line="156" w:lineRule="exact"/>
        <w:rPr>
          <w:sz w:val="20"/>
          <w:szCs w:val="20"/>
          <w:color w:val="auto"/>
        </w:rPr>
      </w:pPr>
    </w:p>
    <w:p>
      <w:pPr>
        <w:ind w:right="60" w:firstLine="324"/>
        <w:spacing w:after="0" w:line="247" w:lineRule="auto"/>
        <w:rPr>
          <w:sz w:val="20"/>
          <w:szCs w:val="20"/>
          <w:color w:val="auto"/>
        </w:rPr>
      </w:pPr>
      <w:r>
        <w:rPr>
          <w:rFonts w:ascii="Arial" w:cs="Arial" w:eastAsia="Arial" w:hAnsi="Arial"/>
          <w:sz w:val="18"/>
          <w:szCs w:val="18"/>
          <w:color w:val="auto"/>
        </w:rPr>
        <w:t>The Committee obtains input from management and the Committee’s independent consultant when making NEO compensation decisions. The CEO makes recommendations to the Committee with respect to all elements of compensation for each NEO, excluding himself. The CEO’s recommendations on NEO pay are developed in consultation with the Chief Human Resources Officer and the Committee’s independent compensation consultant and are considered with market data. The Committee determines and approves the final compensation elements and amounts to be provided to the NEOs.</w:t>
      </w:r>
    </w:p>
    <w:p>
      <w:pPr>
        <w:spacing w:after="0" w:line="136" w:lineRule="exact"/>
        <w:rPr>
          <w:sz w:val="20"/>
          <w:szCs w:val="20"/>
          <w:color w:val="auto"/>
        </w:rPr>
      </w:pPr>
    </w:p>
    <w:p>
      <w:pPr>
        <w:ind w:right="460" w:firstLine="324"/>
        <w:spacing w:after="0" w:line="301" w:lineRule="auto"/>
        <w:rPr>
          <w:sz w:val="20"/>
          <w:szCs w:val="20"/>
          <w:color w:val="auto"/>
        </w:rPr>
      </w:pPr>
      <w:r>
        <w:rPr>
          <w:rFonts w:ascii="Arial" w:cs="Arial" w:eastAsia="Arial" w:hAnsi="Arial"/>
          <w:sz w:val="17"/>
          <w:szCs w:val="17"/>
          <w:color w:val="auto"/>
        </w:rPr>
        <w:t>The Committee reviews and recommends proposed changes to CEO compensation to the independent members of the Board for approval. All independent members of the Board (rather than just the Committee) have responsibility for approving CEO compensation.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Role of the Independent Compensation Consultant</w:t>
      </w:r>
    </w:p>
    <w:p>
      <w:pPr>
        <w:spacing w:after="0" w:line="169" w:lineRule="exact"/>
        <w:rPr>
          <w:sz w:val="20"/>
          <w:szCs w:val="20"/>
          <w:color w:val="auto"/>
        </w:rPr>
      </w:pPr>
    </w:p>
    <w:p>
      <w:pPr>
        <w:ind w:right="300" w:firstLine="324"/>
        <w:spacing w:after="0" w:line="271" w:lineRule="auto"/>
        <w:rPr>
          <w:sz w:val="20"/>
          <w:szCs w:val="20"/>
          <w:color w:val="auto"/>
        </w:rPr>
      </w:pPr>
      <w:r>
        <w:rPr>
          <w:rFonts w:ascii="Arial" w:cs="Arial" w:eastAsia="Arial" w:hAnsi="Arial"/>
          <w:sz w:val="18"/>
          <w:szCs w:val="18"/>
          <w:color w:val="auto"/>
        </w:rPr>
        <w:t>In 2025, the Committee engaged Meridian Compensation Partners (“Meridian”) to provide analysis, advice, and recommendations on executive compensation to the Committee. At the Committee’s request, Meridian performed the following services in 2025:</w:t>
      </w:r>
    </w:p>
    <w:p>
      <w:pPr>
        <w:spacing w:after="0" w:line="100"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provided and analyzed data for all elements of CEO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and opined on compensation for newly hired and promoted senior executives;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and opined on our executive compensation philosophy;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and opined on our Compensation Peer Group;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provided and analyzed data for various elements of executive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reviewed and opined on our executive and Board compensation programs, including NEO and Board target compensation;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presented executive compensation trends and regulatory updates to the Committee;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provided input and perspective on various technical matters pertaining to executive compensation.</w:t>
      </w:r>
    </w:p>
    <w:p>
      <w:pPr>
        <w:spacing w:after="0" w:line="17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Committee conducted an independence assessment of Meridian in accordance with SEC rules. Based on this review, we are not aware of any conflict of interest raised by the work performed by the consultant that would prevent Meridian from serving as independent consultants to the Committee. Meridian reported directly to the Committee and did not provide any additional services to the Company or its management.</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C60C35"/>
        </w:rPr>
        <w:t>Market Competitive Compensation</w:t>
      </w:r>
    </w:p>
    <w:p>
      <w:pPr>
        <w:spacing w:after="0" w:line="15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To maintain a market-competitive program, the Committee uses benchmarking data when establishing executive compensation. Benchmarking against a representative peer group assists the Committee in assessing the competitiveness of our executive compensation program.</w:t>
      </w:r>
    </w:p>
    <w:p>
      <w:pPr>
        <w:spacing w:after="0" w:line="10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For the purposes of setting 2025 compensation, our Company’s compensation peer group, as reviewed and approved by the Committee, included the following 15 companies (the “Compensation Peer Group”):</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680" w:type="dxa"/>
            <w:vAlign w:val="bottom"/>
            <w:gridSpan w:val="2"/>
            <w:shd w:val="clear" w:color="auto" w:fill="F1F2F2"/>
          </w:tcPr>
          <w:p>
            <w:pPr>
              <w:ind w:left="20"/>
              <w:spacing w:after="0"/>
              <w:rPr>
                <w:sz w:val="20"/>
                <w:szCs w:val="20"/>
                <w:color w:val="auto"/>
              </w:rPr>
            </w:pPr>
            <w:r>
              <w:rPr>
                <w:rFonts w:ascii="Arial" w:cs="Arial" w:eastAsia="Arial" w:hAnsi="Arial"/>
                <w:sz w:val="18"/>
                <w:szCs w:val="18"/>
                <w:color w:val="auto"/>
              </w:rPr>
              <w:t xml:space="preserve">•   A. O. Smith Corporation </w:t>
            </w:r>
            <w:r>
              <w:rPr>
                <w:rFonts w:ascii="Arial" w:cs="Arial" w:eastAsia="Arial" w:hAnsi="Arial"/>
                <w:sz w:val="16"/>
                <w:szCs w:val="16"/>
                <w:color w:val="auto"/>
              </w:rPr>
              <w:t>(AOS)</w:t>
            </w:r>
          </w:p>
        </w:tc>
        <w:tc>
          <w:tcPr>
            <w:tcW w:w="380" w:type="dxa"/>
            <w:vAlign w:val="bottom"/>
            <w:shd w:val="clear" w:color="auto" w:fill="F1F2F2"/>
          </w:tcPr>
          <w:p>
            <w:pPr>
              <w:ind w:left="18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Hubbell Incorporated </w:t>
            </w:r>
            <w:r>
              <w:rPr>
                <w:rFonts w:ascii="Arial" w:cs="Arial" w:eastAsia="Arial" w:hAnsi="Arial"/>
                <w:sz w:val="16"/>
                <w:szCs w:val="16"/>
                <w:color w:val="auto"/>
              </w:rPr>
              <w:t>(HUBB)</w:t>
            </w:r>
          </w:p>
        </w:tc>
        <w:tc>
          <w:tcPr>
            <w:tcW w:w="4340" w:type="dxa"/>
            <w:vAlign w:val="bottom"/>
            <w:gridSpan w:val="2"/>
            <w:shd w:val="clear" w:color="auto" w:fill="F1F2F2"/>
          </w:tcPr>
          <w:p>
            <w:pPr>
              <w:ind w:left="420"/>
              <w:spacing w:after="0"/>
              <w:rPr>
                <w:sz w:val="20"/>
                <w:szCs w:val="20"/>
                <w:color w:val="auto"/>
              </w:rPr>
            </w:pPr>
            <w:r>
              <w:rPr>
                <w:rFonts w:ascii="Arial" w:cs="Arial" w:eastAsia="Arial" w:hAnsi="Arial"/>
                <w:sz w:val="18"/>
                <w:szCs w:val="18"/>
                <w:color w:val="auto"/>
              </w:rPr>
              <w:t xml:space="preserve">•   Regal Rexnord Corporation </w:t>
            </w:r>
            <w:r>
              <w:rPr>
                <w:rFonts w:ascii="Arial" w:cs="Arial" w:eastAsia="Arial" w:hAnsi="Arial"/>
                <w:sz w:val="16"/>
                <w:szCs w:val="16"/>
                <w:color w:val="auto"/>
              </w:rPr>
              <w:t>(RRX)</w:t>
            </w:r>
          </w:p>
        </w:tc>
      </w:tr>
      <w:tr>
        <w:trPr>
          <w:trHeight w:val="173"/>
        </w:trPr>
        <w:tc>
          <w:tcPr>
            <w:tcW w:w="220" w:type="dxa"/>
            <w:vAlign w:val="bottom"/>
            <w:shd w:val="clear" w:color="auto" w:fill="F1F2F2"/>
          </w:tcPr>
          <w:p>
            <w:pPr>
              <w:spacing w:after="0"/>
              <w:rPr>
                <w:sz w:val="15"/>
                <w:szCs w:val="15"/>
                <w:color w:val="auto"/>
              </w:rPr>
            </w:pPr>
          </w:p>
        </w:tc>
        <w:tc>
          <w:tcPr>
            <w:tcW w:w="3460" w:type="dxa"/>
            <w:vAlign w:val="bottom"/>
            <w:shd w:val="clear" w:color="auto" w:fill="F1F2F2"/>
          </w:tcPr>
          <w:p>
            <w:pPr>
              <w:spacing w:after="0"/>
              <w:rPr>
                <w:sz w:val="15"/>
                <w:szCs w:val="15"/>
                <w:color w:val="auto"/>
              </w:rPr>
            </w:pPr>
          </w:p>
        </w:tc>
        <w:tc>
          <w:tcPr>
            <w:tcW w:w="380" w:type="dxa"/>
            <w:vAlign w:val="bottom"/>
            <w:shd w:val="clear" w:color="auto" w:fill="F1F2F2"/>
          </w:tcPr>
          <w:p>
            <w:pPr>
              <w:spacing w:after="0"/>
              <w:rPr>
                <w:sz w:val="15"/>
                <w:szCs w:val="15"/>
                <w:color w:val="auto"/>
              </w:rPr>
            </w:pPr>
          </w:p>
        </w:tc>
        <w:tc>
          <w:tcPr>
            <w:tcW w:w="2840" w:type="dxa"/>
            <w:vAlign w:val="bottom"/>
            <w:shd w:val="clear" w:color="auto" w:fill="F1F2F2"/>
          </w:tcPr>
          <w:p>
            <w:pPr>
              <w:spacing w:after="0"/>
              <w:rPr>
                <w:sz w:val="15"/>
                <w:szCs w:val="15"/>
                <w:color w:val="auto"/>
              </w:rPr>
            </w:pPr>
          </w:p>
        </w:tc>
        <w:tc>
          <w:tcPr>
            <w:tcW w:w="4340" w:type="dxa"/>
            <w:vAlign w:val="bottom"/>
            <w:gridSpan w:val="2"/>
            <w:shd w:val="clear" w:color="auto" w:fill="F1F2F2"/>
          </w:tcPr>
          <w:p>
            <w:pPr>
              <w:spacing w:after="0"/>
              <w:rPr>
                <w:sz w:val="15"/>
                <w:szCs w:val="15"/>
                <w:color w:val="auto"/>
              </w:rPr>
            </w:pPr>
          </w:p>
        </w:tc>
      </w:tr>
      <w:tr>
        <w:trPr>
          <w:trHeight w:val="247"/>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 xml:space="preserve">Acuity Inc. </w:t>
            </w:r>
            <w:r>
              <w:rPr>
                <w:rFonts w:ascii="Arial" w:cs="Arial" w:eastAsia="Arial" w:hAnsi="Arial"/>
                <w:sz w:val="16"/>
                <w:szCs w:val="16"/>
                <w:color w:val="auto"/>
              </w:rPr>
              <w:t>(AYI)</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 xml:space="preserve">IDEX Corporation </w:t>
            </w:r>
            <w:r>
              <w:rPr>
                <w:rFonts w:ascii="Arial" w:cs="Arial" w:eastAsia="Arial" w:hAnsi="Arial"/>
                <w:sz w:val="16"/>
                <w:szCs w:val="16"/>
                <w:color w:val="auto"/>
              </w:rPr>
              <w:t>(IEX)</w:t>
            </w: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 xml:space="preserve">•   Rockwell Automation, Inc. </w:t>
            </w:r>
            <w:r>
              <w:rPr>
                <w:rFonts w:ascii="Arial" w:cs="Arial" w:eastAsia="Arial" w:hAnsi="Arial"/>
                <w:sz w:val="16"/>
                <w:szCs w:val="16"/>
                <w:color w:val="auto"/>
              </w:rPr>
              <w:t>(ROK)</w:t>
            </w:r>
          </w:p>
        </w:tc>
      </w:tr>
      <w:tr>
        <w:trPr>
          <w:trHeight w:val="185"/>
        </w:trPr>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47"/>
        </w:trPr>
        <w:tc>
          <w:tcPr>
            <w:tcW w:w="220" w:type="dxa"/>
            <w:vAlign w:val="bottom"/>
            <w:shd w:val="clear" w:color="auto" w:fill="F1F2F2"/>
          </w:tcPr>
          <w:p>
            <w:pPr>
              <w:ind w:left="20"/>
              <w:spacing w:after="0"/>
              <w:rPr>
                <w:sz w:val="20"/>
                <w:szCs w:val="20"/>
                <w:color w:val="auto"/>
              </w:rPr>
            </w:pPr>
            <w:r>
              <w:rPr>
                <w:rFonts w:ascii="Arial" w:cs="Arial" w:eastAsia="Arial" w:hAnsi="Arial"/>
                <w:sz w:val="18"/>
                <w:szCs w:val="18"/>
                <w:color w:val="auto"/>
              </w:rPr>
              <w:t>•</w:t>
            </w:r>
          </w:p>
        </w:tc>
        <w:tc>
          <w:tcPr>
            <w:tcW w:w="346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Dover Corporation </w:t>
            </w:r>
            <w:r>
              <w:rPr>
                <w:rFonts w:ascii="Arial" w:cs="Arial" w:eastAsia="Arial" w:hAnsi="Arial"/>
                <w:sz w:val="16"/>
                <w:szCs w:val="16"/>
                <w:color w:val="auto"/>
              </w:rPr>
              <w:t>(DOV)</w:t>
            </w:r>
          </w:p>
        </w:tc>
        <w:tc>
          <w:tcPr>
            <w:tcW w:w="380" w:type="dxa"/>
            <w:vAlign w:val="bottom"/>
            <w:shd w:val="clear" w:color="auto" w:fill="F1F2F2"/>
          </w:tcPr>
          <w:p>
            <w:pPr>
              <w:ind w:left="18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Masco Corporation </w:t>
            </w:r>
            <w:r>
              <w:rPr>
                <w:rFonts w:ascii="Arial" w:cs="Arial" w:eastAsia="Arial" w:hAnsi="Arial"/>
                <w:sz w:val="16"/>
                <w:szCs w:val="16"/>
                <w:color w:val="auto"/>
              </w:rPr>
              <w:t>(MAS)</w:t>
            </w:r>
          </w:p>
        </w:tc>
        <w:tc>
          <w:tcPr>
            <w:tcW w:w="620" w:type="dxa"/>
            <w:vAlign w:val="bottom"/>
            <w:shd w:val="clear" w:color="auto" w:fill="F1F2F2"/>
          </w:tcPr>
          <w:p>
            <w:pPr>
              <w:ind w:left="420"/>
              <w:spacing w:after="0"/>
              <w:rPr>
                <w:sz w:val="20"/>
                <w:szCs w:val="20"/>
                <w:color w:val="auto"/>
              </w:rPr>
            </w:pPr>
            <w:r>
              <w:rPr>
                <w:rFonts w:ascii="Arial" w:cs="Arial" w:eastAsia="Arial" w:hAnsi="Arial"/>
                <w:sz w:val="18"/>
                <w:szCs w:val="18"/>
                <w:color w:val="auto"/>
              </w:rPr>
              <w:t>•</w:t>
            </w:r>
          </w:p>
        </w:tc>
        <w:tc>
          <w:tcPr>
            <w:tcW w:w="372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Snap-On Incorporated </w:t>
            </w:r>
            <w:r>
              <w:rPr>
                <w:rFonts w:ascii="Arial" w:cs="Arial" w:eastAsia="Arial" w:hAnsi="Arial"/>
                <w:sz w:val="16"/>
                <w:szCs w:val="16"/>
                <w:color w:val="auto"/>
              </w:rPr>
              <w:t>(SNA)</w:t>
            </w:r>
          </w:p>
        </w:tc>
      </w:tr>
      <w:tr>
        <w:trPr>
          <w:trHeight w:val="185"/>
        </w:trPr>
        <w:tc>
          <w:tcPr>
            <w:tcW w:w="220" w:type="dxa"/>
            <w:vAlign w:val="bottom"/>
            <w:shd w:val="clear" w:color="auto" w:fill="F1F2F2"/>
          </w:tcPr>
          <w:p>
            <w:pPr>
              <w:spacing w:after="0"/>
              <w:rPr>
                <w:sz w:val="16"/>
                <w:szCs w:val="16"/>
                <w:color w:val="auto"/>
              </w:rPr>
            </w:pPr>
          </w:p>
        </w:tc>
        <w:tc>
          <w:tcPr>
            <w:tcW w:w="3460" w:type="dxa"/>
            <w:vAlign w:val="bottom"/>
            <w:shd w:val="clear" w:color="auto" w:fill="F1F2F2"/>
          </w:tcPr>
          <w:p>
            <w:pPr>
              <w:spacing w:after="0"/>
              <w:rPr>
                <w:sz w:val="16"/>
                <w:szCs w:val="16"/>
                <w:color w:val="auto"/>
              </w:rPr>
            </w:pPr>
          </w:p>
        </w:tc>
        <w:tc>
          <w:tcPr>
            <w:tcW w:w="380" w:type="dxa"/>
            <w:vAlign w:val="bottom"/>
            <w:shd w:val="clear" w:color="auto" w:fill="F1F2F2"/>
          </w:tcPr>
          <w:p>
            <w:pPr>
              <w:spacing w:after="0"/>
              <w:rPr>
                <w:sz w:val="16"/>
                <w:szCs w:val="16"/>
                <w:color w:val="auto"/>
              </w:rPr>
            </w:pPr>
          </w:p>
        </w:tc>
        <w:tc>
          <w:tcPr>
            <w:tcW w:w="2840" w:type="dxa"/>
            <w:vAlign w:val="bottom"/>
            <w:shd w:val="clear" w:color="auto" w:fill="F1F2F2"/>
          </w:tcPr>
          <w:p>
            <w:pPr>
              <w:spacing w:after="0"/>
              <w:rPr>
                <w:sz w:val="16"/>
                <w:szCs w:val="16"/>
                <w:color w:val="auto"/>
              </w:rPr>
            </w:pPr>
          </w:p>
        </w:tc>
        <w:tc>
          <w:tcPr>
            <w:tcW w:w="4340" w:type="dxa"/>
            <w:vAlign w:val="bottom"/>
            <w:gridSpan w:val="2"/>
            <w:shd w:val="clear" w:color="auto" w:fill="F1F2F2"/>
          </w:tcPr>
          <w:p>
            <w:pPr>
              <w:spacing w:after="0"/>
              <w:rPr>
                <w:sz w:val="16"/>
                <w:szCs w:val="16"/>
                <w:color w:val="auto"/>
              </w:rPr>
            </w:pPr>
          </w:p>
        </w:tc>
      </w:tr>
      <w:tr>
        <w:trPr>
          <w:trHeight w:val="247"/>
        </w:trPr>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3460" w:type="dxa"/>
            <w:vAlign w:val="bottom"/>
          </w:tcPr>
          <w:p>
            <w:pPr>
              <w:ind w:left="120"/>
              <w:spacing w:after="0"/>
              <w:rPr>
                <w:sz w:val="20"/>
                <w:szCs w:val="20"/>
                <w:color w:val="auto"/>
              </w:rPr>
            </w:pPr>
            <w:r>
              <w:rPr>
                <w:rFonts w:ascii="Arial" w:cs="Arial" w:eastAsia="Arial" w:hAnsi="Arial"/>
                <w:sz w:val="18"/>
                <w:szCs w:val="18"/>
                <w:color w:val="auto"/>
              </w:rPr>
              <w:t xml:space="preserve">Flowserve Corporation </w:t>
            </w:r>
            <w:r>
              <w:rPr>
                <w:rFonts w:ascii="Arial" w:cs="Arial" w:eastAsia="Arial" w:hAnsi="Arial"/>
                <w:sz w:val="16"/>
                <w:szCs w:val="16"/>
                <w:color w:val="auto"/>
              </w:rPr>
              <w:t>(FLS)</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2840" w:type="dxa"/>
            <w:vAlign w:val="bottom"/>
          </w:tcPr>
          <w:p>
            <w:pPr>
              <w:ind w:left="120"/>
              <w:spacing w:after="0"/>
              <w:rPr>
                <w:sz w:val="20"/>
                <w:szCs w:val="20"/>
                <w:color w:val="auto"/>
              </w:rPr>
            </w:pPr>
            <w:r>
              <w:rPr>
                <w:rFonts w:ascii="Arial" w:cs="Arial" w:eastAsia="Arial" w:hAnsi="Arial"/>
                <w:sz w:val="18"/>
                <w:szCs w:val="18"/>
                <w:color w:val="auto"/>
              </w:rPr>
              <w:t xml:space="preserve">Owens Corning </w:t>
            </w:r>
            <w:r>
              <w:rPr>
                <w:rFonts w:ascii="Arial" w:cs="Arial" w:eastAsia="Arial" w:hAnsi="Arial"/>
                <w:sz w:val="16"/>
                <w:szCs w:val="16"/>
                <w:color w:val="auto"/>
              </w:rPr>
              <w:t>(OC)</w:t>
            </w:r>
          </w:p>
        </w:tc>
        <w:tc>
          <w:tcPr>
            <w:tcW w:w="4340" w:type="dxa"/>
            <w:vAlign w:val="bottom"/>
            <w:gridSpan w:val="2"/>
          </w:tcPr>
          <w:p>
            <w:pPr>
              <w:ind w:left="420"/>
              <w:spacing w:after="0"/>
              <w:rPr>
                <w:sz w:val="20"/>
                <w:szCs w:val="20"/>
                <w:color w:val="auto"/>
              </w:rPr>
            </w:pPr>
            <w:r>
              <w:rPr>
                <w:rFonts w:ascii="Arial" w:cs="Arial" w:eastAsia="Arial" w:hAnsi="Arial"/>
                <w:sz w:val="18"/>
                <w:szCs w:val="18"/>
                <w:color w:val="auto"/>
              </w:rPr>
              <w:t xml:space="preserve">•   The Timken Company </w:t>
            </w:r>
            <w:r>
              <w:rPr>
                <w:rFonts w:ascii="Arial" w:cs="Arial" w:eastAsia="Arial" w:hAnsi="Arial"/>
                <w:sz w:val="16"/>
                <w:szCs w:val="16"/>
                <w:color w:val="auto"/>
              </w:rPr>
              <w:t>(TKR)</w:t>
            </w:r>
          </w:p>
        </w:tc>
      </w:tr>
      <w:tr>
        <w:trPr>
          <w:trHeight w:val="185"/>
        </w:trPr>
        <w:tc>
          <w:tcPr>
            <w:tcW w:w="368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20" w:type="dxa"/>
            <w:vAlign w:val="bottom"/>
          </w:tcPr>
          <w:p>
            <w:pPr>
              <w:spacing w:after="0"/>
              <w:rPr>
                <w:sz w:val="16"/>
                <w:szCs w:val="16"/>
                <w:color w:val="auto"/>
              </w:rPr>
            </w:pPr>
          </w:p>
        </w:tc>
      </w:tr>
      <w:tr>
        <w:trPr>
          <w:trHeight w:val="247"/>
        </w:trPr>
        <w:tc>
          <w:tcPr>
            <w:tcW w:w="3680" w:type="dxa"/>
            <w:vAlign w:val="bottom"/>
            <w:gridSpan w:val="2"/>
            <w:shd w:val="clear" w:color="auto" w:fill="F1F2F2"/>
          </w:tcPr>
          <w:p>
            <w:pPr>
              <w:ind w:left="20"/>
              <w:spacing w:after="0"/>
              <w:rPr>
                <w:sz w:val="20"/>
                <w:szCs w:val="20"/>
                <w:color w:val="auto"/>
              </w:rPr>
            </w:pPr>
            <w:r>
              <w:rPr>
                <w:rFonts w:ascii="Arial" w:cs="Arial" w:eastAsia="Arial" w:hAnsi="Arial"/>
                <w:sz w:val="18"/>
                <w:szCs w:val="18"/>
                <w:color w:val="auto"/>
              </w:rPr>
              <w:t xml:space="preserve">•   Fortune Brands Innovations, Inc. </w:t>
            </w:r>
            <w:r>
              <w:rPr>
                <w:rFonts w:ascii="Arial" w:cs="Arial" w:eastAsia="Arial" w:hAnsi="Arial"/>
                <w:sz w:val="16"/>
                <w:szCs w:val="16"/>
                <w:color w:val="auto"/>
              </w:rPr>
              <w:t xml:space="preserve">(FBIN) </w:t>
            </w:r>
          </w:p>
        </w:tc>
        <w:tc>
          <w:tcPr>
            <w:tcW w:w="380" w:type="dxa"/>
            <w:vAlign w:val="bottom"/>
            <w:shd w:val="clear" w:color="auto" w:fill="F1F2F2"/>
          </w:tcPr>
          <w:p>
            <w:pPr>
              <w:ind w:left="180"/>
              <w:spacing w:after="0"/>
              <w:rPr>
                <w:sz w:val="20"/>
                <w:szCs w:val="20"/>
                <w:color w:val="auto"/>
              </w:rPr>
            </w:pPr>
            <w:r>
              <w:rPr>
                <w:rFonts w:ascii="Arial" w:cs="Arial" w:eastAsia="Arial" w:hAnsi="Arial"/>
                <w:sz w:val="18"/>
                <w:szCs w:val="18"/>
                <w:color w:val="auto"/>
              </w:rPr>
              <w:t>•</w:t>
            </w:r>
          </w:p>
        </w:tc>
        <w:tc>
          <w:tcPr>
            <w:tcW w:w="284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Pentair plc </w:t>
            </w:r>
            <w:r>
              <w:rPr>
                <w:rFonts w:ascii="Arial" w:cs="Arial" w:eastAsia="Arial" w:hAnsi="Arial"/>
                <w:sz w:val="16"/>
                <w:szCs w:val="16"/>
                <w:color w:val="auto"/>
              </w:rPr>
              <w:t xml:space="preserve">(PNR)    </w:t>
            </w:r>
          </w:p>
        </w:tc>
        <w:tc>
          <w:tcPr>
            <w:tcW w:w="620" w:type="dxa"/>
            <w:vAlign w:val="bottom"/>
            <w:shd w:val="clear" w:color="auto" w:fill="F1F2F2"/>
          </w:tcPr>
          <w:p>
            <w:pPr>
              <w:ind w:left="420"/>
              <w:spacing w:after="0"/>
              <w:rPr>
                <w:sz w:val="20"/>
                <w:szCs w:val="20"/>
                <w:color w:val="auto"/>
              </w:rPr>
            </w:pPr>
            <w:r>
              <w:rPr>
                <w:rFonts w:ascii="Arial" w:cs="Arial" w:eastAsia="Arial" w:hAnsi="Arial"/>
                <w:sz w:val="18"/>
                <w:szCs w:val="18"/>
                <w:color w:val="auto"/>
              </w:rPr>
              <w:t>•</w:t>
            </w:r>
          </w:p>
        </w:tc>
        <w:tc>
          <w:tcPr>
            <w:tcW w:w="3720" w:type="dxa"/>
            <w:vAlign w:val="bottom"/>
            <w:shd w:val="clear" w:color="auto" w:fill="F1F2F2"/>
          </w:tcPr>
          <w:p>
            <w:pPr>
              <w:ind w:left="120"/>
              <w:spacing w:after="0"/>
              <w:rPr>
                <w:sz w:val="20"/>
                <w:szCs w:val="20"/>
                <w:color w:val="auto"/>
              </w:rPr>
            </w:pPr>
            <w:r>
              <w:rPr>
                <w:rFonts w:ascii="Arial" w:cs="Arial" w:eastAsia="Arial" w:hAnsi="Arial"/>
                <w:sz w:val="18"/>
                <w:szCs w:val="18"/>
                <w:color w:val="auto"/>
              </w:rPr>
              <w:t xml:space="preserve">Xylem Inc. </w:t>
            </w:r>
            <w:r>
              <w:rPr>
                <w:rFonts w:ascii="Arial" w:cs="Arial" w:eastAsia="Arial" w:hAnsi="Arial"/>
                <w:sz w:val="16"/>
                <w:szCs w:val="16"/>
                <w:color w:val="auto"/>
              </w:rPr>
              <w:t>(XYL)</w:t>
            </w:r>
          </w:p>
        </w:tc>
      </w:tr>
      <w:tr>
        <w:trPr>
          <w:trHeight w:val="185"/>
        </w:trPr>
        <w:tc>
          <w:tcPr>
            <w:tcW w:w="220" w:type="dxa"/>
            <w:vAlign w:val="bottom"/>
            <w:shd w:val="clear" w:color="auto" w:fill="F1F2F2"/>
          </w:tcPr>
          <w:p>
            <w:pPr>
              <w:spacing w:after="0"/>
              <w:rPr>
                <w:sz w:val="16"/>
                <w:szCs w:val="16"/>
                <w:color w:val="auto"/>
              </w:rPr>
            </w:pPr>
          </w:p>
        </w:tc>
        <w:tc>
          <w:tcPr>
            <w:tcW w:w="3460" w:type="dxa"/>
            <w:vAlign w:val="bottom"/>
            <w:shd w:val="clear" w:color="auto" w:fill="F1F2F2"/>
          </w:tcPr>
          <w:p>
            <w:pPr>
              <w:spacing w:after="0"/>
              <w:rPr>
                <w:sz w:val="16"/>
                <w:szCs w:val="16"/>
                <w:color w:val="auto"/>
              </w:rPr>
            </w:pPr>
          </w:p>
        </w:tc>
        <w:tc>
          <w:tcPr>
            <w:tcW w:w="380" w:type="dxa"/>
            <w:vAlign w:val="bottom"/>
            <w:shd w:val="clear" w:color="auto" w:fill="F1F2F2"/>
          </w:tcPr>
          <w:p>
            <w:pPr>
              <w:spacing w:after="0"/>
              <w:rPr>
                <w:sz w:val="16"/>
                <w:szCs w:val="16"/>
                <w:color w:val="auto"/>
              </w:rPr>
            </w:pPr>
          </w:p>
        </w:tc>
        <w:tc>
          <w:tcPr>
            <w:tcW w:w="2840" w:type="dxa"/>
            <w:vAlign w:val="bottom"/>
            <w:shd w:val="clear" w:color="auto" w:fill="F1F2F2"/>
          </w:tcPr>
          <w:p>
            <w:pPr>
              <w:spacing w:after="0"/>
              <w:rPr>
                <w:sz w:val="16"/>
                <w:szCs w:val="16"/>
                <w:color w:val="auto"/>
              </w:rPr>
            </w:pPr>
          </w:p>
        </w:tc>
        <w:tc>
          <w:tcPr>
            <w:tcW w:w="620" w:type="dxa"/>
            <w:vAlign w:val="bottom"/>
            <w:shd w:val="clear" w:color="auto" w:fill="F1F2F2"/>
          </w:tcPr>
          <w:p>
            <w:pPr>
              <w:spacing w:after="0"/>
              <w:rPr>
                <w:sz w:val="16"/>
                <w:szCs w:val="16"/>
                <w:color w:val="auto"/>
              </w:rPr>
            </w:pPr>
          </w:p>
        </w:tc>
        <w:tc>
          <w:tcPr>
            <w:tcW w:w="3720" w:type="dxa"/>
            <w:vAlign w:val="bottom"/>
            <w:shd w:val="clear" w:color="auto" w:fill="F1F2F2"/>
          </w:tcPr>
          <w:p>
            <w:pPr>
              <w:spacing w:after="0"/>
              <w:rPr>
                <w:sz w:val="16"/>
                <w:szCs w:val="16"/>
                <w:color w:val="auto"/>
              </w:rPr>
            </w:pP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selected the Compensation Peer Group using the following criteria:</w:t>
      </w:r>
    </w:p>
    <w:p>
      <w:pPr>
        <w:spacing w:after="0" w:line="158"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industry – building products, electrical components/equipment, and industrial machinery;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revenues of approximately 0.5 to 2.0 times our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business and product mix similar to ours;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similar geographic presence and operations.</w:t>
      </w:r>
    </w:p>
    <w:p>
      <w:pPr>
        <w:spacing w:after="0" w:line="158"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In 2025, the Committee analyzed the Compensation Peer Group on the criteria above and made no adjustments. Lennox revenues are at the 50th percentile of the peer group and market capitalization is at the 64th percentile,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66040</wp:posOffset>
            </wp:positionV>
            <wp:extent cx="3531870" cy="8058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3187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addition to comparing our NEO compensation to the compensation of our Compensation Peer Group, the Committee also references published compensation data and other studies of compensation trends and market practices (these data and practices, including our Compensation Peer Group, are collectively referred to as the “Market”).</w:t>
      </w:r>
    </w:p>
    <w:p>
      <w:pPr>
        <w:spacing w:after="0" w:line="128" w:lineRule="exact"/>
        <w:rPr>
          <w:sz w:val="20"/>
          <w:szCs w:val="20"/>
          <w:color w:val="auto"/>
        </w:rPr>
      </w:pPr>
    </w:p>
    <w:p>
      <w:pPr>
        <w:jc w:val="both"/>
        <w:ind w:right="240" w:firstLine="324"/>
        <w:spacing w:after="0" w:line="271" w:lineRule="auto"/>
        <w:rPr>
          <w:sz w:val="20"/>
          <w:szCs w:val="20"/>
          <w:color w:val="auto"/>
        </w:rPr>
      </w:pPr>
      <w:r>
        <w:rPr>
          <w:rFonts w:ascii="Arial" w:cs="Arial" w:eastAsia="Arial" w:hAnsi="Arial"/>
          <w:sz w:val="18"/>
          <w:szCs w:val="18"/>
          <w:color w:val="auto"/>
        </w:rPr>
        <w:t>Beyond traditional Market analysis, the Committee also utilizes various other compensation analyses to assist with its decision-making process. Below are examples of information the Committee reviews and considers, as appropriate, when making compensation decisions:</w:t>
      </w:r>
    </w:p>
    <w:p>
      <w:pPr>
        <w:spacing w:after="0" w:line="10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in” compensation summaries and pay histories for the CEO and other executive officers;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CEO realized pay analysis;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CEO pay versus performance analysis;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dilution and share utilization analysis, projections, and benchmarking;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equity compensation expense analysis;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short-term and long-term incentive design, metrics, and award type;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short-term and long-term incentive plan performance results.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C60C35"/>
        </w:rPr>
        <w:t>Components and Analysis of 2025 Executive Compensatio</w:t>
      </w:r>
      <w:r>
        <w:rPr>
          <w:rFonts w:ascii="Arial" w:cs="Arial" w:eastAsia="Arial" w:hAnsi="Arial"/>
          <w:sz w:val="22"/>
          <w:szCs w:val="22"/>
          <w:b w:val="1"/>
          <w:bCs w:val="1"/>
          <w:color w:val="C6093B"/>
        </w:rPr>
        <w:t>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Base Salary</w:t>
      </w:r>
    </w:p>
    <w:p>
      <w:pPr>
        <w:spacing w:after="0" w:line="16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establishing each NEO’s annual base salary, the Committee considered Market data, each individual’s experience and responsibilities, our annual merit budget for all employees, achievement of performance objectives, internal equity, and recommendations provided by the CEO for his direct reports.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detail regarding base salaries for each NEO: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900" w:type="dxa"/>
            <w:vAlign w:val="bottom"/>
            <w:shd w:val="clear" w:color="auto" w:fill="C60C35"/>
          </w:tcPr>
          <w:p>
            <w:pPr>
              <w:spacing w:after="0"/>
              <w:rPr>
                <w:sz w:val="16"/>
                <w:szCs w:val="16"/>
                <w:color w:val="auto"/>
              </w:rPr>
            </w:pPr>
          </w:p>
        </w:tc>
        <w:tc>
          <w:tcPr>
            <w:tcW w:w="2460" w:type="dxa"/>
            <w:vAlign w:val="bottom"/>
            <w:shd w:val="clear" w:color="auto" w:fill="C60C35"/>
          </w:tcPr>
          <w:p>
            <w:pPr>
              <w:jc w:val="right"/>
              <w:ind w:right="348"/>
              <w:spacing w:after="0"/>
              <w:rPr>
                <w:sz w:val="20"/>
                <w:szCs w:val="20"/>
                <w:color w:val="auto"/>
              </w:rPr>
            </w:pPr>
            <w:r>
              <w:rPr>
                <w:rFonts w:ascii="Arial" w:cs="Arial" w:eastAsia="Arial" w:hAnsi="Arial"/>
                <w:sz w:val="14"/>
                <w:szCs w:val="14"/>
                <w:b w:val="1"/>
                <w:bCs w:val="1"/>
                <w:color w:val="FFFFFF"/>
              </w:rPr>
              <w:t>Base Salary as of</w:t>
            </w:r>
          </w:p>
        </w:tc>
        <w:tc>
          <w:tcPr>
            <w:tcW w:w="2080" w:type="dxa"/>
            <w:vAlign w:val="bottom"/>
            <w:shd w:val="clear" w:color="auto" w:fill="C60C35"/>
          </w:tcPr>
          <w:p>
            <w:pPr>
              <w:jc w:val="right"/>
              <w:ind w:right="368"/>
              <w:spacing w:after="0"/>
              <w:rPr>
                <w:sz w:val="20"/>
                <w:szCs w:val="20"/>
                <w:color w:val="auto"/>
              </w:rPr>
            </w:pPr>
            <w:r>
              <w:rPr>
                <w:rFonts w:ascii="Arial" w:cs="Arial" w:eastAsia="Arial" w:hAnsi="Arial"/>
                <w:sz w:val="14"/>
                <w:szCs w:val="14"/>
                <w:b w:val="1"/>
                <w:bCs w:val="1"/>
                <w:color w:val="FFFFFF"/>
              </w:rPr>
              <w:t>Increase Effective</w:t>
            </w:r>
          </w:p>
        </w:tc>
        <w:tc>
          <w:tcPr>
            <w:tcW w:w="2140" w:type="dxa"/>
            <w:vAlign w:val="bottom"/>
            <w:shd w:val="clear" w:color="auto" w:fill="C60C35"/>
          </w:tcPr>
          <w:p>
            <w:pPr>
              <w:jc w:val="right"/>
              <w:ind w:right="448"/>
              <w:spacing w:after="0"/>
              <w:rPr>
                <w:sz w:val="20"/>
                <w:szCs w:val="20"/>
                <w:color w:val="auto"/>
              </w:rPr>
            </w:pPr>
            <w:r>
              <w:rPr>
                <w:rFonts w:ascii="Arial" w:cs="Arial" w:eastAsia="Arial" w:hAnsi="Arial"/>
                <w:sz w:val="14"/>
                <w:szCs w:val="14"/>
                <w:b w:val="1"/>
                <w:bCs w:val="1"/>
                <w:color w:val="FFFFFF"/>
              </w:rPr>
              <w:t>Base Salary as of</w:t>
            </w:r>
          </w:p>
        </w:tc>
        <w:tc>
          <w:tcPr>
            <w:tcW w:w="166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Base Salary</w:t>
            </w:r>
          </w:p>
        </w:tc>
      </w:tr>
      <w:tr>
        <w:trPr>
          <w:trHeight w:val="164"/>
        </w:trPr>
        <w:tc>
          <w:tcPr>
            <w:tcW w:w="2900" w:type="dxa"/>
            <w:vAlign w:val="bottom"/>
            <w:shd w:val="clear" w:color="auto" w:fill="C60C35"/>
          </w:tcPr>
          <w:p>
            <w:pPr>
              <w:spacing w:after="0"/>
              <w:rPr>
                <w:sz w:val="14"/>
                <w:szCs w:val="14"/>
                <w:color w:val="auto"/>
              </w:rPr>
            </w:pPr>
          </w:p>
        </w:tc>
        <w:tc>
          <w:tcPr>
            <w:tcW w:w="2460" w:type="dxa"/>
            <w:vAlign w:val="bottom"/>
            <w:shd w:val="clear" w:color="auto" w:fill="C60C35"/>
          </w:tcPr>
          <w:p>
            <w:pPr>
              <w:jc w:val="right"/>
              <w:ind w:right="348"/>
              <w:spacing w:after="0"/>
              <w:rPr>
                <w:sz w:val="20"/>
                <w:szCs w:val="20"/>
                <w:color w:val="auto"/>
              </w:rPr>
            </w:pPr>
            <w:r>
              <w:rPr>
                <w:rFonts w:ascii="Arial" w:cs="Arial" w:eastAsia="Arial" w:hAnsi="Arial"/>
                <w:sz w:val="14"/>
                <w:szCs w:val="14"/>
                <w:b w:val="1"/>
                <w:bCs w:val="1"/>
                <w:color w:val="FFFFFF"/>
              </w:rPr>
              <w:t>January 1, 2025</w:t>
            </w:r>
          </w:p>
        </w:tc>
        <w:tc>
          <w:tcPr>
            <w:tcW w:w="2080" w:type="dxa"/>
            <w:vAlign w:val="bottom"/>
            <w:shd w:val="clear" w:color="auto" w:fill="C60C35"/>
          </w:tcPr>
          <w:p>
            <w:pPr>
              <w:jc w:val="right"/>
              <w:ind w:right="368"/>
              <w:spacing w:after="0"/>
              <w:rPr>
                <w:sz w:val="20"/>
                <w:szCs w:val="20"/>
                <w:color w:val="auto"/>
              </w:rPr>
            </w:pPr>
            <w:r>
              <w:rPr>
                <w:rFonts w:ascii="Arial" w:cs="Arial" w:eastAsia="Arial" w:hAnsi="Arial"/>
                <w:sz w:val="14"/>
                <w:szCs w:val="14"/>
                <w:b w:val="1"/>
                <w:bCs w:val="1"/>
                <w:color w:val="FFFFFF"/>
              </w:rPr>
              <w:t>April 1, 2025</w:t>
            </w:r>
          </w:p>
        </w:tc>
        <w:tc>
          <w:tcPr>
            <w:tcW w:w="2140" w:type="dxa"/>
            <w:vAlign w:val="bottom"/>
            <w:shd w:val="clear" w:color="auto" w:fill="C60C35"/>
          </w:tcPr>
          <w:p>
            <w:pPr>
              <w:jc w:val="right"/>
              <w:ind w:right="448"/>
              <w:spacing w:after="0" w:line="164" w:lineRule="exact"/>
              <w:rPr>
                <w:sz w:val="20"/>
                <w:szCs w:val="20"/>
                <w:color w:val="auto"/>
              </w:rPr>
            </w:pPr>
            <w:r>
              <w:rPr>
                <w:rFonts w:ascii="Arial" w:cs="Arial" w:eastAsia="Arial" w:hAnsi="Arial"/>
                <w:sz w:val="14"/>
                <w:szCs w:val="14"/>
                <w:b w:val="1"/>
                <w:bCs w:val="1"/>
                <w:color w:val="FFFFFF"/>
              </w:rPr>
              <w:t>April 1, 2025</w:t>
            </w:r>
            <w:r>
              <w:rPr>
                <w:rFonts w:ascii="Arial" w:cs="Arial" w:eastAsia="Arial" w:hAnsi="Arial"/>
                <w:sz w:val="18"/>
                <w:szCs w:val="18"/>
                <w:b w:val="1"/>
                <w:bCs w:val="1"/>
                <w:color w:val="FFFFFF"/>
                <w:vertAlign w:val="superscript"/>
              </w:rPr>
              <w:t>(1)</w:t>
            </w:r>
          </w:p>
        </w:tc>
        <w:tc>
          <w:tcPr>
            <w:tcW w:w="166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Earned in 2025</w:t>
            </w:r>
          </w:p>
        </w:tc>
      </w:tr>
      <w:tr>
        <w:trPr>
          <w:trHeight w:val="196"/>
        </w:trPr>
        <w:tc>
          <w:tcPr>
            <w:tcW w:w="29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2460" w:type="dxa"/>
            <w:vAlign w:val="bottom"/>
            <w:shd w:val="clear" w:color="auto" w:fill="C60C35"/>
          </w:tcPr>
          <w:p>
            <w:pPr>
              <w:jc w:val="right"/>
              <w:ind w:right="348"/>
              <w:spacing w:after="0"/>
              <w:rPr>
                <w:sz w:val="20"/>
                <w:szCs w:val="20"/>
                <w:color w:val="auto"/>
              </w:rPr>
            </w:pPr>
            <w:r>
              <w:rPr>
                <w:rFonts w:ascii="Arial" w:cs="Arial" w:eastAsia="Arial" w:hAnsi="Arial"/>
                <w:sz w:val="14"/>
                <w:szCs w:val="14"/>
                <w:b w:val="1"/>
                <w:bCs w:val="1"/>
                <w:color w:val="FFFFFF"/>
              </w:rPr>
              <w:t>($)</w:t>
            </w:r>
          </w:p>
        </w:tc>
        <w:tc>
          <w:tcPr>
            <w:tcW w:w="2080" w:type="dxa"/>
            <w:vAlign w:val="bottom"/>
            <w:shd w:val="clear" w:color="auto" w:fill="C60C35"/>
          </w:tcPr>
          <w:p>
            <w:pPr>
              <w:jc w:val="right"/>
              <w:ind w:right="368"/>
              <w:spacing w:after="0"/>
              <w:rPr>
                <w:sz w:val="20"/>
                <w:szCs w:val="20"/>
                <w:color w:val="auto"/>
              </w:rPr>
            </w:pPr>
            <w:r>
              <w:rPr>
                <w:rFonts w:ascii="Arial" w:cs="Arial" w:eastAsia="Arial" w:hAnsi="Arial"/>
                <w:sz w:val="14"/>
                <w:szCs w:val="14"/>
                <w:b w:val="1"/>
                <w:bCs w:val="1"/>
                <w:color w:val="FFFFFF"/>
              </w:rPr>
              <w:t>(%)</w:t>
            </w:r>
          </w:p>
        </w:tc>
        <w:tc>
          <w:tcPr>
            <w:tcW w:w="2140" w:type="dxa"/>
            <w:vAlign w:val="bottom"/>
            <w:shd w:val="clear" w:color="auto" w:fill="C60C35"/>
          </w:tcPr>
          <w:p>
            <w:pPr>
              <w:jc w:val="right"/>
              <w:ind w:right="448"/>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w:t>
            </w:r>
          </w:p>
        </w:tc>
      </w:tr>
      <w:tr>
        <w:trPr>
          <w:trHeight w:val="70"/>
        </w:trPr>
        <w:tc>
          <w:tcPr>
            <w:tcW w:w="2900" w:type="dxa"/>
            <w:vAlign w:val="bottom"/>
            <w:shd w:val="clear" w:color="auto" w:fill="C60C35"/>
          </w:tcPr>
          <w:p>
            <w:pPr>
              <w:spacing w:after="0"/>
              <w:rPr>
                <w:sz w:val="6"/>
                <w:szCs w:val="6"/>
                <w:color w:val="auto"/>
              </w:rPr>
            </w:pPr>
          </w:p>
        </w:tc>
        <w:tc>
          <w:tcPr>
            <w:tcW w:w="2460" w:type="dxa"/>
            <w:vAlign w:val="bottom"/>
            <w:shd w:val="clear" w:color="auto" w:fill="C60C35"/>
          </w:tcPr>
          <w:p>
            <w:pPr>
              <w:spacing w:after="0"/>
              <w:rPr>
                <w:sz w:val="6"/>
                <w:szCs w:val="6"/>
                <w:color w:val="auto"/>
              </w:rPr>
            </w:pPr>
          </w:p>
        </w:tc>
        <w:tc>
          <w:tcPr>
            <w:tcW w:w="2080" w:type="dxa"/>
            <w:vAlign w:val="bottom"/>
            <w:shd w:val="clear" w:color="auto" w:fill="C60C35"/>
          </w:tcPr>
          <w:p>
            <w:pPr>
              <w:spacing w:after="0"/>
              <w:rPr>
                <w:sz w:val="6"/>
                <w:szCs w:val="6"/>
                <w:color w:val="auto"/>
              </w:rPr>
            </w:pPr>
          </w:p>
        </w:tc>
        <w:tc>
          <w:tcPr>
            <w:tcW w:w="2140" w:type="dxa"/>
            <w:vAlign w:val="bottom"/>
            <w:shd w:val="clear" w:color="auto" w:fill="C60C35"/>
          </w:tcPr>
          <w:p>
            <w:pPr>
              <w:spacing w:after="0"/>
              <w:rPr>
                <w:sz w:val="6"/>
                <w:szCs w:val="6"/>
                <w:color w:val="auto"/>
              </w:rPr>
            </w:pPr>
          </w:p>
        </w:tc>
        <w:tc>
          <w:tcPr>
            <w:tcW w:w="1660" w:type="dxa"/>
            <w:vAlign w:val="bottom"/>
            <w:shd w:val="clear" w:color="auto" w:fill="C60C35"/>
          </w:tcPr>
          <w:p>
            <w:pPr>
              <w:spacing w:after="0"/>
              <w:rPr>
                <w:sz w:val="6"/>
                <w:szCs w:val="6"/>
                <w:color w:val="auto"/>
              </w:rPr>
            </w:pPr>
          </w:p>
        </w:tc>
      </w:tr>
      <w:tr>
        <w:trPr>
          <w:trHeight w:val="209"/>
        </w:trPr>
        <w:tc>
          <w:tcPr>
            <w:tcW w:w="29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2460" w:type="dxa"/>
            <w:vAlign w:val="bottom"/>
            <w:tcBorders>
              <w:bottom w:val="single" w:sz="8" w:color="F1F2F2"/>
            </w:tcBorders>
            <w:shd w:val="clear" w:color="auto" w:fill="F1F2F2"/>
          </w:tcPr>
          <w:p>
            <w:pPr>
              <w:jc w:val="right"/>
              <w:ind w:right="348"/>
              <w:spacing w:after="0"/>
              <w:rPr>
                <w:sz w:val="20"/>
                <w:szCs w:val="20"/>
                <w:color w:val="auto"/>
              </w:rPr>
            </w:pPr>
            <w:r>
              <w:rPr>
                <w:rFonts w:ascii="Arial" w:cs="Arial" w:eastAsia="Arial" w:hAnsi="Arial"/>
                <w:sz w:val="14"/>
                <w:szCs w:val="14"/>
                <w:color w:val="auto"/>
              </w:rPr>
              <w:t>1,150,000</w:t>
            </w:r>
          </w:p>
        </w:tc>
        <w:tc>
          <w:tcPr>
            <w:tcW w:w="2080" w:type="dxa"/>
            <w:vAlign w:val="bottom"/>
            <w:tcBorders>
              <w:bottom w:val="single" w:sz="8" w:color="F1F2F2"/>
            </w:tcBorders>
            <w:shd w:val="clear" w:color="auto" w:fill="F1F2F2"/>
          </w:tcPr>
          <w:p>
            <w:pPr>
              <w:jc w:val="right"/>
              <w:ind w:right="368"/>
              <w:spacing w:after="0"/>
              <w:rPr>
                <w:sz w:val="20"/>
                <w:szCs w:val="20"/>
                <w:color w:val="auto"/>
              </w:rPr>
            </w:pPr>
            <w:r>
              <w:rPr>
                <w:rFonts w:ascii="Arial" w:cs="Arial" w:eastAsia="Arial" w:hAnsi="Arial"/>
                <w:sz w:val="14"/>
                <w:szCs w:val="14"/>
                <w:color w:val="auto"/>
              </w:rPr>
              <w:t>3.0</w:t>
            </w:r>
          </w:p>
        </w:tc>
        <w:tc>
          <w:tcPr>
            <w:tcW w:w="2140" w:type="dxa"/>
            <w:vAlign w:val="bottom"/>
            <w:tcBorders>
              <w:bottom w:val="single" w:sz="8" w:color="F1F2F2"/>
            </w:tcBorders>
            <w:shd w:val="clear" w:color="auto" w:fill="F1F2F2"/>
          </w:tcPr>
          <w:p>
            <w:pPr>
              <w:jc w:val="right"/>
              <w:ind w:right="448"/>
              <w:spacing w:after="0"/>
              <w:rPr>
                <w:sz w:val="20"/>
                <w:szCs w:val="20"/>
                <w:color w:val="auto"/>
              </w:rPr>
            </w:pPr>
            <w:r>
              <w:rPr>
                <w:rFonts w:ascii="Arial" w:cs="Arial" w:eastAsia="Arial" w:hAnsi="Arial"/>
                <w:sz w:val="14"/>
                <w:szCs w:val="14"/>
                <w:color w:val="auto"/>
              </w:rPr>
              <w:t>1,185,000</w:t>
            </w:r>
          </w:p>
        </w:tc>
        <w:tc>
          <w:tcPr>
            <w:tcW w:w="1660" w:type="dxa"/>
            <w:vAlign w:val="bottom"/>
            <w:tcBorders>
              <w:bottom w:val="single" w:sz="8" w:color="F1F2F2"/>
            </w:tcBorders>
            <w:shd w:val="clear" w:color="auto" w:fill="F1F2F2"/>
          </w:tcPr>
          <w:p>
            <w:pPr>
              <w:jc w:val="right"/>
              <w:ind w:right="48"/>
              <w:spacing w:after="0"/>
              <w:rPr>
                <w:sz w:val="20"/>
                <w:szCs w:val="20"/>
                <w:color w:val="auto"/>
              </w:rPr>
            </w:pPr>
            <w:r>
              <w:rPr>
                <w:rFonts w:ascii="Arial" w:cs="Arial" w:eastAsia="Arial" w:hAnsi="Arial"/>
                <w:sz w:val="14"/>
                <w:szCs w:val="14"/>
                <w:color w:val="auto"/>
              </w:rPr>
              <w:t>1,176,250</w:t>
            </w:r>
          </w:p>
        </w:tc>
      </w:tr>
      <w:tr>
        <w:trPr>
          <w:trHeight w:val="208"/>
        </w:trPr>
        <w:tc>
          <w:tcPr>
            <w:tcW w:w="290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2460" w:type="dxa"/>
            <w:vAlign w:val="bottom"/>
          </w:tcPr>
          <w:p>
            <w:pPr>
              <w:jc w:val="right"/>
              <w:ind w:right="348"/>
              <w:spacing w:after="0"/>
              <w:rPr>
                <w:sz w:val="20"/>
                <w:szCs w:val="20"/>
                <w:color w:val="auto"/>
              </w:rPr>
            </w:pPr>
            <w:r>
              <w:rPr>
                <w:rFonts w:ascii="Arial" w:cs="Arial" w:eastAsia="Arial" w:hAnsi="Arial"/>
                <w:sz w:val="14"/>
                <w:szCs w:val="14"/>
                <w:color w:val="auto"/>
              </w:rPr>
              <w:t>550,000</w:t>
            </w:r>
          </w:p>
        </w:tc>
        <w:tc>
          <w:tcPr>
            <w:tcW w:w="2080" w:type="dxa"/>
            <w:vAlign w:val="bottom"/>
          </w:tcPr>
          <w:p>
            <w:pPr>
              <w:jc w:val="right"/>
              <w:ind w:right="388"/>
              <w:spacing w:after="0"/>
              <w:rPr>
                <w:sz w:val="20"/>
                <w:szCs w:val="20"/>
                <w:color w:val="auto"/>
              </w:rPr>
            </w:pPr>
            <w:r>
              <w:rPr>
                <w:rFonts w:ascii="Arial" w:cs="Arial" w:eastAsia="Arial" w:hAnsi="Arial"/>
                <w:sz w:val="14"/>
                <w:szCs w:val="14"/>
                <w:color w:val="auto"/>
              </w:rPr>
              <w:t>18.2</w:t>
            </w:r>
          </w:p>
        </w:tc>
        <w:tc>
          <w:tcPr>
            <w:tcW w:w="2140" w:type="dxa"/>
            <w:vAlign w:val="bottom"/>
          </w:tcPr>
          <w:p>
            <w:pPr>
              <w:jc w:val="right"/>
              <w:ind w:right="448"/>
              <w:spacing w:after="0"/>
              <w:rPr>
                <w:sz w:val="20"/>
                <w:szCs w:val="20"/>
                <w:color w:val="auto"/>
              </w:rPr>
            </w:pPr>
            <w:r>
              <w:rPr>
                <w:rFonts w:ascii="Arial" w:cs="Arial" w:eastAsia="Arial" w:hAnsi="Arial"/>
                <w:sz w:val="14"/>
                <w:szCs w:val="14"/>
                <w:color w:val="auto"/>
              </w:rPr>
              <w:t>650,000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625,000</w:t>
            </w:r>
          </w:p>
        </w:tc>
      </w:tr>
      <w:tr>
        <w:trPr>
          <w:trHeight w:val="22"/>
        </w:trPr>
        <w:tc>
          <w:tcPr>
            <w:tcW w:w="2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29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 xml:space="preserve">Sarah R. Martin </w:t>
            </w:r>
            <w:r>
              <w:rPr>
                <w:rFonts w:ascii="Arial" w:cs="Arial" w:eastAsia="Arial" w:hAnsi="Arial"/>
                <w:sz w:val="18"/>
                <w:szCs w:val="18"/>
                <w:color w:val="auto"/>
                <w:vertAlign w:val="superscript"/>
              </w:rPr>
              <w:t>(2)</w:t>
            </w:r>
          </w:p>
        </w:tc>
        <w:tc>
          <w:tcPr>
            <w:tcW w:w="2460" w:type="dxa"/>
            <w:vAlign w:val="bottom"/>
            <w:shd w:val="clear" w:color="auto" w:fill="F1F2F2"/>
          </w:tcPr>
          <w:p>
            <w:pPr>
              <w:spacing w:after="0"/>
              <w:rPr>
                <w:sz w:val="19"/>
                <w:szCs w:val="19"/>
                <w:color w:val="auto"/>
              </w:rPr>
            </w:pPr>
          </w:p>
        </w:tc>
        <w:tc>
          <w:tcPr>
            <w:tcW w:w="2080" w:type="dxa"/>
            <w:vAlign w:val="bottom"/>
            <w:shd w:val="clear" w:color="auto" w:fill="F1F2F2"/>
          </w:tcPr>
          <w:p>
            <w:pPr>
              <w:spacing w:after="0"/>
              <w:rPr>
                <w:sz w:val="19"/>
                <w:szCs w:val="19"/>
                <w:color w:val="auto"/>
              </w:rPr>
            </w:pPr>
          </w:p>
        </w:tc>
        <w:tc>
          <w:tcPr>
            <w:tcW w:w="2140" w:type="dxa"/>
            <w:vAlign w:val="bottom"/>
            <w:shd w:val="clear" w:color="auto" w:fill="F1F2F2"/>
          </w:tcPr>
          <w:p>
            <w:pPr>
              <w:spacing w:after="0"/>
              <w:rPr>
                <w:sz w:val="19"/>
                <w:szCs w:val="19"/>
                <w:color w:val="auto"/>
              </w:rPr>
            </w:pPr>
          </w:p>
        </w:tc>
        <w:tc>
          <w:tcPr>
            <w:tcW w:w="166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406,818</w:t>
            </w:r>
          </w:p>
        </w:tc>
      </w:tr>
      <w:tr>
        <w:trPr>
          <w:trHeight w:val="208"/>
        </w:trPr>
        <w:tc>
          <w:tcPr>
            <w:tcW w:w="290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2460" w:type="dxa"/>
            <w:vAlign w:val="bottom"/>
          </w:tcPr>
          <w:p>
            <w:pPr>
              <w:jc w:val="right"/>
              <w:ind w:right="348"/>
              <w:spacing w:after="0"/>
              <w:rPr>
                <w:sz w:val="20"/>
                <w:szCs w:val="20"/>
                <w:color w:val="auto"/>
              </w:rPr>
            </w:pPr>
            <w:r>
              <w:rPr>
                <w:rFonts w:ascii="Arial" w:cs="Arial" w:eastAsia="Arial" w:hAnsi="Arial"/>
                <w:sz w:val="14"/>
                <w:szCs w:val="14"/>
                <w:color w:val="auto"/>
              </w:rPr>
              <w:t>570,000</w:t>
            </w:r>
          </w:p>
        </w:tc>
        <w:tc>
          <w:tcPr>
            <w:tcW w:w="2080" w:type="dxa"/>
            <w:vAlign w:val="bottom"/>
          </w:tcPr>
          <w:p>
            <w:pPr>
              <w:jc w:val="right"/>
              <w:ind w:right="388"/>
              <w:spacing w:after="0"/>
              <w:rPr>
                <w:sz w:val="20"/>
                <w:szCs w:val="20"/>
                <w:color w:val="auto"/>
              </w:rPr>
            </w:pPr>
            <w:r>
              <w:rPr>
                <w:rFonts w:ascii="Arial" w:cs="Arial" w:eastAsia="Arial" w:hAnsi="Arial"/>
                <w:sz w:val="14"/>
                <w:szCs w:val="14"/>
                <w:color w:val="auto"/>
              </w:rPr>
              <w:t>5.3</w:t>
            </w:r>
          </w:p>
        </w:tc>
        <w:tc>
          <w:tcPr>
            <w:tcW w:w="2140" w:type="dxa"/>
            <w:vAlign w:val="bottom"/>
          </w:tcPr>
          <w:p>
            <w:pPr>
              <w:jc w:val="right"/>
              <w:ind w:right="448"/>
              <w:spacing w:after="0"/>
              <w:rPr>
                <w:sz w:val="20"/>
                <w:szCs w:val="20"/>
                <w:color w:val="auto"/>
              </w:rPr>
            </w:pPr>
            <w:r>
              <w:rPr>
                <w:rFonts w:ascii="Arial" w:cs="Arial" w:eastAsia="Arial" w:hAnsi="Arial"/>
                <w:sz w:val="14"/>
                <w:szCs w:val="14"/>
                <w:color w:val="auto"/>
              </w:rPr>
              <w:t>600,000</w:t>
            </w:r>
          </w:p>
        </w:tc>
        <w:tc>
          <w:tcPr>
            <w:tcW w:w="1660" w:type="dxa"/>
            <w:vAlign w:val="bottom"/>
          </w:tcPr>
          <w:p>
            <w:pPr>
              <w:jc w:val="right"/>
              <w:ind w:right="48"/>
              <w:spacing w:after="0"/>
              <w:rPr>
                <w:sz w:val="20"/>
                <w:szCs w:val="20"/>
                <w:color w:val="auto"/>
              </w:rPr>
            </w:pPr>
            <w:r>
              <w:rPr>
                <w:rFonts w:ascii="Arial" w:cs="Arial" w:eastAsia="Arial" w:hAnsi="Arial"/>
                <w:sz w:val="14"/>
                <w:szCs w:val="14"/>
                <w:color w:val="auto"/>
              </w:rPr>
              <w:t>592,500</w:t>
            </w:r>
          </w:p>
        </w:tc>
      </w:tr>
      <w:tr>
        <w:trPr>
          <w:trHeight w:val="22"/>
        </w:trPr>
        <w:tc>
          <w:tcPr>
            <w:tcW w:w="29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8"/>
        </w:trPr>
        <w:tc>
          <w:tcPr>
            <w:tcW w:w="29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2460" w:type="dxa"/>
            <w:vAlign w:val="bottom"/>
            <w:shd w:val="clear" w:color="auto" w:fill="F1F2F2"/>
          </w:tcPr>
          <w:p>
            <w:pPr>
              <w:jc w:val="right"/>
              <w:ind w:right="348"/>
              <w:spacing w:after="0"/>
              <w:rPr>
                <w:sz w:val="20"/>
                <w:szCs w:val="20"/>
                <w:color w:val="auto"/>
              </w:rPr>
            </w:pPr>
            <w:r>
              <w:rPr>
                <w:rFonts w:ascii="Arial" w:cs="Arial" w:eastAsia="Arial" w:hAnsi="Arial"/>
                <w:sz w:val="14"/>
                <w:szCs w:val="14"/>
                <w:color w:val="auto"/>
              </w:rPr>
              <w:t>590,000</w:t>
            </w:r>
          </w:p>
        </w:tc>
        <w:tc>
          <w:tcPr>
            <w:tcW w:w="2080" w:type="dxa"/>
            <w:vAlign w:val="bottom"/>
            <w:shd w:val="clear" w:color="auto" w:fill="F1F2F2"/>
          </w:tcPr>
          <w:p>
            <w:pPr>
              <w:jc w:val="right"/>
              <w:ind w:right="388"/>
              <w:spacing w:after="0"/>
              <w:rPr>
                <w:sz w:val="20"/>
                <w:szCs w:val="20"/>
                <w:color w:val="auto"/>
              </w:rPr>
            </w:pPr>
            <w:r>
              <w:rPr>
                <w:rFonts w:ascii="Arial" w:cs="Arial" w:eastAsia="Arial" w:hAnsi="Arial"/>
                <w:sz w:val="14"/>
                <w:szCs w:val="14"/>
                <w:color w:val="auto"/>
              </w:rPr>
              <w:t>4.2</w:t>
            </w:r>
          </w:p>
        </w:tc>
        <w:tc>
          <w:tcPr>
            <w:tcW w:w="2140" w:type="dxa"/>
            <w:vAlign w:val="bottom"/>
            <w:shd w:val="clear" w:color="auto" w:fill="F1F2F2"/>
          </w:tcPr>
          <w:p>
            <w:pPr>
              <w:jc w:val="right"/>
              <w:ind w:right="448"/>
              <w:spacing w:after="0"/>
              <w:rPr>
                <w:sz w:val="20"/>
                <w:szCs w:val="20"/>
                <w:color w:val="auto"/>
              </w:rPr>
            </w:pPr>
            <w:r>
              <w:rPr>
                <w:rFonts w:ascii="Arial" w:cs="Arial" w:eastAsia="Arial" w:hAnsi="Arial"/>
                <w:sz w:val="14"/>
                <w:szCs w:val="14"/>
                <w:color w:val="auto"/>
              </w:rPr>
              <w:t>615,000</w:t>
            </w:r>
          </w:p>
        </w:tc>
        <w:tc>
          <w:tcPr>
            <w:tcW w:w="166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608,750</w:t>
            </w:r>
          </w:p>
        </w:tc>
      </w:tr>
      <w:tr>
        <w:trPr>
          <w:trHeight w:val="22"/>
        </w:trPr>
        <w:tc>
          <w:tcPr>
            <w:tcW w:w="2900" w:type="dxa"/>
            <w:vAlign w:val="bottom"/>
            <w:shd w:val="clear" w:color="auto" w:fill="F1F2F2"/>
          </w:tcPr>
          <w:p>
            <w:pPr>
              <w:spacing w:after="0" w:line="20" w:lineRule="exact"/>
              <w:rPr>
                <w:sz w:val="1"/>
                <w:szCs w:val="1"/>
                <w:color w:val="auto"/>
              </w:rPr>
            </w:pPr>
          </w:p>
        </w:tc>
        <w:tc>
          <w:tcPr>
            <w:tcW w:w="2460" w:type="dxa"/>
            <w:vAlign w:val="bottom"/>
            <w:shd w:val="clear" w:color="auto" w:fill="F1F2F2"/>
          </w:tcPr>
          <w:p>
            <w:pPr>
              <w:spacing w:after="0" w:line="20" w:lineRule="exact"/>
              <w:rPr>
                <w:sz w:val="1"/>
                <w:szCs w:val="1"/>
                <w:color w:val="auto"/>
              </w:rPr>
            </w:pPr>
          </w:p>
        </w:tc>
        <w:tc>
          <w:tcPr>
            <w:tcW w:w="2080" w:type="dxa"/>
            <w:vAlign w:val="bottom"/>
            <w:shd w:val="clear" w:color="auto" w:fill="F1F2F2"/>
          </w:tcPr>
          <w:p>
            <w:pPr>
              <w:spacing w:after="0" w:line="20" w:lineRule="exact"/>
              <w:rPr>
                <w:sz w:val="1"/>
                <w:szCs w:val="1"/>
                <w:color w:val="auto"/>
              </w:rPr>
            </w:pPr>
          </w:p>
        </w:tc>
        <w:tc>
          <w:tcPr>
            <w:tcW w:w="2140" w:type="dxa"/>
            <w:vAlign w:val="bottom"/>
            <w:shd w:val="clear" w:color="auto" w:fill="F1F2F2"/>
          </w:tcPr>
          <w:p>
            <w:pPr>
              <w:spacing w:after="0" w:line="20" w:lineRule="exact"/>
              <w:rPr>
                <w:sz w:val="1"/>
                <w:szCs w:val="1"/>
                <w:color w:val="auto"/>
              </w:rPr>
            </w:pPr>
          </w:p>
        </w:tc>
        <w:tc>
          <w:tcPr>
            <w:tcW w:w="1660" w:type="dxa"/>
            <w:vAlign w:val="bottom"/>
            <w:shd w:val="clear" w:color="auto" w:fill="F1F2F2"/>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 salary remained the same at December 31, 2025, for all NEOs, with the exception of Ms. Martin who was hired after April 1, 2025.</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Ms. Martin was hired on April 28, 2025, with an annual base salary of $600,000.</w:t>
      </w:r>
    </w:p>
    <w:p>
      <w:pPr>
        <w:spacing w:after="0" w:line="221" w:lineRule="exact"/>
        <w:rPr>
          <w:sz w:val="20"/>
          <w:szCs w:val="20"/>
          <w:color w:val="auto"/>
        </w:rPr>
      </w:pPr>
    </w:p>
    <w:p>
      <w:pPr>
        <w:jc w:val="both"/>
        <w:ind w:right="460" w:firstLine="324"/>
        <w:spacing w:after="0" w:line="261" w:lineRule="auto"/>
        <w:rPr>
          <w:sz w:val="20"/>
          <w:szCs w:val="20"/>
          <w:color w:val="auto"/>
        </w:rPr>
      </w:pPr>
      <w:r>
        <w:rPr>
          <w:rFonts w:ascii="Arial" w:cs="Arial" w:eastAsia="Arial" w:hAnsi="Arial"/>
          <w:sz w:val="18"/>
          <w:szCs w:val="18"/>
          <w:color w:val="auto"/>
        </w:rPr>
        <w:t>In setting NEO base salaries, the Committee uses the 50th percentile of the market as a guideline and may adjust the base salaries based on a number of factors, which may include merit increases, the executive’s unique job responsibilities, management experience, individual contributions, number of years in his or her position, and market position of current salary.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Short-Term Incentive Program</w:t>
      </w:r>
    </w:p>
    <w:p>
      <w:pPr>
        <w:spacing w:after="0" w:line="156"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Our STI Program, as established under the Lennox International Inc. 2019 Equity and Incentive Compensation Plan, is an annual cash-based program for our NEOs designed to reward the successful performance of our Company, our business segments, and each individual NEO. In February 2025, the Committee approved financial metrics and performance goals required to be achieved for any payouts to be made under our STI Program. Under the STI Program, once the calculated STI amount is determined based on performance against the pre-approved goals, 25% of that amount may be modified up or down from 0% to 225% based on each NEO’s individual performance. However, the individual performance modifier may not increase the STI payout above 225% of the NEO’s STI target. The chart below illustrates how STI payouts are calculated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wp:posOffset>
            </wp:positionH>
            <wp:positionV relativeFrom="paragraph">
              <wp:posOffset>136525</wp:posOffset>
            </wp:positionV>
            <wp:extent cx="2399665" cy="650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99665" cy="650875"/>
                    </a:xfrm>
                    <a:prstGeom prst="rect">
                      <a:avLst/>
                    </a:prstGeom>
                    <a:noFill/>
                  </pic:spPr>
                </pic:pic>
              </a:graphicData>
            </a:graphic>
          </wp:anchor>
        </w:drawing>
      </w:r>
    </w:p>
    <w:p>
      <w:pPr>
        <w:spacing w:after="0" w:line="343" w:lineRule="exact"/>
        <w:rPr>
          <w:sz w:val="20"/>
          <w:szCs w:val="20"/>
          <w:color w:val="auto"/>
        </w:rPr>
      </w:pPr>
    </w:p>
    <w:tbl>
      <w:tblPr>
        <w:tblLayout w:type="fixed"/>
        <w:tblInd w:w="850" w:type="dxa"/>
        <w:tblCellMar>
          <w:top w:w="0" w:type="dxa"/>
          <w:left w:w="0" w:type="dxa"/>
          <w:bottom w:w="0" w:type="dxa"/>
          <w:right w:w="0" w:type="dxa"/>
        </w:tblCellMar>
      </w:tblPr>
      <w:tr>
        <w:trPr>
          <w:trHeight w:val="193"/>
        </w:trPr>
        <w:tc>
          <w:tcPr>
            <w:tcW w:w="1480" w:type="dxa"/>
            <w:vAlign w:val="bottom"/>
            <w:tcBorders>
              <w:top w:val="single" w:sz="8" w:color="auto"/>
              <w:left w:val="single" w:sz="8" w:color="auto"/>
              <w:right w:val="single" w:sz="8" w:color="auto"/>
            </w:tcBorders>
            <w:shd w:val="clear" w:color="auto" w:fill="F1F2F2"/>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480" w:type="dxa"/>
            <w:vAlign w:val="bottom"/>
            <w:tcBorders>
              <w:top w:val="single" w:sz="8" w:color="auto"/>
              <w:right w:val="single" w:sz="8" w:color="auto"/>
            </w:tcBorders>
            <w:shd w:val="clear" w:color="auto" w:fill="F1F2F2"/>
          </w:tcPr>
          <w:p>
            <w:pPr>
              <w:spacing w:after="0"/>
              <w:rPr>
                <w:sz w:val="16"/>
                <w:szCs w:val="16"/>
                <w:color w:val="auto"/>
              </w:rPr>
            </w:pPr>
          </w:p>
        </w:tc>
        <w:tc>
          <w:tcPr>
            <w:tcW w:w="640" w:type="dxa"/>
            <w:vAlign w:val="bottom"/>
            <w:tcBorders>
              <w:right w:val="single" w:sz="8" w:color="auto"/>
            </w:tcBorders>
            <w:vMerge w:val="restart"/>
          </w:tcPr>
          <w:p>
            <w:pPr>
              <w:ind w:left="380"/>
              <w:spacing w:after="0"/>
              <w:rPr>
                <w:sz w:val="20"/>
                <w:szCs w:val="20"/>
                <w:color w:val="auto"/>
              </w:rPr>
            </w:pPr>
            <w:r>
              <w:rPr>
                <w:rFonts w:ascii="Arial" w:cs="Arial" w:eastAsia="Arial" w:hAnsi="Arial"/>
                <w:sz w:val="16"/>
                <w:szCs w:val="16"/>
                <w:b w:val="1"/>
                <w:bCs w:val="1"/>
                <w:color w:val="auto"/>
              </w:rPr>
              <w:t>x</w:t>
            </w:r>
          </w:p>
        </w:tc>
        <w:tc>
          <w:tcPr>
            <w:tcW w:w="1820" w:type="dxa"/>
            <w:vAlign w:val="bottom"/>
            <w:tcBorders>
              <w:top w:val="single" w:sz="8" w:color="auto"/>
              <w:right w:val="single" w:sz="8" w:color="auto"/>
            </w:tcBorders>
            <w:gridSpan w:val="2"/>
            <w:shd w:val="clear" w:color="auto" w:fill="F1F2F2"/>
          </w:tcPr>
          <w:p>
            <w:pPr>
              <w:jc w:val="center"/>
              <w:ind w:right="20"/>
              <w:spacing w:after="0"/>
              <w:rPr>
                <w:sz w:val="20"/>
                <w:szCs w:val="20"/>
                <w:color w:val="auto"/>
              </w:rPr>
            </w:pPr>
            <w:r>
              <w:rPr>
                <w:rFonts w:ascii="Arial" w:cs="Arial" w:eastAsia="Arial" w:hAnsi="Arial"/>
                <w:sz w:val="14"/>
                <w:szCs w:val="14"/>
                <w:color w:val="auto"/>
              </w:rPr>
              <w:t>Achieved Financial</w:t>
            </w:r>
          </w:p>
        </w:tc>
        <w:tc>
          <w:tcPr>
            <w:tcW w:w="4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STI Calculated</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480" w:type="dxa"/>
            <w:vAlign w:val="bottom"/>
            <w:tcBorders>
              <w:left w:val="single" w:sz="8" w:color="auto"/>
              <w:right w:val="single" w:sz="8" w:color="auto"/>
            </w:tcBorders>
            <w:vMerge w:val="restart"/>
            <w:shd w:val="clear" w:color="auto" w:fill="F1F2F2"/>
          </w:tcPr>
          <w:p>
            <w:pPr>
              <w:ind w:left="300"/>
              <w:spacing w:after="0"/>
              <w:rPr>
                <w:sz w:val="20"/>
                <w:szCs w:val="20"/>
                <w:color w:val="auto"/>
              </w:rPr>
            </w:pPr>
            <w:r>
              <w:rPr>
                <w:rFonts w:ascii="Arial" w:cs="Arial" w:eastAsia="Arial" w:hAnsi="Arial"/>
                <w:sz w:val="14"/>
                <w:szCs w:val="14"/>
                <w:color w:val="auto"/>
              </w:rPr>
              <w:t>Base Salary $</w:t>
            </w:r>
          </w:p>
        </w:tc>
        <w:tc>
          <w:tcPr>
            <w:tcW w:w="320" w:type="dxa"/>
            <w:vAlign w:val="bottom"/>
            <w:tcBorders>
              <w:right w:val="single" w:sz="8" w:color="auto"/>
            </w:tcBorders>
            <w:vMerge w:val="restart"/>
          </w:tcPr>
          <w:p>
            <w:pPr>
              <w:jc w:val="center"/>
              <w:spacing w:after="0"/>
              <w:rPr>
                <w:sz w:val="20"/>
                <w:szCs w:val="20"/>
                <w:color w:val="auto"/>
              </w:rPr>
            </w:pPr>
            <w:r>
              <w:rPr>
                <w:rFonts w:ascii="Webdings" w:cs="Webdings" w:eastAsia="Webdings" w:hAnsi="Webdings"/>
                <w:sz w:val="14"/>
                <w:szCs w:val="14"/>
                <w:b w:val="1"/>
                <w:bCs w:val="1"/>
                <w:color w:val="auto"/>
                <w:w w:val="99"/>
              </w:rPr>
              <w:t>r</w:t>
            </w:r>
          </w:p>
        </w:tc>
        <w:tc>
          <w:tcPr>
            <w:tcW w:w="1480" w:type="dxa"/>
            <w:vAlign w:val="bottom"/>
            <w:tcBorders>
              <w:right w:val="single" w:sz="8" w:color="auto"/>
            </w:tcBorders>
            <w:vMerge w:val="restart"/>
            <w:shd w:val="clear" w:color="auto" w:fill="F1F2F2"/>
          </w:tcPr>
          <w:p>
            <w:pPr>
              <w:ind w:left="320"/>
              <w:spacing w:after="0"/>
              <w:rPr>
                <w:sz w:val="20"/>
                <w:szCs w:val="20"/>
                <w:color w:val="auto"/>
              </w:rPr>
            </w:pPr>
            <w:r>
              <w:rPr>
                <w:rFonts w:ascii="Arial" w:cs="Arial" w:eastAsia="Arial" w:hAnsi="Arial"/>
                <w:sz w:val="14"/>
                <w:szCs w:val="14"/>
                <w:color w:val="auto"/>
              </w:rPr>
              <w:t>STI Target %</w:t>
            </w:r>
          </w:p>
        </w:tc>
        <w:tc>
          <w:tcPr>
            <w:tcW w:w="64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Performance Factor</w:t>
            </w:r>
          </w:p>
        </w:tc>
        <w:tc>
          <w:tcPr>
            <w:tcW w:w="44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gridSpan w:val="2"/>
            <w:vMerge w:val="continue"/>
            <w:shd w:val="clear" w:color="auto" w:fill="F1F2F2"/>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80" w:type="dxa"/>
            <w:vAlign w:val="bottom"/>
            <w:tcBorders>
              <w:left w:val="single" w:sz="8" w:color="auto"/>
              <w:right w:val="single" w:sz="8" w:color="auto"/>
            </w:tcBorders>
            <w:vMerge w:val="continue"/>
            <w:shd w:val="clear" w:color="auto" w:fill="F1F2F2"/>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shd w:val="clear" w:color="auto" w:fill="F1F2F2"/>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gridSpan w:val="2"/>
            <w:vMerge w:val="continue"/>
            <w:shd w:val="clear" w:color="auto" w:fill="F1F2F2"/>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Amount $</w:t>
            </w: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80" w:type="dxa"/>
            <w:vAlign w:val="bottom"/>
            <w:tcBorders>
              <w:left w:val="single" w:sz="8" w:color="auto"/>
              <w:right w:val="single" w:sz="8" w:color="auto"/>
            </w:tcBorders>
            <w:shd w:val="clear" w:color="auto" w:fill="F1F2F2"/>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480" w:type="dxa"/>
            <w:vAlign w:val="bottom"/>
            <w:tcBorders>
              <w:right w:val="single" w:sz="8" w:color="auto"/>
            </w:tcBorders>
            <w:shd w:val="clear" w:color="auto" w:fill="F1F2F2"/>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(0% - 225%)</w:t>
            </w:r>
          </w:p>
        </w:tc>
        <w:tc>
          <w:tcPr>
            <w:tcW w:w="44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gridSpan w:val="2"/>
            <w:vMerge w:val="continue"/>
            <w:shd w:val="clear" w:color="auto" w:fill="F1F2F2"/>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480" w:type="dxa"/>
            <w:vAlign w:val="bottom"/>
            <w:tcBorders>
              <w:left w:val="single" w:sz="8" w:color="auto"/>
              <w:bottom w:val="single" w:sz="8" w:color="F1F2F2"/>
              <w:right w:val="single" w:sz="8" w:color="auto"/>
            </w:tcBorders>
            <w:shd w:val="clear" w:color="auto" w:fill="F1F2F2"/>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480" w:type="dxa"/>
            <w:vAlign w:val="bottom"/>
            <w:tcBorders>
              <w:bottom w:val="single" w:sz="8" w:color="F1F2F2"/>
              <w:right w:val="single" w:sz="8" w:color="auto"/>
            </w:tcBorders>
            <w:shd w:val="clear" w:color="auto" w:fill="F1F2F2"/>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1820" w:type="dxa"/>
            <w:vAlign w:val="bottom"/>
            <w:tcBorders>
              <w:bottom w:val="single" w:sz="8" w:color="F1F2F2"/>
              <w:right w:val="single" w:sz="8" w:color="auto"/>
            </w:tcBorders>
            <w:gridSpan w:val="2"/>
            <w:vMerge w:val="continue"/>
            <w:shd w:val="clear" w:color="auto" w:fill="F1F2F2"/>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1080" w:type="dxa"/>
            <w:vAlign w:val="bottom"/>
            <w:tcBorders>
              <w:bottom w:val="single" w:sz="8" w:color="F1F2F2"/>
              <w:right w:val="single" w:sz="8" w:color="F1F2F2"/>
            </w:tcBorders>
            <w:shd w:val="clear" w:color="auto" w:fill="F1F2F2"/>
          </w:tcPr>
          <w:p>
            <w:pPr>
              <w:spacing w:after="0"/>
              <w:rPr>
                <w:sz w:val="11"/>
                <w:szCs w:val="11"/>
                <w:color w:val="auto"/>
              </w:rPr>
            </w:pPr>
          </w:p>
        </w:tc>
        <w:tc>
          <w:tcPr>
            <w:tcW w:w="1080" w:type="dxa"/>
            <w:vAlign w:val="bottom"/>
            <w:tcBorders>
              <w:bottom w:val="single" w:sz="8" w:color="F1F2F2"/>
              <w:right w:val="single" w:sz="8" w:color="auto"/>
            </w:tcBorders>
            <w:shd w:val="clear" w:color="auto" w:fill="F1F2F2"/>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color w:val="auto"/>
              </w:rPr>
              <w:t xml:space="preserve">NEO STI </w:t>
            </w:r>
            <w:r>
              <w:rPr>
                <w:rFonts w:ascii="Arial" w:cs="Arial" w:eastAsia="Arial" w:hAnsi="Arial"/>
                <w:sz w:val="14"/>
                <w:szCs w:val="14"/>
                <w:u w:val="single" w:color="auto"/>
                <w:color w:val="auto"/>
              </w:rPr>
              <w:t>Target</w:t>
            </w:r>
            <w:r>
              <w:rPr>
                <w:rFonts w:ascii="Arial" w:cs="Arial" w:eastAsia="Arial" w:hAnsi="Arial"/>
                <w:sz w:val="14"/>
                <w:szCs w:val="14"/>
                <w:color w:val="auto"/>
              </w:rPr>
              <w:t xml:space="preserve"> $ Amount</w:t>
            </w:r>
          </w:p>
        </w:tc>
        <w:tc>
          <w:tcPr>
            <w:tcW w:w="64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righ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Borders>
              <w:bottom w:val="single" w:sz="8" w:color="auto"/>
              <w:right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920" w:type="dxa"/>
            <w:vAlign w:val="bottom"/>
            <w:tcBorders>
              <w:right w:val="single" w:sz="8" w:color="F1F2F2"/>
            </w:tcBorders>
            <w:shd w:val="clear" w:color="auto" w:fill="F1F2F2"/>
          </w:tcPr>
          <w:p>
            <w:pPr>
              <w:spacing w:after="0"/>
              <w:rPr>
                <w:sz w:val="15"/>
                <w:szCs w:val="15"/>
                <w:color w:val="auto"/>
              </w:rPr>
            </w:pPr>
          </w:p>
        </w:tc>
        <w:tc>
          <w:tcPr>
            <w:tcW w:w="900" w:type="dxa"/>
            <w:vAlign w:val="bottom"/>
            <w:tcBorders>
              <w:right w:val="single" w:sz="8" w:color="auto"/>
            </w:tcBorders>
            <w:shd w:val="clear" w:color="auto" w:fill="F1F2F2"/>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gridSpan w:val="2"/>
            <w:shd w:val="clear" w:color="auto" w:fill="F1F2F2"/>
          </w:tcPr>
          <w:p>
            <w:pPr>
              <w:jc w:val="center"/>
              <w:ind w:right="20"/>
              <w:spacing w:after="0"/>
              <w:rPr>
                <w:sz w:val="20"/>
                <w:szCs w:val="20"/>
                <w:color w:val="auto"/>
              </w:rPr>
            </w:pPr>
            <w:r>
              <w:rPr>
                <w:rFonts w:ascii="Arial" w:cs="Arial" w:eastAsia="Arial" w:hAnsi="Arial"/>
                <w:sz w:val="14"/>
                <w:szCs w:val="14"/>
                <w:color w:val="auto"/>
              </w:rPr>
              <w:t>25% of STI</w:t>
            </w:r>
          </w:p>
        </w:tc>
        <w:tc>
          <w:tcPr>
            <w:tcW w:w="320" w:type="dxa"/>
            <w:vAlign w:val="bottom"/>
            <w:tcBorders>
              <w:right w:val="single" w:sz="8" w:color="auto"/>
            </w:tcBorders>
          </w:tcPr>
          <w:p>
            <w:pPr>
              <w:spacing w:after="0"/>
              <w:rPr>
                <w:sz w:val="15"/>
                <w:szCs w:val="15"/>
                <w:color w:val="auto"/>
              </w:rPr>
            </w:pPr>
          </w:p>
        </w:tc>
        <w:tc>
          <w:tcPr>
            <w:tcW w:w="1160" w:type="dxa"/>
            <w:vAlign w:val="bottom"/>
            <w:tcBorders>
              <w:right w:val="single" w:sz="8" w:color="auto"/>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82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75% of STI</w:t>
            </w:r>
          </w:p>
        </w:tc>
        <w:tc>
          <w:tcPr>
            <w:tcW w:w="440" w:type="dxa"/>
            <w:vAlign w:val="bottom"/>
            <w:tcBorders>
              <w:right w:val="single" w:sz="8" w:color="auto"/>
            </w:tcBorders>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2160" w:type="dxa"/>
            <w:vAlign w:val="bottom"/>
            <w:tcBorders>
              <w:right w:val="single" w:sz="8" w:color="auto"/>
            </w:tcBorders>
            <w:gridSpan w:val="2"/>
            <w:shd w:val="clear" w:color="auto" w:fill="F1F2F2"/>
          </w:tcPr>
          <w:p>
            <w:pPr>
              <w:jc w:val="center"/>
              <w:ind w:right="20"/>
              <w:spacing w:after="0"/>
              <w:rPr>
                <w:sz w:val="20"/>
                <w:szCs w:val="20"/>
                <w:color w:val="auto"/>
              </w:rPr>
            </w:pPr>
            <w:r>
              <w:rPr>
                <w:rFonts w:ascii="Arial" w:cs="Arial" w:eastAsia="Arial" w:hAnsi="Arial"/>
                <w:sz w:val="14"/>
                <w:szCs w:val="14"/>
                <w:color w:val="auto"/>
              </w:rPr>
              <w:t>Calculated Amount</w:t>
            </w:r>
          </w:p>
        </w:tc>
        <w:tc>
          <w:tcPr>
            <w:tcW w:w="32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160" w:type="dxa"/>
            <w:vAlign w:val="bottom"/>
            <w:tcBorders>
              <w:right w:val="single" w:sz="8" w:color="auto"/>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gridSpan w:val="2"/>
            <w:vMerge w:val="continue"/>
            <w:shd w:val="clear" w:color="auto" w:fill="F1F2F2"/>
          </w:tcPr>
          <w:p>
            <w:pPr>
              <w:spacing w:after="0"/>
              <w:rPr>
                <w:sz w:val="7"/>
                <w:szCs w:val="7"/>
                <w:color w:val="auto"/>
              </w:rPr>
            </w:pPr>
          </w:p>
        </w:tc>
        <w:tc>
          <w:tcPr>
            <w:tcW w:w="440" w:type="dxa"/>
            <w:vAlign w:val="bottom"/>
            <w:tcBorders>
              <w:right w:val="single" w:sz="8" w:color="auto"/>
            </w:tcBorders>
            <w:vMerge w:val="continue"/>
          </w:tcPr>
          <w:p>
            <w:pPr>
              <w:spacing w:after="0"/>
              <w:rPr>
                <w:sz w:val="7"/>
                <w:szCs w:val="7"/>
                <w:color w:val="auto"/>
              </w:rPr>
            </w:pPr>
          </w:p>
        </w:tc>
        <w:tc>
          <w:tcPr>
            <w:tcW w:w="216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subject to Individual</w:t>
            </w:r>
          </w:p>
        </w:tc>
        <w:tc>
          <w:tcPr>
            <w:tcW w:w="3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shd w:val="clear" w:color="auto" w:fill="F1F2F2"/>
          </w:tcPr>
          <w:p>
            <w:pPr>
              <w:ind w:left="140"/>
              <w:spacing w:after="0"/>
              <w:rPr>
                <w:sz w:val="20"/>
                <w:szCs w:val="20"/>
                <w:color w:val="auto"/>
              </w:rPr>
            </w:pPr>
            <w:r>
              <w:rPr>
                <w:rFonts w:ascii="Arial" w:cs="Arial" w:eastAsia="Arial" w:hAnsi="Arial"/>
                <w:sz w:val="14"/>
                <w:szCs w:val="14"/>
                <w:color w:val="auto"/>
              </w:rPr>
              <w:t>STI Payout $</w:t>
            </w:r>
          </w:p>
        </w:tc>
        <w:tc>
          <w:tcPr>
            <w:tcW w:w="0" w:type="dxa"/>
            <w:vAlign w:val="bottom"/>
          </w:tcPr>
          <w:p>
            <w:pPr>
              <w:spacing w:after="0"/>
              <w:rPr>
                <w:sz w:val="1"/>
                <w:szCs w:val="1"/>
                <w:color w:val="auto"/>
              </w:rPr>
            </w:pPr>
          </w:p>
        </w:tc>
      </w:tr>
      <w:tr>
        <w:trPr>
          <w:trHeight w:val="95"/>
        </w:trPr>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Calculated Amount</w:t>
            </w:r>
          </w:p>
        </w:tc>
        <w:tc>
          <w:tcPr>
            <w:tcW w:w="44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gridSpan w:val="2"/>
            <w:vMerge w:val="continue"/>
            <w:shd w:val="clear" w:color="auto" w:fill="F1F2F2"/>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gridSpan w:val="2"/>
            <w:vMerge w:val="continue"/>
            <w:shd w:val="clear" w:color="auto" w:fill="F1F2F2"/>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2160" w:type="dxa"/>
            <w:vAlign w:val="bottom"/>
            <w:tcBorders>
              <w:right w:val="single" w:sz="8" w:color="auto"/>
            </w:tcBorders>
            <w:gridSpan w:val="2"/>
            <w:vMerge w:val="restart"/>
            <w:shd w:val="clear" w:color="auto" w:fill="F1F2F2"/>
          </w:tcPr>
          <w:p>
            <w:pPr>
              <w:jc w:val="center"/>
              <w:ind w:right="20"/>
              <w:spacing w:after="0"/>
              <w:rPr>
                <w:sz w:val="20"/>
                <w:szCs w:val="20"/>
                <w:color w:val="auto"/>
              </w:rPr>
            </w:pPr>
            <w:r>
              <w:rPr>
                <w:rFonts w:ascii="Arial" w:cs="Arial" w:eastAsia="Arial" w:hAnsi="Arial"/>
                <w:sz w:val="14"/>
                <w:szCs w:val="14"/>
                <w:color w:val="auto"/>
              </w:rPr>
              <w:t>Performance Modifier</w:t>
            </w:r>
          </w:p>
        </w:tc>
        <w:tc>
          <w:tcPr>
            <w:tcW w:w="3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920" w:type="dxa"/>
            <w:vAlign w:val="bottom"/>
            <w:tcBorders>
              <w:right w:val="single" w:sz="8" w:color="F1F2F2"/>
            </w:tcBorders>
            <w:shd w:val="clear" w:color="auto" w:fill="F1F2F2"/>
          </w:tcPr>
          <w:p>
            <w:pPr>
              <w:spacing w:after="0"/>
              <w:rPr>
                <w:sz w:val="6"/>
                <w:szCs w:val="6"/>
                <w:color w:val="auto"/>
              </w:rPr>
            </w:pPr>
          </w:p>
        </w:tc>
        <w:tc>
          <w:tcPr>
            <w:tcW w:w="900" w:type="dxa"/>
            <w:vAlign w:val="bottom"/>
            <w:tcBorders>
              <w:right w:val="single" w:sz="8" w:color="auto"/>
            </w:tcBorders>
            <w:shd w:val="clear" w:color="auto" w:fill="F1F2F2"/>
          </w:tcPr>
          <w:p>
            <w:pPr>
              <w:spacing w:after="0"/>
              <w:rPr>
                <w:sz w:val="6"/>
                <w:szCs w:val="6"/>
                <w:color w:val="auto"/>
              </w:rPr>
            </w:pPr>
          </w:p>
        </w:tc>
        <w:tc>
          <w:tcPr>
            <w:tcW w:w="440" w:type="dxa"/>
            <w:vAlign w:val="bottom"/>
            <w:tcBorders>
              <w:right w:val="single" w:sz="8" w:color="auto"/>
            </w:tcBorders>
          </w:tcPr>
          <w:p>
            <w:pPr>
              <w:spacing w:after="0"/>
              <w:rPr>
                <w:sz w:val="6"/>
                <w:szCs w:val="6"/>
                <w:color w:val="auto"/>
              </w:rPr>
            </w:pPr>
          </w:p>
        </w:tc>
        <w:tc>
          <w:tcPr>
            <w:tcW w:w="2160" w:type="dxa"/>
            <w:vAlign w:val="bottom"/>
            <w:tcBorders>
              <w:right w:val="single" w:sz="8" w:color="auto"/>
            </w:tcBorders>
            <w:gridSpan w:val="2"/>
            <w:vMerge w:val="continue"/>
            <w:shd w:val="clear" w:color="auto" w:fill="F1F2F2"/>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160" w:type="dxa"/>
            <w:vAlign w:val="bottom"/>
            <w:tcBorders>
              <w:right w:val="single" w:sz="8" w:color="auto"/>
            </w:tcBorders>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920" w:type="dxa"/>
            <w:vAlign w:val="bottom"/>
            <w:tcBorders>
              <w:bottom w:val="single" w:sz="8" w:color="F1F2F2"/>
              <w:right w:val="single" w:sz="8" w:color="F1F2F2"/>
            </w:tcBorders>
            <w:shd w:val="clear" w:color="auto" w:fill="F1F2F2"/>
          </w:tcPr>
          <w:p>
            <w:pPr>
              <w:spacing w:after="0"/>
              <w:rPr>
                <w:sz w:val="16"/>
                <w:szCs w:val="16"/>
                <w:color w:val="auto"/>
              </w:rPr>
            </w:pPr>
          </w:p>
        </w:tc>
        <w:tc>
          <w:tcPr>
            <w:tcW w:w="900" w:type="dxa"/>
            <w:vAlign w:val="bottom"/>
            <w:tcBorders>
              <w:bottom w:val="single" w:sz="8" w:color="F1F2F2"/>
              <w:right w:val="single" w:sz="8" w:color="auto"/>
            </w:tcBorders>
            <w:shd w:val="clear" w:color="auto" w:fill="F1F2F2"/>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2160" w:type="dxa"/>
            <w:vAlign w:val="bottom"/>
            <w:tcBorders>
              <w:bottom w:val="single" w:sz="8" w:color="F1F2F2"/>
              <w:right w:val="single" w:sz="8" w:color="auto"/>
            </w:tcBorders>
            <w:gridSpan w:val="2"/>
            <w:shd w:val="clear" w:color="auto" w:fill="F1F2F2"/>
          </w:tcPr>
          <w:p>
            <w:pPr>
              <w:jc w:val="center"/>
              <w:ind w:right="40"/>
              <w:spacing w:after="0"/>
              <w:rPr>
                <w:sz w:val="20"/>
                <w:szCs w:val="20"/>
                <w:color w:val="auto"/>
              </w:rPr>
            </w:pPr>
            <w:r>
              <w:rPr>
                <w:rFonts w:ascii="Arial" w:cs="Arial" w:eastAsia="Arial" w:hAnsi="Arial"/>
                <w:sz w:val="14"/>
                <w:szCs w:val="14"/>
                <w:color w:val="auto"/>
              </w:rPr>
              <w:t>(0% - 225%)</w:t>
            </w:r>
          </w:p>
        </w:tc>
        <w:tc>
          <w:tcPr>
            <w:tcW w:w="320" w:type="dxa"/>
            <w:vAlign w:val="bottom"/>
            <w:tcBorders>
              <w:right w:val="single" w:sz="8" w:color="auto"/>
            </w:tcBorders>
          </w:tcPr>
          <w:p>
            <w:pPr>
              <w:spacing w:after="0"/>
              <w:rPr>
                <w:sz w:val="16"/>
                <w:szCs w:val="16"/>
                <w:color w:val="auto"/>
              </w:rPr>
            </w:pPr>
          </w:p>
        </w:tc>
        <w:tc>
          <w:tcPr>
            <w:tcW w:w="1160" w:type="dxa"/>
            <w:vAlign w:val="bottom"/>
            <w:tcBorders>
              <w:bottom w:val="single" w:sz="8" w:color="F1F2F2"/>
              <w:right w:val="single" w:sz="8" w:color="auto"/>
            </w:tcBorders>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ind w:right="200" w:firstLine="324"/>
        <w:spacing w:after="0" w:line="271" w:lineRule="auto"/>
        <w:rPr>
          <w:sz w:val="20"/>
          <w:szCs w:val="20"/>
          <w:color w:val="auto"/>
        </w:rPr>
      </w:pPr>
      <w:r>
        <w:rPr>
          <w:rFonts w:ascii="Arial" w:cs="Arial" w:eastAsia="Arial" w:hAnsi="Arial"/>
          <w:sz w:val="18"/>
          <w:szCs w:val="18"/>
          <w:u w:val="single" w:color="auto"/>
          <w:color w:val="auto"/>
        </w:rPr>
        <w:t>Financial Performance</w:t>
      </w:r>
      <w:r>
        <w:rPr>
          <w:rFonts w:ascii="Arial" w:cs="Arial" w:eastAsia="Arial" w:hAnsi="Arial"/>
          <w:sz w:val="18"/>
          <w:szCs w:val="18"/>
          <w:color w:val="auto"/>
        </w:rPr>
        <w:t>. The following table summarizes the 2025 STI Program performance goals and payout opportunities, along with Company and business segment performance for each metric as approved by the Committee.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2025 Short-Term Incentive Program Summary – Financial Performance</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 NEOs</w:t>
            </w:r>
            <w:r>
              <w:rPr>
                <w:rFonts w:ascii="Arial" w:cs="Arial" w:eastAsia="Arial" w:hAnsi="Arial"/>
                <w:sz w:val="9"/>
                <w:szCs w:val="9"/>
                <w:b w:val="1"/>
                <w:bCs w:val="1"/>
                <w:color w:val="auto"/>
              </w:rPr>
              <w:t>(1)</w:t>
            </w:r>
            <w:r>
              <w:rPr>
                <w:rFonts w:ascii="Arial" w:cs="Arial" w:eastAsia="Arial" w:hAnsi="Arial"/>
                <w:sz w:val="14"/>
                <w:szCs w:val="14"/>
                <w:b w:val="1"/>
                <w:bCs w:val="1"/>
                <w:color w:val="auto"/>
              </w:rPr>
              <w:t xml:space="preserve">: </w:t>
            </w:r>
            <w:r>
              <w:rPr>
                <w:rFonts w:ascii="Arial" w:cs="Arial" w:eastAsia="Arial" w:hAnsi="Arial"/>
                <w:sz w:val="14"/>
                <w:szCs w:val="14"/>
                <w:color w:val="auto"/>
              </w:rPr>
              <w:t>Alok Maskara, Michael P. Quenzer, Daniel M. Sessa</w:t>
            </w:r>
          </w:p>
        </w:tc>
        <w:tc>
          <w:tcPr>
            <w:tcW w:w="3720" w:type="dxa"/>
            <w:vAlign w:val="bottom"/>
            <w:gridSpan w:val="3"/>
            <w:shd w:val="clear" w:color="auto" w:fill="C60C35"/>
          </w:tcPr>
          <w:p>
            <w:pPr>
              <w:jc w:val="right"/>
              <w:ind w:right="548"/>
              <w:spacing w:after="0"/>
              <w:rPr>
                <w:sz w:val="20"/>
                <w:szCs w:val="20"/>
                <w:color w:val="auto"/>
              </w:rPr>
            </w:pPr>
            <w:r>
              <w:rPr>
                <w:rFonts w:ascii="Arial" w:cs="Arial" w:eastAsia="Arial" w:hAnsi="Arial"/>
                <w:sz w:val="14"/>
                <w:szCs w:val="14"/>
                <w:b w:val="1"/>
                <w:bCs w:val="1"/>
                <w:color w:val="FFFFFF"/>
              </w:rPr>
              <w:t>Payout Opportunity as a % of Target</w:t>
            </w: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5000" w:type="dxa"/>
            <w:vAlign w:val="bottom"/>
            <w:gridSpan w:val="2"/>
            <w:vMerge w:val="continue"/>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1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50%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100%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225%</w:t>
            </w:r>
          </w:p>
        </w:tc>
        <w:tc>
          <w:tcPr>
            <w:tcW w:w="1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37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1240" w:type="dxa"/>
            <w:vAlign w:val="bottom"/>
            <w:shd w:val="clear" w:color="auto" w:fill="C60C35"/>
          </w:tcPr>
          <w:p>
            <w:pPr>
              <w:spacing w:after="0"/>
              <w:rPr>
                <w:sz w:val="4"/>
                <w:szCs w:val="4"/>
                <w:color w:val="auto"/>
              </w:rPr>
            </w:pPr>
          </w:p>
        </w:tc>
        <w:tc>
          <w:tcPr>
            <w:tcW w:w="25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3760" w:type="dxa"/>
            <w:vAlign w:val="bottom"/>
            <w:shd w:val="clear" w:color="auto" w:fill="C60C35"/>
          </w:tcPr>
          <w:p>
            <w:pPr>
              <w:spacing w:after="0"/>
              <w:rPr>
                <w:sz w:val="16"/>
                <w:szCs w:val="16"/>
                <w:color w:val="auto"/>
              </w:rPr>
            </w:pPr>
          </w:p>
        </w:tc>
        <w:tc>
          <w:tcPr>
            <w:tcW w:w="1240" w:type="dxa"/>
            <w:vAlign w:val="bottom"/>
            <w:shd w:val="clear" w:color="auto" w:fill="C60C35"/>
          </w:tcPr>
          <w:p>
            <w:pPr>
              <w:ind w:left="380"/>
              <w:spacing w:after="0"/>
              <w:rPr>
                <w:sz w:val="20"/>
                <w:szCs w:val="20"/>
                <w:color w:val="auto"/>
              </w:rPr>
            </w:pPr>
            <w:r>
              <w:rPr>
                <w:rFonts w:ascii="Arial" w:cs="Arial" w:eastAsia="Arial" w:hAnsi="Arial"/>
                <w:sz w:val="14"/>
                <w:szCs w:val="14"/>
                <w:b w:val="1"/>
                <w:bCs w:val="1"/>
                <w:color w:val="FFFFFF"/>
              </w:rPr>
              <w:t>Weight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  Threshold</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Target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Maximum</w:t>
            </w:r>
          </w:p>
        </w:tc>
        <w:tc>
          <w:tcPr>
            <w:tcW w:w="2500" w:type="dxa"/>
            <w:vAlign w:val="bottom"/>
            <w:gridSpan w:val="2"/>
            <w:shd w:val="clear" w:color="auto" w:fill="C60C35"/>
          </w:tcPr>
          <w:p>
            <w:pPr>
              <w:ind w:left="360"/>
              <w:spacing w:after="0"/>
              <w:rPr>
                <w:sz w:val="20"/>
                <w:szCs w:val="20"/>
                <w:color w:val="auto"/>
              </w:rPr>
            </w:pPr>
            <w:r>
              <w:rPr>
                <w:rFonts w:ascii="Arial" w:cs="Arial" w:eastAsia="Arial" w:hAnsi="Arial"/>
                <w:sz w:val="14"/>
                <w:szCs w:val="14"/>
                <w:b w:val="1"/>
                <w:bCs w:val="1"/>
                <w:color w:val="FFFFFF"/>
              </w:rPr>
              <w:t>Performance Weighted Payout</w:t>
            </w:r>
          </w:p>
        </w:tc>
        <w:tc>
          <w:tcPr>
            <w:tcW w:w="0" w:type="dxa"/>
            <w:vAlign w:val="bottom"/>
          </w:tcPr>
          <w:p>
            <w:pPr>
              <w:spacing w:after="0"/>
              <w:rPr>
                <w:sz w:val="1"/>
                <w:szCs w:val="1"/>
                <w:color w:val="auto"/>
              </w:rPr>
            </w:pPr>
          </w:p>
        </w:tc>
      </w:tr>
      <w:tr>
        <w:trPr>
          <w:trHeight w:val="196"/>
        </w:trPr>
        <w:tc>
          <w:tcPr>
            <w:tcW w:w="37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124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60C35"/>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376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48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Company Core Net Income</w:t>
            </w:r>
            <w:r>
              <w:rPr>
                <w:rFonts w:ascii="Arial" w:cs="Arial" w:eastAsia="Arial" w:hAnsi="Arial"/>
                <w:sz w:val="9"/>
                <w:szCs w:val="9"/>
                <w:color w:val="auto"/>
              </w:rPr>
              <w:t>(2)</w:t>
            </w:r>
          </w:p>
        </w:tc>
        <w:tc>
          <w:tcPr>
            <w:tcW w:w="124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4"/>
                <w:szCs w:val="14"/>
                <w:color w:val="auto"/>
              </w:rPr>
              <w:t>50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655,100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818,900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982,700</w:t>
            </w:r>
          </w:p>
        </w:tc>
        <w:tc>
          <w:tcPr>
            <w:tcW w:w="1480" w:type="dxa"/>
            <w:vAlign w:val="bottom"/>
            <w:tcBorders>
              <w:bottom w:val="single" w:sz="8" w:color="F3F3F3"/>
            </w:tcBorders>
            <w:shd w:val="clear" w:color="auto" w:fill="F3F3F3"/>
          </w:tcPr>
          <w:p>
            <w:pPr>
              <w:jc w:val="right"/>
              <w:ind w:right="168"/>
              <w:spacing w:after="0"/>
              <w:rPr>
                <w:sz w:val="20"/>
                <w:szCs w:val="20"/>
                <w:color w:val="auto"/>
              </w:rPr>
            </w:pPr>
            <w:r>
              <w:rPr>
                <w:rFonts w:ascii="Arial" w:cs="Arial" w:eastAsia="Arial" w:hAnsi="Arial"/>
                <w:sz w:val="14"/>
                <w:szCs w:val="14"/>
                <w:color w:val="auto"/>
              </w:rPr>
              <w:t>818,947</w:t>
            </w:r>
          </w:p>
        </w:tc>
        <w:tc>
          <w:tcPr>
            <w:tcW w:w="1020" w:type="dxa"/>
            <w:vAlign w:val="bottom"/>
            <w:tcBorders>
              <w:bottom w:val="single" w:sz="8" w:color="F3F3F3"/>
            </w:tcBorders>
            <w:shd w:val="clear" w:color="auto" w:fill="F3F3F3"/>
          </w:tcPr>
          <w:p>
            <w:pPr>
              <w:jc w:val="center"/>
              <w:ind w:right="14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8"/>
        </w:trPr>
        <w:tc>
          <w:tcPr>
            <w:tcW w:w="3760" w:type="dxa"/>
            <w:vAlign w:val="bottom"/>
          </w:tcPr>
          <w:p>
            <w:pPr>
              <w:ind w:left="100"/>
              <w:spacing w:after="0"/>
              <w:rPr>
                <w:sz w:val="20"/>
                <w:szCs w:val="20"/>
                <w:color w:val="auto"/>
              </w:rPr>
            </w:pPr>
            <w:r>
              <w:rPr>
                <w:rFonts w:ascii="Arial" w:cs="Arial" w:eastAsia="Arial" w:hAnsi="Arial"/>
                <w:sz w:val="14"/>
                <w:szCs w:val="14"/>
                <w:color w:val="auto"/>
              </w:rPr>
              <w:t>Company Free Cash Flow</w:t>
            </w:r>
            <w:r>
              <w:rPr>
                <w:rFonts w:ascii="Arial" w:cs="Arial" w:eastAsia="Arial" w:hAnsi="Arial"/>
                <w:sz w:val="9"/>
                <w:szCs w:val="9"/>
                <w:color w:val="auto"/>
              </w:rPr>
              <w:t>(3)</w:t>
            </w:r>
          </w:p>
        </w:tc>
        <w:tc>
          <w:tcPr>
            <w:tcW w:w="1240" w:type="dxa"/>
            <w:vAlign w:val="bottom"/>
          </w:tcPr>
          <w:p>
            <w:pPr>
              <w:jc w:val="center"/>
              <w:spacing w:after="0"/>
              <w:rPr>
                <w:sz w:val="20"/>
                <w:szCs w:val="20"/>
                <w:color w:val="auto"/>
              </w:rPr>
            </w:pPr>
            <w:r>
              <w:rPr>
                <w:rFonts w:ascii="Arial" w:cs="Arial" w:eastAsia="Arial" w:hAnsi="Arial"/>
                <w:sz w:val="14"/>
                <w:szCs w:val="14"/>
                <w:color w:val="auto"/>
              </w:rPr>
              <w:t>30</w:t>
            </w:r>
          </w:p>
        </w:tc>
        <w:tc>
          <w:tcPr>
            <w:tcW w:w="1240" w:type="dxa"/>
            <w:vAlign w:val="bottom"/>
          </w:tcPr>
          <w:p>
            <w:pPr>
              <w:jc w:val="right"/>
              <w:spacing w:after="0"/>
              <w:rPr>
                <w:sz w:val="20"/>
                <w:szCs w:val="20"/>
                <w:color w:val="auto"/>
              </w:rPr>
            </w:pPr>
            <w:r>
              <w:rPr>
                <w:rFonts w:ascii="Arial" w:cs="Arial" w:eastAsia="Arial" w:hAnsi="Arial"/>
                <w:sz w:val="14"/>
                <w:szCs w:val="14"/>
                <w:color w:val="auto"/>
              </w:rPr>
              <w:t>490,000</w:t>
            </w:r>
          </w:p>
        </w:tc>
        <w:tc>
          <w:tcPr>
            <w:tcW w:w="1240" w:type="dxa"/>
            <w:vAlign w:val="bottom"/>
          </w:tcPr>
          <w:p>
            <w:pPr>
              <w:jc w:val="right"/>
              <w:spacing w:after="0"/>
              <w:rPr>
                <w:sz w:val="20"/>
                <w:szCs w:val="20"/>
                <w:color w:val="auto"/>
              </w:rPr>
            </w:pPr>
            <w:r>
              <w:rPr>
                <w:rFonts w:ascii="Arial" w:cs="Arial" w:eastAsia="Arial" w:hAnsi="Arial"/>
                <w:sz w:val="14"/>
                <w:szCs w:val="14"/>
                <w:color w:val="auto"/>
              </w:rPr>
              <w:t>700,000</w:t>
            </w:r>
          </w:p>
        </w:tc>
        <w:tc>
          <w:tcPr>
            <w:tcW w:w="1240" w:type="dxa"/>
            <w:vAlign w:val="bottom"/>
          </w:tcPr>
          <w:p>
            <w:pPr>
              <w:jc w:val="right"/>
              <w:spacing w:after="0"/>
              <w:rPr>
                <w:sz w:val="20"/>
                <w:szCs w:val="20"/>
                <w:color w:val="auto"/>
              </w:rPr>
            </w:pPr>
            <w:r>
              <w:rPr>
                <w:rFonts w:ascii="Arial" w:cs="Arial" w:eastAsia="Arial" w:hAnsi="Arial"/>
                <w:sz w:val="14"/>
                <w:szCs w:val="14"/>
                <w:color w:val="auto"/>
              </w:rPr>
              <w:t>910,000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640,249</w:t>
            </w:r>
          </w:p>
        </w:tc>
        <w:tc>
          <w:tcPr>
            <w:tcW w:w="1020" w:type="dxa"/>
            <w:vAlign w:val="bottom"/>
          </w:tcPr>
          <w:p>
            <w:pPr>
              <w:jc w:val="center"/>
              <w:ind w:right="14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Company Adjusted Revenue</w:t>
            </w:r>
            <w:r>
              <w:rPr>
                <w:rFonts w:ascii="Arial" w:cs="Arial" w:eastAsia="Arial" w:hAnsi="Arial"/>
                <w:sz w:val="9"/>
                <w:szCs w:val="9"/>
                <w:color w:val="auto"/>
              </w:rPr>
              <w:t>(4)</w:t>
            </w:r>
          </w:p>
        </w:tc>
        <w:tc>
          <w:tcPr>
            <w:tcW w:w="124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4"/>
                <w:szCs w:val="14"/>
                <w:color w:val="auto"/>
              </w:rPr>
              <w:t>20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4,950,000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5,500,000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6,050,000</w:t>
            </w:r>
          </w:p>
        </w:tc>
        <w:tc>
          <w:tcPr>
            <w:tcW w:w="1480" w:type="dxa"/>
            <w:vAlign w:val="bottom"/>
            <w:tcBorders>
              <w:bottom w:val="single" w:sz="8" w:color="F3F3F3"/>
            </w:tcBorders>
            <w:shd w:val="clear" w:color="auto" w:fill="F3F3F3"/>
          </w:tcPr>
          <w:p>
            <w:pPr>
              <w:jc w:val="right"/>
              <w:ind w:right="168"/>
              <w:spacing w:after="0"/>
              <w:rPr>
                <w:sz w:val="20"/>
                <w:szCs w:val="20"/>
                <w:color w:val="auto"/>
              </w:rPr>
            </w:pPr>
            <w:r>
              <w:rPr>
                <w:rFonts w:ascii="Arial" w:cs="Arial" w:eastAsia="Arial" w:hAnsi="Arial"/>
                <w:sz w:val="14"/>
                <w:szCs w:val="14"/>
                <w:color w:val="auto"/>
              </w:rPr>
              <w:t>5,207,144</w:t>
            </w:r>
          </w:p>
        </w:tc>
        <w:tc>
          <w:tcPr>
            <w:tcW w:w="1020" w:type="dxa"/>
            <w:vAlign w:val="bottom"/>
            <w:tcBorders>
              <w:bottom w:val="single" w:sz="8" w:color="F3F3F3"/>
            </w:tcBorders>
            <w:shd w:val="clear" w:color="auto" w:fill="F3F3F3"/>
          </w:tcPr>
          <w:p>
            <w:pPr>
              <w:jc w:val="center"/>
              <w:ind w:right="14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392"/>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Segment NEO: </w:t>
            </w:r>
            <w:r>
              <w:rPr>
                <w:rFonts w:ascii="Arial" w:cs="Arial" w:eastAsia="Arial" w:hAnsi="Arial"/>
                <w:sz w:val="14"/>
                <w:szCs w:val="14"/>
                <w:color w:val="auto"/>
              </w:rPr>
              <w:t>Sarah R. Martin</w:t>
            </w:r>
            <w:r>
              <w:rPr>
                <w:rFonts w:ascii="Arial" w:cs="Arial" w:eastAsia="Arial" w:hAnsi="Arial"/>
                <w:sz w:val="9"/>
                <w:szCs w:val="9"/>
                <w:color w:val="auto"/>
              </w:rPr>
              <w:t>(1)</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720" w:type="dxa"/>
            <w:vAlign w:val="bottom"/>
            <w:gridSpan w:val="3"/>
            <w:vMerge w:val="restart"/>
            <w:shd w:val="clear" w:color="auto" w:fill="C60C35"/>
          </w:tcPr>
          <w:p>
            <w:pPr>
              <w:jc w:val="right"/>
              <w:ind w:right="548"/>
              <w:spacing w:after="0"/>
              <w:rPr>
                <w:sz w:val="20"/>
                <w:szCs w:val="20"/>
                <w:color w:val="auto"/>
              </w:rPr>
            </w:pPr>
            <w:r>
              <w:rPr>
                <w:rFonts w:ascii="Arial" w:cs="Arial" w:eastAsia="Arial" w:hAnsi="Arial"/>
                <w:sz w:val="14"/>
                <w:szCs w:val="14"/>
                <w:b w:val="1"/>
                <w:bCs w:val="1"/>
                <w:color w:val="FFFFFF"/>
              </w:rPr>
              <w:t>Payout Opportunity as a % of Target</w:t>
            </w: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720" w:type="dxa"/>
            <w:vAlign w:val="bottom"/>
            <w:gridSpan w:val="3"/>
            <w:vMerge w:val="continue"/>
            <w:shd w:val="clear" w:color="auto" w:fill="C60C35"/>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50%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100%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225%</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60C35"/>
          </w:tcPr>
          <w:p>
            <w:pPr>
              <w:spacing w:after="0"/>
              <w:rPr>
                <w:sz w:val="17"/>
                <w:szCs w:val="17"/>
                <w:color w:val="auto"/>
              </w:rPr>
            </w:pPr>
          </w:p>
        </w:tc>
        <w:tc>
          <w:tcPr>
            <w:tcW w:w="1240" w:type="dxa"/>
            <w:vAlign w:val="bottom"/>
            <w:shd w:val="clear" w:color="auto" w:fill="C60C35"/>
          </w:tcPr>
          <w:p>
            <w:pPr>
              <w:ind w:left="380"/>
              <w:spacing w:after="0"/>
              <w:rPr>
                <w:sz w:val="20"/>
                <w:szCs w:val="20"/>
                <w:color w:val="auto"/>
              </w:rPr>
            </w:pPr>
            <w:r>
              <w:rPr>
                <w:rFonts w:ascii="Arial" w:cs="Arial" w:eastAsia="Arial" w:hAnsi="Arial"/>
                <w:sz w:val="14"/>
                <w:szCs w:val="14"/>
                <w:b w:val="1"/>
                <w:bCs w:val="1"/>
                <w:color w:val="FFFFFF"/>
              </w:rPr>
              <w:t>Weight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Threshold</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Target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Maximum</w:t>
            </w:r>
          </w:p>
        </w:tc>
        <w:tc>
          <w:tcPr>
            <w:tcW w:w="2500" w:type="dxa"/>
            <w:vAlign w:val="bottom"/>
            <w:gridSpan w:val="2"/>
            <w:shd w:val="clear" w:color="auto" w:fill="C60C35"/>
          </w:tcPr>
          <w:p>
            <w:pPr>
              <w:ind w:left="360"/>
              <w:spacing w:after="0"/>
              <w:rPr>
                <w:sz w:val="20"/>
                <w:szCs w:val="20"/>
                <w:color w:val="auto"/>
              </w:rPr>
            </w:pPr>
            <w:r>
              <w:rPr>
                <w:rFonts w:ascii="Arial" w:cs="Arial" w:eastAsia="Arial" w:hAnsi="Arial"/>
                <w:sz w:val="14"/>
                <w:szCs w:val="14"/>
                <w:b w:val="1"/>
                <w:bCs w:val="1"/>
                <w:color w:val="FFFFFF"/>
              </w:rPr>
              <w:t>Performance Weighted Payout</w:t>
            </w:r>
          </w:p>
        </w:tc>
        <w:tc>
          <w:tcPr>
            <w:tcW w:w="0" w:type="dxa"/>
            <w:vAlign w:val="bottom"/>
          </w:tcPr>
          <w:p>
            <w:pPr>
              <w:spacing w:after="0"/>
              <w:rPr>
                <w:sz w:val="1"/>
                <w:szCs w:val="1"/>
                <w:color w:val="auto"/>
              </w:rPr>
            </w:pPr>
          </w:p>
        </w:tc>
      </w:tr>
      <w:tr>
        <w:trPr>
          <w:trHeight w:val="196"/>
        </w:trPr>
        <w:tc>
          <w:tcPr>
            <w:tcW w:w="37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124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60C35"/>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376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48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76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HCS Segment Profit</w:t>
            </w:r>
            <w:r>
              <w:rPr>
                <w:rFonts w:ascii="Arial" w:cs="Arial" w:eastAsia="Arial" w:hAnsi="Arial"/>
                <w:sz w:val="9"/>
                <w:szCs w:val="9"/>
                <w:color w:val="auto"/>
              </w:rPr>
              <w:t>(5)</w:t>
            </w:r>
          </w:p>
        </w:tc>
        <w:tc>
          <w:tcPr>
            <w:tcW w:w="124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4"/>
                <w:szCs w:val="14"/>
                <w:color w:val="auto"/>
              </w:rPr>
              <w:t>50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624,200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780,300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936,400</w:t>
            </w:r>
          </w:p>
        </w:tc>
        <w:tc>
          <w:tcPr>
            <w:tcW w:w="1480" w:type="dxa"/>
            <w:vAlign w:val="bottom"/>
            <w:tcBorders>
              <w:bottom w:val="single" w:sz="8" w:color="F3F3F3"/>
            </w:tcBorders>
            <w:shd w:val="clear" w:color="auto" w:fill="F3F3F3"/>
          </w:tcPr>
          <w:p>
            <w:pPr>
              <w:jc w:val="right"/>
              <w:ind w:right="168"/>
              <w:spacing w:after="0"/>
              <w:rPr>
                <w:sz w:val="20"/>
                <w:szCs w:val="20"/>
                <w:color w:val="auto"/>
              </w:rPr>
            </w:pPr>
            <w:r>
              <w:rPr>
                <w:rFonts w:ascii="Arial" w:cs="Arial" w:eastAsia="Arial" w:hAnsi="Arial"/>
                <w:sz w:val="14"/>
                <w:szCs w:val="14"/>
                <w:color w:val="auto"/>
              </w:rPr>
              <w:t>730,019</w:t>
            </w:r>
          </w:p>
        </w:tc>
        <w:tc>
          <w:tcPr>
            <w:tcW w:w="1020" w:type="dxa"/>
            <w:vAlign w:val="bottom"/>
            <w:tcBorders>
              <w:bottom w:val="single" w:sz="8" w:color="F3F3F3"/>
            </w:tcBorders>
            <w:shd w:val="clear" w:color="auto" w:fill="F3F3F3"/>
          </w:tcPr>
          <w:p>
            <w:pPr>
              <w:jc w:val="center"/>
              <w:ind w:right="14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08"/>
        </w:trPr>
        <w:tc>
          <w:tcPr>
            <w:tcW w:w="3760" w:type="dxa"/>
            <w:vAlign w:val="bottom"/>
          </w:tcPr>
          <w:p>
            <w:pPr>
              <w:ind w:left="100"/>
              <w:spacing w:after="0"/>
              <w:rPr>
                <w:sz w:val="20"/>
                <w:szCs w:val="20"/>
                <w:color w:val="auto"/>
              </w:rPr>
            </w:pPr>
            <w:r>
              <w:rPr>
                <w:rFonts w:ascii="Arial" w:cs="Arial" w:eastAsia="Arial" w:hAnsi="Arial"/>
                <w:sz w:val="14"/>
                <w:szCs w:val="14"/>
                <w:color w:val="auto"/>
              </w:rPr>
              <w:t>HCS Segment Controllable Cash Flow</w:t>
            </w:r>
            <w:r>
              <w:rPr>
                <w:rFonts w:ascii="Arial" w:cs="Arial" w:eastAsia="Arial" w:hAnsi="Arial"/>
                <w:sz w:val="9"/>
                <w:szCs w:val="9"/>
                <w:color w:val="auto"/>
              </w:rPr>
              <w:t>(6)</w:t>
            </w:r>
          </w:p>
        </w:tc>
        <w:tc>
          <w:tcPr>
            <w:tcW w:w="1240" w:type="dxa"/>
            <w:vAlign w:val="bottom"/>
          </w:tcPr>
          <w:p>
            <w:pPr>
              <w:jc w:val="center"/>
              <w:spacing w:after="0"/>
              <w:rPr>
                <w:sz w:val="20"/>
                <w:szCs w:val="20"/>
                <w:color w:val="auto"/>
              </w:rPr>
            </w:pPr>
            <w:r>
              <w:rPr>
                <w:rFonts w:ascii="Arial" w:cs="Arial" w:eastAsia="Arial" w:hAnsi="Arial"/>
                <w:sz w:val="14"/>
                <w:szCs w:val="14"/>
                <w:color w:val="auto"/>
              </w:rPr>
              <w:t>30</w:t>
            </w:r>
          </w:p>
        </w:tc>
        <w:tc>
          <w:tcPr>
            <w:tcW w:w="1240" w:type="dxa"/>
            <w:vAlign w:val="bottom"/>
          </w:tcPr>
          <w:p>
            <w:pPr>
              <w:jc w:val="right"/>
              <w:spacing w:after="0"/>
              <w:rPr>
                <w:sz w:val="20"/>
                <w:szCs w:val="20"/>
                <w:color w:val="auto"/>
              </w:rPr>
            </w:pPr>
            <w:r>
              <w:rPr>
                <w:rFonts w:ascii="Arial" w:cs="Arial" w:eastAsia="Arial" w:hAnsi="Arial"/>
                <w:sz w:val="14"/>
                <w:szCs w:val="14"/>
                <w:color w:val="auto"/>
              </w:rPr>
              <w:t>507,400</w:t>
            </w:r>
          </w:p>
        </w:tc>
        <w:tc>
          <w:tcPr>
            <w:tcW w:w="1240" w:type="dxa"/>
            <w:vAlign w:val="bottom"/>
          </w:tcPr>
          <w:p>
            <w:pPr>
              <w:jc w:val="right"/>
              <w:spacing w:after="0"/>
              <w:rPr>
                <w:sz w:val="20"/>
                <w:szCs w:val="20"/>
                <w:color w:val="auto"/>
              </w:rPr>
            </w:pPr>
            <w:r>
              <w:rPr>
                <w:rFonts w:ascii="Arial" w:cs="Arial" w:eastAsia="Arial" w:hAnsi="Arial"/>
                <w:sz w:val="14"/>
                <w:szCs w:val="14"/>
                <w:color w:val="auto"/>
              </w:rPr>
              <w:t>724,900</w:t>
            </w:r>
          </w:p>
        </w:tc>
        <w:tc>
          <w:tcPr>
            <w:tcW w:w="1240" w:type="dxa"/>
            <w:vAlign w:val="bottom"/>
          </w:tcPr>
          <w:p>
            <w:pPr>
              <w:jc w:val="right"/>
              <w:spacing w:after="0"/>
              <w:rPr>
                <w:sz w:val="20"/>
                <w:szCs w:val="20"/>
                <w:color w:val="auto"/>
              </w:rPr>
            </w:pPr>
            <w:r>
              <w:rPr>
                <w:rFonts w:ascii="Arial" w:cs="Arial" w:eastAsia="Arial" w:hAnsi="Arial"/>
                <w:sz w:val="14"/>
                <w:szCs w:val="14"/>
                <w:color w:val="auto"/>
              </w:rPr>
              <w:t>942,400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527,955</w:t>
            </w:r>
          </w:p>
        </w:tc>
        <w:tc>
          <w:tcPr>
            <w:tcW w:w="1020" w:type="dxa"/>
            <w:vAlign w:val="bottom"/>
          </w:tcPr>
          <w:p>
            <w:pPr>
              <w:jc w:val="center"/>
              <w:ind w:right="148"/>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6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HCS Segment Revenue</w:t>
            </w:r>
            <w:r>
              <w:rPr>
                <w:rFonts w:ascii="Arial" w:cs="Arial" w:eastAsia="Arial" w:hAnsi="Arial"/>
                <w:sz w:val="9"/>
                <w:szCs w:val="9"/>
                <w:color w:val="auto"/>
              </w:rPr>
              <w:t>(7)</w:t>
            </w:r>
          </w:p>
        </w:tc>
        <w:tc>
          <w:tcPr>
            <w:tcW w:w="124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4"/>
                <w:szCs w:val="14"/>
                <w:color w:val="auto"/>
              </w:rPr>
              <w:t>20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3,326,900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3,696,500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4,066,200</w:t>
            </w:r>
          </w:p>
        </w:tc>
        <w:tc>
          <w:tcPr>
            <w:tcW w:w="1480" w:type="dxa"/>
            <w:vAlign w:val="bottom"/>
            <w:tcBorders>
              <w:bottom w:val="single" w:sz="8" w:color="F3F3F3"/>
            </w:tcBorders>
            <w:shd w:val="clear" w:color="auto" w:fill="F3F3F3"/>
          </w:tcPr>
          <w:p>
            <w:pPr>
              <w:jc w:val="right"/>
              <w:ind w:right="168"/>
              <w:spacing w:after="0"/>
              <w:rPr>
                <w:sz w:val="20"/>
                <w:szCs w:val="20"/>
                <w:color w:val="auto"/>
              </w:rPr>
            </w:pPr>
            <w:r>
              <w:rPr>
                <w:rFonts w:ascii="Arial" w:cs="Arial" w:eastAsia="Arial" w:hAnsi="Arial"/>
                <w:sz w:val="14"/>
                <w:szCs w:val="14"/>
                <w:color w:val="auto"/>
              </w:rPr>
              <w:t>3,390,224</w:t>
            </w:r>
          </w:p>
        </w:tc>
        <w:tc>
          <w:tcPr>
            <w:tcW w:w="1020" w:type="dxa"/>
            <w:vAlign w:val="bottom"/>
            <w:tcBorders>
              <w:bottom w:val="single" w:sz="8" w:color="F3F3F3"/>
            </w:tcBorders>
            <w:shd w:val="clear" w:color="auto" w:fill="F3F3F3"/>
          </w:tcPr>
          <w:p>
            <w:pPr>
              <w:jc w:val="center"/>
              <w:ind w:right="168"/>
              <w:spacing w:after="0"/>
              <w:rPr>
                <w:sz w:val="20"/>
                <w:szCs w:val="20"/>
                <w:color w:val="auto"/>
              </w:rPr>
            </w:pPr>
            <w:r>
              <w:rPr>
                <w:rFonts w:ascii="Arial" w:cs="Arial" w:eastAsia="Arial" w:hAnsi="Arial"/>
                <w:sz w:val="14"/>
                <w:szCs w:val="14"/>
                <w:color w:val="auto"/>
                <w:w w:val="95"/>
              </w:rPr>
              <w:t>11.7</w:t>
            </w:r>
          </w:p>
        </w:tc>
        <w:tc>
          <w:tcPr>
            <w:tcW w:w="0" w:type="dxa"/>
            <w:vAlign w:val="bottom"/>
          </w:tcPr>
          <w:p>
            <w:pPr>
              <w:spacing w:after="0"/>
              <w:rPr>
                <w:sz w:val="1"/>
                <w:szCs w:val="1"/>
                <w:color w:val="auto"/>
              </w:rPr>
            </w:pPr>
          </w:p>
        </w:tc>
      </w:tr>
      <w:tr>
        <w:trPr>
          <w:trHeight w:val="310"/>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Segment NEO: </w:t>
            </w:r>
            <w:r>
              <w:rPr>
                <w:rFonts w:ascii="Arial" w:cs="Arial" w:eastAsia="Arial" w:hAnsi="Arial"/>
                <w:sz w:val="14"/>
                <w:szCs w:val="14"/>
                <w:color w:val="auto"/>
              </w:rPr>
              <w:t>Joseph F. Nassab</w:t>
            </w:r>
            <w:r>
              <w:rPr>
                <w:rFonts w:ascii="Arial" w:cs="Arial" w:eastAsia="Arial" w:hAnsi="Arial"/>
                <w:sz w:val="9"/>
                <w:szCs w:val="9"/>
                <w:color w:val="auto"/>
              </w:rPr>
              <w:t>(1)</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6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3720" w:type="dxa"/>
            <w:vAlign w:val="bottom"/>
            <w:gridSpan w:val="3"/>
            <w:vMerge w:val="restart"/>
            <w:shd w:val="clear" w:color="auto" w:fill="C60C35"/>
          </w:tcPr>
          <w:p>
            <w:pPr>
              <w:jc w:val="right"/>
              <w:ind w:right="548"/>
              <w:spacing w:after="0"/>
              <w:rPr>
                <w:sz w:val="20"/>
                <w:szCs w:val="20"/>
                <w:color w:val="auto"/>
              </w:rPr>
            </w:pPr>
            <w:r>
              <w:rPr>
                <w:rFonts w:ascii="Arial" w:cs="Arial" w:eastAsia="Arial" w:hAnsi="Arial"/>
                <w:sz w:val="14"/>
                <w:szCs w:val="14"/>
                <w:b w:val="1"/>
                <w:bCs w:val="1"/>
                <w:color w:val="FFFFFF"/>
              </w:rPr>
              <w:t>Payout Opportunity as a % of Target</w:t>
            </w: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7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720" w:type="dxa"/>
            <w:vAlign w:val="bottom"/>
            <w:gridSpan w:val="3"/>
            <w:vMerge w:val="continue"/>
            <w:shd w:val="clear" w:color="auto" w:fill="C60C35"/>
          </w:tcPr>
          <w:p>
            <w:pPr>
              <w:spacing w:after="0"/>
              <w:rPr>
                <w:sz w:val="5"/>
                <w:szCs w:val="5"/>
                <w:color w:val="auto"/>
              </w:rPr>
            </w:pPr>
          </w:p>
        </w:tc>
        <w:tc>
          <w:tcPr>
            <w:tcW w:w="14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3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50%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100%</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225%</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760" w:type="dxa"/>
            <w:vAlign w:val="bottom"/>
            <w:shd w:val="clear" w:color="auto" w:fill="C60C35"/>
          </w:tcPr>
          <w:p>
            <w:pPr>
              <w:spacing w:after="0"/>
              <w:rPr>
                <w:sz w:val="17"/>
                <w:szCs w:val="17"/>
                <w:color w:val="auto"/>
              </w:rPr>
            </w:pPr>
          </w:p>
        </w:tc>
        <w:tc>
          <w:tcPr>
            <w:tcW w:w="1240" w:type="dxa"/>
            <w:vAlign w:val="bottom"/>
            <w:shd w:val="clear" w:color="auto" w:fill="C60C35"/>
          </w:tcPr>
          <w:p>
            <w:pPr>
              <w:ind w:left="380"/>
              <w:spacing w:after="0"/>
              <w:rPr>
                <w:sz w:val="20"/>
                <w:szCs w:val="20"/>
                <w:color w:val="auto"/>
              </w:rPr>
            </w:pPr>
            <w:r>
              <w:rPr>
                <w:rFonts w:ascii="Arial" w:cs="Arial" w:eastAsia="Arial" w:hAnsi="Arial"/>
                <w:sz w:val="14"/>
                <w:szCs w:val="14"/>
                <w:b w:val="1"/>
                <w:bCs w:val="1"/>
                <w:color w:val="FFFFFF"/>
              </w:rPr>
              <w:t>Weight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Threshold</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Target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Maximum</w:t>
            </w:r>
          </w:p>
        </w:tc>
        <w:tc>
          <w:tcPr>
            <w:tcW w:w="2500" w:type="dxa"/>
            <w:vAlign w:val="bottom"/>
            <w:gridSpan w:val="2"/>
            <w:shd w:val="clear" w:color="auto" w:fill="C60C35"/>
          </w:tcPr>
          <w:p>
            <w:pPr>
              <w:ind w:left="360"/>
              <w:spacing w:after="0"/>
              <w:rPr>
                <w:sz w:val="20"/>
                <w:szCs w:val="20"/>
                <w:color w:val="auto"/>
              </w:rPr>
            </w:pPr>
            <w:r>
              <w:rPr>
                <w:rFonts w:ascii="Arial" w:cs="Arial" w:eastAsia="Arial" w:hAnsi="Arial"/>
                <w:sz w:val="14"/>
                <w:szCs w:val="14"/>
                <w:b w:val="1"/>
                <w:bCs w:val="1"/>
                <w:color w:val="FFFFFF"/>
              </w:rPr>
              <w:t>Performance Weighted Payout</w:t>
            </w:r>
          </w:p>
        </w:tc>
        <w:tc>
          <w:tcPr>
            <w:tcW w:w="0" w:type="dxa"/>
            <w:vAlign w:val="bottom"/>
          </w:tcPr>
          <w:p>
            <w:pPr>
              <w:spacing w:after="0"/>
              <w:rPr>
                <w:sz w:val="1"/>
                <w:szCs w:val="1"/>
                <w:color w:val="auto"/>
              </w:rPr>
            </w:pPr>
          </w:p>
        </w:tc>
      </w:tr>
      <w:tr>
        <w:trPr>
          <w:trHeight w:val="196"/>
        </w:trPr>
        <w:tc>
          <w:tcPr>
            <w:tcW w:w="376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124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48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20" w:type="dxa"/>
            <w:vAlign w:val="bottom"/>
            <w:shd w:val="clear" w:color="auto" w:fill="C60C35"/>
          </w:tcPr>
          <w:p>
            <w:pPr>
              <w:jc w:val="center"/>
              <w:ind w:right="16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9"/>
        </w:trPr>
        <w:tc>
          <w:tcPr>
            <w:tcW w:w="376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480" w:type="dxa"/>
            <w:vAlign w:val="bottom"/>
            <w:shd w:val="clear" w:color="auto" w:fill="C60C35"/>
          </w:tcPr>
          <w:p>
            <w:pPr>
              <w:spacing w:after="0"/>
              <w:rPr>
                <w:sz w:val="6"/>
                <w:szCs w:val="6"/>
                <w:color w:val="auto"/>
              </w:rPr>
            </w:pPr>
          </w:p>
        </w:tc>
        <w:tc>
          <w:tcPr>
            <w:tcW w:w="102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4"/>
                <w:szCs w:val="14"/>
                <w:color w:val="auto"/>
              </w:rPr>
              <w:t>BCS Segment Profit</w:t>
            </w:r>
            <w:r>
              <w:rPr>
                <w:rFonts w:ascii="Arial" w:cs="Arial" w:eastAsia="Arial" w:hAnsi="Arial"/>
                <w:sz w:val="9"/>
                <w:szCs w:val="9"/>
                <w:color w:val="auto"/>
              </w:rPr>
              <w:t>(5)</w:t>
            </w:r>
          </w:p>
        </w:tc>
        <w:tc>
          <w:tcPr>
            <w:tcW w:w="1240" w:type="dxa"/>
            <w:vAlign w:val="bottom"/>
            <w:tcBorders>
              <w:bottom w:val="single" w:sz="8" w:color="F3F3F3"/>
            </w:tcBorders>
            <w:shd w:val="clear" w:color="auto" w:fill="F3F3F3"/>
          </w:tcPr>
          <w:p>
            <w:pPr>
              <w:jc w:val="center"/>
              <w:spacing w:after="0"/>
              <w:rPr>
                <w:sz w:val="20"/>
                <w:szCs w:val="20"/>
                <w:color w:val="auto"/>
              </w:rPr>
            </w:pPr>
            <w:r>
              <w:rPr>
                <w:rFonts w:ascii="Arial" w:cs="Arial" w:eastAsia="Arial" w:hAnsi="Arial"/>
                <w:sz w:val="14"/>
                <w:szCs w:val="14"/>
                <w:color w:val="auto"/>
              </w:rPr>
              <w:t>50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353,800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442,300</w:t>
            </w:r>
          </w:p>
        </w:tc>
        <w:tc>
          <w:tcPr>
            <w:tcW w:w="12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4"/>
                <w:szCs w:val="14"/>
                <w:color w:val="auto"/>
              </w:rPr>
              <w:t>530,800</w:t>
            </w:r>
          </w:p>
        </w:tc>
        <w:tc>
          <w:tcPr>
            <w:tcW w:w="1480" w:type="dxa"/>
            <w:vAlign w:val="bottom"/>
            <w:tcBorders>
              <w:bottom w:val="single" w:sz="8" w:color="F3F3F3"/>
            </w:tcBorders>
            <w:shd w:val="clear" w:color="auto" w:fill="F3F3F3"/>
          </w:tcPr>
          <w:p>
            <w:pPr>
              <w:jc w:val="right"/>
              <w:ind w:right="168"/>
              <w:spacing w:after="0"/>
              <w:rPr>
                <w:sz w:val="20"/>
                <w:szCs w:val="20"/>
                <w:color w:val="auto"/>
              </w:rPr>
            </w:pPr>
            <w:r>
              <w:rPr>
                <w:rFonts w:ascii="Arial" w:cs="Arial" w:eastAsia="Arial" w:hAnsi="Arial"/>
                <w:sz w:val="14"/>
                <w:szCs w:val="14"/>
                <w:color w:val="auto"/>
              </w:rPr>
              <w:t>435,841</w:t>
            </w:r>
          </w:p>
        </w:tc>
        <w:tc>
          <w:tcPr>
            <w:tcW w:w="1020" w:type="dxa"/>
            <w:vAlign w:val="bottom"/>
            <w:tcBorders>
              <w:bottom w:val="single" w:sz="8" w:color="F3F3F3"/>
            </w:tcBorders>
            <w:shd w:val="clear" w:color="auto" w:fill="F3F3F3"/>
          </w:tcPr>
          <w:p>
            <w:pPr>
              <w:jc w:val="center"/>
              <w:ind w:right="14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8"/>
        </w:trPr>
        <w:tc>
          <w:tcPr>
            <w:tcW w:w="3760" w:type="dxa"/>
            <w:vAlign w:val="bottom"/>
          </w:tcPr>
          <w:p>
            <w:pPr>
              <w:ind w:left="100"/>
              <w:spacing w:after="0"/>
              <w:rPr>
                <w:sz w:val="20"/>
                <w:szCs w:val="20"/>
                <w:color w:val="auto"/>
              </w:rPr>
            </w:pPr>
            <w:r>
              <w:rPr>
                <w:rFonts w:ascii="Arial" w:cs="Arial" w:eastAsia="Arial" w:hAnsi="Arial"/>
                <w:sz w:val="14"/>
                <w:szCs w:val="14"/>
                <w:color w:val="auto"/>
              </w:rPr>
              <w:t>BCS Segment Controllable Cash Flow</w:t>
            </w:r>
            <w:r>
              <w:rPr>
                <w:rFonts w:ascii="Arial" w:cs="Arial" w:eastAsia="Arial" w:hAnsi="Arial"/>
                <w:sz w:val="9"/>
                <w:szCs w:val="9"/>
                <w:color w:val="auto"/>
              </w:rPr>
              <w:t>(6)</w:t>
            </w:r>
          </w:p>
        </w:tc>
        <w:tc>
          <w:tcPr>
            <w:tcW w:w="1240" w:type="dxa"/>
            <w:vAlign w:val="bottom"/>
          </w:tcPr>
          <w:p>
            <w:pPr>
              <w:jc w:val="center"/>
              <w:spacing w:after="0"/>
              <w:rPr>
                <w:sz w:val="20"/>
                <w:szCs w:val="20"/>
                <w:color w:val="auto"/>
              </w:rPr>
            </w:pPr>
            <w:r>
              <w:rPr>
                <w:rFonts w:ascii="Arial" w:cs="Arial" w:eastAsia="Arial" w:hAnsi="Arial"/>
                <w:sz w:val="14"/>
                <w:szCs w:val="14"/>
                <w:color w:val="auto"/>
              </w:rPr>
              <w:t>30</w:t>
            </w:r>
          </w:p>
        </w:tc>
        <w:tc>
          <w:tcPr>
            <w:tcW w:w="1240" w:type="dxa"/>
            <w:vAlign w:val="bottom"/>
          </w:tcPr>
          <w:p>
            <w:pPr>
              <w:jc w:val="right"/>
              <w:spacing w:after="0"/>
              <w:rPr>
                <w:sz w:val="20"/>
                <w:szCs w:val="20"/>
                <w:color w:val="auto"/>
              </w:rPr>
            </w:pPr>
            <w:r>
              <w:rPr>
                <w:rFonts w:ascii="Arial" w:cs="Arial" w:eastAsia="Arial" w:hAnsi="Arial"/>
                <w:sz w:val="14"/>
                <w:szCs w:val="14"/>
                <w:color w:val="auto"/>
              </w:rPr>
              <w:t>281,800</w:t>
            </w:r>
          </w:p>
        </w:tc>
        <w:tc>
          <w:tcPr>
            <w:tcW w:w="1240" w:type="dxa"/>
            <w:vAlign w:val="bottom"/>
          </w:tcPr>
          <w:p>
            <w:pPr>
              <w:jc w:val="right"/>
              <w:spacing w:after="0"/>
              <w:rPr>
                <w:sz w:val="20"/>
                <w:szCs w:val="20"/>
                <w:color w:val="auto"/>
              </w:rPr>
            </w:pPr>
            <w:r>
              <w:rPr>
                <w:rFonts w:ascii="Arial" w:cs="Arial" w:eastAsia="Arial" w:hAnsi="Arial"/>
                <w:sz w:val="14"/>
                <w:szCs w:val="14"/>
                <w:color w:val="auto"/>
              </w:rPr>
              <w:t>402,600</w:t>
            </w:r>
          </w:p>
        </w:tc>
        <w:tc>
          <w:tcPr>
            <w:tcW w:w="1240" w:type="dxa"/>
            <w:vAlign w:val="bottom"/>
          </w:tcPr>
          <w:p>
            <w:pPr>
              <w:jc w:val="right"/>
              <w:spacing w:after="0"/>
              <w:rPr>
                <w:sz w:val="20"/>
                <w:szCs w:val="20"/>
                <w:color w:val="auto"/>
              </w:rPr>
            </w:pPr>
            <w:r>
              <w:rPr>
                <w:rFonts w:ascii="Arial" w:cs="Arial" w:eastAsia="Arial" w:hAnsi="Arial"/>
                <w:sz w:val="14"/>
                <w:szCs w:val="14"/>
                <w:color w:val="auto"/>
              </w:rPr>
              <w:t>523,400</w:t>
            </w:r>
          </w:p>
        </w:tc>
        <w:tc>
          <w:tcPr>
            <w:tcW w:w="1480" w:type="dxa"/>
            <w:vAlign w:val="bottom"/>
          </w:tcPr>
          <w:p>
            <w:pPr>
              <w:jc w:val="right"/>
              <w:ind w:right="168"/>
              <w:spacing w:after="0"/>
              <w:rPr>
                <w:sz w:val="20"/>
                <w:szCs w:val="20"/>
                <w:color w:val="auto"/>
              </w:rPr>
            </w:pPr>
            <w:r>
              <w:rPr>
                <w:rFonts w:ascii="Arial" w:cs="Arial" w:eastAsia="Arial" w:hAnsi="Arial"/>
                <w:sz w:val="14"/>
                <w:szCs w:val="14"/>
                <w:color w:val="auto"/>
              </w:rPr>
              <w:t>349,524</w:t>
            </w:r>
          </w:p>
        </w:tc>
        <w:tc>
          <w:tcPr>
            <w:tcW w:w="1020" w:type="dxa"/>
            <w:vAlign w:val="bottom"/>
          </w:tcPr>
          <w:p>
            <w:pPr>
              <w:jc w:val="center"/>
              <w:ind w:right="148"/>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60" w:type="dxa"/>
            <w:vAlign w:val="bottom"/>
            <w:shd w:val="clear" w:color="auto" w:fill="F3F3F3"/>
          </w:tcPr>
          <w:p>
            <w:pPr>
              <w:ind w:left="100"/>
              <w:spacing w:after="0"/>
              <w:rPr>
                <w:sz w:val="20"/>
                <w:szCs w:val="20"/>
                <w:color w:val="auto"/>
              </w:rPr>
            </w:pPr>
            <w:r>
              <w:rPr>
                <w:rFonts w:ascii="Arial" w:cs="Arial" w:eastAsia="Arial" w:hAnsi="Arial"/>
                <w:sz w:val="14"/>
                <w:szCs w:val="14"/>
                <w:color w:val="auto"/>
              </w:rPr>
              <w:t>BCS Segment Revenue</w:t>
            </w:r>
            <w:r>
              <w:rPr>
                <w:rFonts w:ascii="Arial" w:cs="Arial" w:eastAsia="Arial" w:hAnsi="Arial"/>
                <w:sz w:val="9"/>
                <w:szCs w:val="9"/>
                <w:color w:val="auto"/>
              </w:rPr>
              <w:t>(7)</w:t>
            </w:r>
          </w:p>
        </w:tc>
        <w:tc>
          <w:tcPr>
            <w:tcW w:w="1240" w:type="dxa"/>
            <w:vAlign w:val="bottom"/>
            <w:shd w:val="clear" w:color="auto" w:fill="F3F3F3"/>
          </w:tcPr>
          <w:p>
            <w:pPr>
              <w:jc w:val="center"/>
              <w:spacing w:after="0"/>
              <w:rPr>
                <w:sz w:val="20"/>
                <w:szCs w:val="20"/>
                <w:color w:val="auto"/>
              </w:rPr>
            </w:pPr>
            <w:r>
              <w:rPr>
                <w:rFonts w:ascii="Arial" w:cs="Arial" w:eastAsia="Arial" w:hAnsi="Arial"/>
                <w:sz w:val="14"/>
                <w:szCs w:val="14"/>
                <w:color w:val="auto"/>
              </w:rPr>
              <w:t>20</w:t>
            </w:r>
          </w:p>
        </w:tc>
        <w:tc>
          <w:tcPr>
            <w:tcW w:w="1240" w:type="dxa"/>
            <w:vAlign w:val="bottom"/>
            <w:shd w:val="clear" w:color="auto" w:fill="F3F3F3"/>
          </w:tcPr>
          <w:p>
            <w:pPr>
              <w:jc w:val="right"/>
              <w:spacing w:after="0"/>
              <w:rPr>
                <w:sz w:val="20"/>
                <w:szCs w:val="20"/>
                <w:color w:val="auto"/>
              </w:rPr>
            </w:pPr>
            <w:r>
              <w:rPr>
                <w:rFonts w:ascii="Arial" w:cs="Arial" w:eastAsia="Arial" w:hAnsi="Arial"/>
                <w:sz w:val="14"/>
                <w:szCs w:val="14"/>
                <w:color w:val="auto"/>
              </w:rPr>
              <w:t>1,704,900</w:t>
            </w:r>
          </w:p>
        </w:tc>
        <w:tc>
          <w:tcPr>
            <w:tcW w:w="1240" w:type="dxa"/>
            <w:vAlign w:val="bottom"/>
            <w:shd w:val="clear" w:color="auto" w:fill="F3F3F3"/>
          </w:tcPr>
          <w:p>
            <w:pPr>
              <w:jc w:val="right"/>
              <w:spacing w:after="0"/>
              <w:rPr>
                <w:sz w:val="20"/>
                <w:szCs w:val="20"/>
                <w:color w:val="auto"/>
              </w:rPr>
            </w:pPr>
            <w:r>
              <w:rPr>
                <w:rFonts w:ascii="Arial" w:cs="Arial" w:eastAsia="Arial" w:hAnsi="Arial"/>
                <w:sz w:val="14"/>
                <w:szCs w:val="14"/>
                <w:color w:val="auto"/>
              </w:rPr>
              <w:t>1,894,300</w:t>
            </w:r>
          </w:p>
        </w:tc>
        <w:tc>
          <w:tcPr>
            <w:tcW w:w="1240" w:type="dxa"/>
            <w:vAlign w:val="bottom"/>
            <w:shd w:val="clear" w:color="auto" w:fill="F3F3F3"/>
          </w:tcPr>
          <w:p>
            <w:pPr>
              <w:jc w:val="right"/>
              <w:spacing w:after="0"/>
              <w:rPr>
                <w:sz w:val="20"/>
                <w:szCs w:val="20"/>
                <w:color w:val="auto"/>
              </w:rPr>
            </w:pPr>
            <w:r>
              <w:rPr>
                <w:rFonts w:ascii="Arial" w:cs="Arial" w:eastAsia="Arial" w:hAnsi="Arial"/>
                <w:sz w:val="14"/>
                <w:szCs w:val="14"/>
                <w:color w:val="auto"/>
              </w:rPr>
              <w:t>2,083,700</w:t>
            </w:r>
          </w:p>
        </w:tc>
        <w:tc>
          <w:tcPr>
            <w:tcW w:w="1480" w:type="dxa"/>
            <w:vAlign w:val="bottom"/>
            <w:shd w:val="clear" w:color="auto" w:fill="F3F3F3"/>
          </w:tcPr>
          <w:p>
            <w:pPr>
              <w:jc w:val="right"/>
              <w:ind w:right="168"/>
              <w:spacing w:after="0"/>
              <w:rPr>
                <w:sz w:val="20"/>
                <w:szCs w:val="20"/>
                <w:color w:val="auto"/>
              </w:rPr>
            </w:pPr>
            <w:r>
              <w:rPr>
                <w:rFonts w:ascii="Arial" w:cs="Arial" w:eastAsia="Arial" w:hAnsi="Arial"/>
                <w:sz w:val="14"/>
                <w:szCs w:val="14"/>
                <w:color w:val="auto"/>
              </w:rPr>
              <w:t>1,823,036</w:t>
            </w:r>
          </w:p>
        </w:tc>
        <w:tc>
          <w:tcPr>
            <w:tcW w:w="1020" w:type="dxa"/>
            <w:vAlign w:val="bottom"/>
            <w:shd w:val="clear" w:color="auto" w:fill="F3F3F3"/>
          </w:tcPr>
          <w:p>
            <w:pPr>
              <w:jc w:val="center"/>
              <w:ind w:right="14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2"/>
        </w:trPr>
        <w:tc>
          <w:tcPr>
            <w:tcW w:w="3760" w:type="dxa"/>
            <w:vAlign w:val="bottom"/>
            <w:shd w:val="clear" w:color="auto" w:fill="F3F3F3"/>
          </w:tcPr>
          <w:p>
            <w:pPr>
              <w:spacing w:after="0" w:line="20" w:lineRule="exact"/>
              <w:rPr>
                <w:sz w:val="1"/>
                <w:szCs w:val="1"/>
                <w:color w:val="auto"/>
              </w:rPr>
            </w:pPr>
          </w:p>
        </w:tc>
        <w:tc>
          <w:tcPr>
            <w:tcW w:w="1240" w:type="dxa"/>
            <w:vAlign w:val="bottom"/>
            <w:shd w:val="clear" w:color="auto" w:fill="F3F3F3"/>
          </w:tcPr>
          <w:p>
            <w:pPr>
              <w:spacing w:after="0" w:line="20" w:lineRule="exact"/>
              <w:rPr>
                <w:sz w:val="1"/>
                <w:szCs w:val="1"/>
                <w:color w:val="auto"/>
              </w:rPr>
            </w:pPr>
          </w:p>
        </w:tc>
        <w:tc>
          <w:tcPr>
            <w:tcW w:w="1240" w:type="dxa"/>
            <w:vAlign w:val="bottom"/>
            <w:shd w:val="clear" w:color="auto" w:fill="F3F3F3"/>
          </w:tcPr>
          <w:p>
            <w:pPr>
              <w:spacing w:after="0" w:line="20" w:lineRule="exact"/>
              <w:rPr>
                <w:sz w:val="1"/>
                <w:szCs w:val="1"/>
                <w:color w:val="auto"/>
              </w:rPr>
            </w:pPr>
          </w:p>
        </w:tc>
        <w:tc>
          <w:tcPr>
            <w:tcW w:w="1240" w:type="dxa"/>
            <w:vAlign w:val="bottom"/>
            <w:shd w:val="clear" w:color="auto" w:fill="F3F3F3"/>
          </w:tcPr>
          <w:p>
            <w:pPr>
              <w:spacing w:after="0" w:line="20" w:lineRule="exact"/>
              <w:rPr>
                <w:sz w:val="1"/>
                <w:szCs w:val="1"/>
                <w:color w:val="auto"/>
              </w:rPr>
            </w:pPr>
          </w:p>
        </w:tc>
        <w:tc>
          <w:tcPr>
            <w:tcW w:w="1240" w:type="dxa"/>
            <w:vAlign w:val="bottom"/>
            <w:shd w:val="clear" w:color="auto" w:fill="F3F3F3"/>
          </w:tcPr>
          <w:p>
            <w:pPr>
              <w:spacing w:after="0" w:line="20" w:lineRule="exact"/>
              <w:rPr>
                <w:sz w:val="1"/>
                <w:szCs w:val="1"/>
                <w:color w:val="auto"/>
              </w:rPr>
            </w:pPr>
          </w:p>
        </w:tc>
        <w:tc>
          <w:tcPr>
            <w:tcW w:w="148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100" w:hanging="332"/>
        <w:spacing w:after="0" w:line="266"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Messrs. Maskara, Quenzer, and Sessa were measured 100% on overall Company financial performance, which resulted in a calculated award of 90% of target. As the President of our Home Comfort Solutions segment, Ms. Martin’s award was measured 50% on Home Comfort Solutions financial performance and 50% on overall Company financial performance. Home Comfort Solutions financial performance resulted in a factor of 70% of target, which when blended with the Company’s factor of 90% of target, resulted in a calculated award of 80% of target for Ms. Martin. As the President of our Building Climate Solutions segment, Mr. Nassab’s award was measured 50% on Building Climate Solutions financial performance and 50% on overall Company financial performance. Building Climate Solutions financial performance resulted in a factor of 88% of target, which when blended with the Company’s factor of 90% of target, resulted in a calculated award of 89% of target for Mr. Nassab.</w:t>
      </w:r>
    </w:p>
    <w:p>
      <w:pPr>
        <w:spacing w:after="0" w:line="76" w:lineRule="exact"/>
        <w:rPr>
          <w:rFonts w:ascii="Arial" w:cs="Arial" w:eastAsia="Arial" w:hAnsi="Arial"/>
          <w:sz w:val="14"/>
          <w:szCs w:val="14"/>
          <w:color w:val="auto"/>
        </w:rPr>
      </w:pPr>
    </w:p>
    <w:p>
      <w:pPr>
        <w:ind w:left="340" w:right="120" w:hanging="332"/>
        <w:spacing w:after="0" w:line="305"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gain on sale of previous dispositions, restructuring charges, and acquisition costs.</w:t>
      </w:r>
    </w:p>
    <w:p>
      <w:pPr>
        <w:spacing w:after="0" w:line="22" w:lineRule="exact"/>
        <w:rPr>
          <w:rFonts w:ascii="Arial" w:cs="Arial" w:eastAsia="Arial" w:hAnsi="Arial"/>
          <w:sz w:val="14"/>
          <w:szCs w:val="14"/>
          <w:color w:val="auto"/>
        </w:rPr>
      </w:pPr>
    </w:p>
    <w:p>
      <w:pPr>
        <w:ind w:left="340" w:right="140" w:hanging="332"/>
        <w:spacing w:after="0" w:line="305"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Company free cash flow, a non-GAAP financial measure, is net cash provided by operating activities less purchases of property, plant, and equipment plus proceeds from disposal of property, plant, and equipment, and adjusted for certain other items.</w:t>
      </w:r>
    </w:p>
    <w:p>
      <w:pPr>
        <w:spacing w:after="0" w:line="22"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Company adjusted revenue, a non-GAAP financial measure, is net revenues for the Company, adjusted for certain other items.</w:t>
      </w:r>
    </w:p>
    <w:p>
      <w:pPr>
        <w:spacing w:after="0" w:line="109" w:lineRule="exact"/>
        <w:rPr>
          <w:rFonts w:ascii="Arial" w:cs="Arial" w:eastAsia="Arial" w:hAnsi="Arial"/>
          <w:sz w:val="14"/>
          <w:szCs w:val="14"/>
          <w:color w:val="auto"/>
        </w:rPr>
      </w:pPr>
    </w:p>
    <w:p>
      <w:pPr>
        <w:ind w:left="340" w:right="140" w:hanging="332"/>
        <w:spacing w:after="0" w:line="273"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HCS segment profit and BCS segment profit are non-GAAP financial measures and each is calculated as earnings from continuing operations for the applicable segment, before interest expense, other expenses, and income taxes, adjusted for gain on sale of previous dispositions, restructuring charges, acquisition costs, and certain other items, and adjusted to include commercial rooftop HVAC equipment sales through distributors in both segments.</w:t>
      </w:r>
    </w:p>
    <w:p>
      <w:pPr>
        <w:spacing w:after="0" w:line="58" w:lineRule="exact"/>
        <w:rPr>
          <w:rFonts w:ascii="Arial" w:cs="Arial" w:eastAsia="Arial" w:hAnsi="Arial"/>
          <w:sz w:val="14"/>
          <w:szCs w:val="14"/>
          <w:color w:val="auto"/>
        </w:rPr>
      </w:pPr>
    </w:p>
    <w:p>
      <w:pPr>
        <w:ind w:left="340" w:hanging="332"/>
        <w:spacing w:after="0" w:line="273"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HCS segment controllable cash flow and BCS segment controllable cash flow are non-GAAP financial measures and are calculated as HCS segment profit or BCS segment profit, as applicable, defined above, less purchases of property, plant, and equipment plus proceeds from disposal of property, plant, and equipment, plus or minus changes in accounts receivable, inventory, accounts payable, and certain other items.</w:t>
      </w:r>
    </w:p>
    <w:p>
      <w:pPr>
        <w:spacing w:after="0" w:line="58" w:lineRule="exact"/>
        <w:rPr>
          <w:rFonts w:ascii="Arial" w:cs="Arial" w:eastAsia="Arial" w:hAnsi="Arial"/>
          <w:sz w:val="14"/>
          <w:szCs w:val="14"/>
          <w:color w:val="auto"/>
        </w:rPr>
      </w:pPr>
    </w:p>
    <w:p>
      <w:pPr>
        <w:ind w:left="320" w:hanging="312"/>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HCS segment revenue and BCS segment revenue are GAAP financial measures, adjusted to include certain commercial rooftop HVAC equipment in both segments.</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ind w:right="340" w:firstLine="324"/>
        <w:spacing w:after="0" w:line="261" w:lineRule="auto"/>
        <w:rPr>
          <w:sz w:val="20"/>
          <w:szCs w:val="20"/>
          <w:color w:val="auto"/>
        </w:rPr>
      </w:pPr>
      <w:r>
        <w:rPr>
          <w:rFonts w:ascii="Arial" w:cs="Arial" w:eastAsia="Arial" w:hAnsi="Arial"/>
          <w:sz w:val="18"/>
          <w:szCs w:val="18"/>
          <w:u w:val="single" w:color="auto"/>
          <w:color w:val="auto"/>
        </w:rPr>
        <w:t>Goal Setting</w:t>
      </w:r>
      <w:r>
        <w:rPr>
          <w:rFonts w:ascii="Arial" w:cs="Arial" w:eastAsia="Arial" w:hAnsi="Arial"/>
          <w:sz w:val="18"/>
          <w:szCs w:val="18"/>
          <w:color w:val="auto"/>
        </w:rPr>
        <w:t>. The Board is focused on setting targets that align with investor expectations. In setting 2025 targets, the Company considered expected end market growth rates, including temporary demand shifts and inventory adjustments associated with the industry transition to new low global warming potential refrigerants. For 2025:</w:t>
      </w:r>
    </w:p>
    <w:p>
      <w:pPr>
        <w:spacing w:after="0" w:line="108" w:lineRule="exact"/>
        <w:rPr>
          <w:sz w:val="20"/>
          <w:szCs w:val="20"/>
          <w:color w:val="auto"/>
        </w:rPr>
      </w:pPr>
    </w:p>
    <w:p>
      <w:pPr>
        <w:ind w:left="660" w:right="60" w:hanging="328"/>
        <w:spacing w:after="0" w:line="27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 core net income goal at target was set up 1.3% from 2024 actual results. Company core net income goal at maximum was up 21.6% from 2024 actual results.</w:t>
      </w:r>
    </w:p>
    <w:p>
      <w:pPr>
        <w:spacing w:after="0" w:line="59"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 free cash flow goal at target was down 10.7% from 2024 actual results. Company free cash flow goal at maximum was up 16.0% from 2024 actual results.</w:t>
      </w:r>
    </w:p>
    <w:p>
      <w:pPr>
        <w:spacing w:after="0" w:line="45"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Company adjusted revenue goal at target was set up 3.0% from 2024 actual results. Company adjusted revenue goal at maximum was up 13.3% from 2024 actual results.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 goals at maximum payout are appropriately stretched to help ensure stockholder alignment.</w:t>
      </w:r>
    </w:p>
    <w:p>
      <w:pPr>
        <w:spacing w:after="0" w:line="158" w:lineRule="exact"/>
        <w:rPr>
          <w:sz w:val="20"/>
          <w:szCs w:val="20"/>
          <w:color w:val="auto"/>
        </w:rPr>
      </w:pPr>
    </w:p>
    <w:p>
      <w:pPr>
        <w:ind w:right="100" w:firstLine="324"/>
        <w:spacing w:after="0" w:line="263" w:lineRule="auto"/>
        <w:rPr>
          <w:sz w:val="20"/>
          <w:szCs w:val="20"/>
          <w:color w:val="auto"/>
        </w:rPr>
      </w:pPr>
      <w:r>
        <w:rPr>
          <w:rFonts w:ascii="Arial" w:cs="Arial" w:eastAsia="Arial" w:hAnsi="Arial"/>
          <w:sz w:val="17"/>
          <w:szCs w:val="17"/>
          <w:u w:val="single" w:color="auto"/>
          <w:color w:val="auto"/>
        </w:rPr>
        <w:t>Individual Performance</w:t>
      </w:r>
      <w:r>
        <w:rPr>
          <w:rFonts w:ascii="Arial" w:cs="Arial" w:eastAsia="Arial" w:hAnsi="Arial"/>
          <w:sz w:val="17"/>
          <w:szCs w:val="17"/>
          <w:color w:val="auto"/>
        </w:rPr>
        <w:t>. Once the calculated STI amount is determined based on performance against the pre-approved earnings, cash flow, and revenue goals, 25% of that amount may be modified up or down from 0% to 225% based on each NEO’s individual performance. When determining whether to modify an NEO’s calculated STI amount, the Committee considered each NEO’s performance against specific financial, operational, and strategic objectives, as well as each NEO’s contribution to our sustainability goals. The Company’s sustainability goals include reducing the environmental impact of our products and operations, reducing the number of safety incidents in our operations, and enhancing the inclusiveness of our workforce. The CEO reviewed with the Committee the individual performance of each NEO (other than himself). Based on company performance during the year, the Committee did not modify the STI payouts for any of the NEOs.</w:t>
      </w:r>
    </w:p>
    <w:p>
      <w:pPr>
        <w:spacing w:after="0" w:line="121" w:lineRule="exact"/>
        <w:rPr>
          <w:sz w:val="20"/>
          <w:szCs w:val="20"/>
          <w:color w:val="auto"/>
        </w:rPr>
      </w:pPr>
    </w:p>
    <w:p>
      <w:pPr>
        <w:jc w:val="both"/>
        <w:ind w:right="140" w:firstLine="324"/>
        <w:spacing w:after="0" w:line="253" w:lineRule="auto"/>
        <w:rPr>
          <w:sz w:val="20"/>
          <w:szCs w:val="20"/>
          <w:color w:val="auto"/>
        </w:rPr>
      </w:pPr>
      <w:r>
        <w:rPr>
          <w:rFonts w:ascii="Arial" w:cs="Arial" w:eastAsia="Arial" w:hAnsi="Arial"/>
          <w:sz w:val="18"/>
          <w:szCs w:val="18"/>
          <w:u w:val="single" w:color="auto"/>
          <w:color w:val="auto"/>
        </w:rPr>
        <w:t>Targets and Payouts</w:t>
      </w:r>
      <w:r>
        <w:rPr>
          <w:rFonts w:ascii="Arial" w:cs="Arial" w:eastAsia="Arial" w:hAnsi="Arial"/>
          <w:sz w:val="18"/>
          <w:szCs w:val="18"/>
          <w:color w:val="auto"/>
        </w:rPr>
        <w:t>. Under the STI Program, target payout opportunities are determined as a percentage of base salary earned during the year. The target payout opportunities are based on market data using the 50th percentile as a guideline. Each NEO’s target percentage fits within this guideline for 2025.</w:t>
      </w:r>
    </w:p>
    <w:p>
      <w:pPr>
        <w:spacing w:after="0" w:line="128"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Based on analysis of the market data and internal equity considerations, the Committee (or with respect to the CEO, the independent Board members) set the following STI targets for 2025. Based on financial and individual performance, the Committee (or with respect to the CEO, the independent Board members) approved the following 2025 payouts for each NEO: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2025 Short-Term Incentive Targets and Payouts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60C35"/>
          </w:tcPr>
          <w:p>
            <w:pPr>
              <w:spacing w:after="0"/>
              <w:rPr>
                <w:sz w:val="18"/>
                <w:szCs w:val="18"/>
                <w:color w:val="auto"/>
              </w:rPr>
            </w:pPr>
          </w:p>
        </w:tc>
        <w:tc>
          <w:tcPr>
            <w:tcW w:w="2140" w:type="dxa"/>
            <w:vAlign w:val="bottom"/>
            <w:shd w:val="clear" w:color="auto" w:fill="C60C35"/>
          </w:tcPr>
          <w:p>
            <w:pPr>
              <w:jc w:val="right"/>
              <w:ind w:right="68"/>
              <w:spacing w:after="0"/>
              <w:rPr>
                <w:sz w:val="20"/>
                <w:szCs w:val="20"/>
                <w:color w:val="auto"/>
              </w:rPr>
            </w:pPr>
            <w:r>
              <w:rPr>
                <w:rFonts w:ascii="Arial" w:cs="Arial" w:eastAsia="Arial" w:hAnsi="Arial"/>
                <w:sz w:val="14"/>
                <w:szCs w:val="14"/>
                <w:b w:val="1"/>
                <w:bCs w:val="1"/>
                <w:color w:val="FFFFFF"/>
              </w:rPr>
              <w:t>2025 STI Target</w:t>
            </w:r>
          </w:p>
        </w:tc>
        <w:tc>
          <w:tcPr>
            <w:tcW w:w="800" w:type="dxa"/>
            <w:vAlign w:val="bottom"/>
            <w:shd w:val="clear" w:color="auto" w:fill="C60C35"/>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2025 STI Payout</w:t>
            </w:r>
          </w:p>
        </w:tc>
        <w:tc>
          <w:tcPr>
            <w:tcW w:w="900" w:type="dxa"/>
            <w:vAlign w:val="bottom"/>
            <w:shd w:val="clear" w:color="auto" w:fill="C60C35"/>
          </w:tcPr>
          <w:p>
            <w:pPr>
              <w:spacing w:after="0"/>
              <w:rPr>
                <w:sz w:val="18"/>
                <w:szCs w:val="18"/>
                <w:color w:val="auto"/>
              </w:rPr>
            </w:pPr>
          </w:p>
        </w:tc>
      </w:tr>
      <w:tr>
        <w:trPr>
          <w:trHeight w:val="295"/>
        </w:trPr>
        <w:tc>
          <w:tcPr>
            <w:tcW w:w="51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2140" w:type="dxa"/>
            <w:vAlign w:val="bottom"/>
            <w:shd w:val="clear" w:color="auto" w:fill="C60C35"/>
          </w:tcPr>
          <w:p>
            <w:pPr>
              <w:jc w:val="right"/>
              <w:ind w:right="428"/>
              <w:spacing w:after="0"/>
              <w:rPr>
                <w:sz w:val="20"/>
                <w:szCs w:val="20"/>
                <w:color w:val="auto"/>
              </w:rPr>
            </w:pPr>
            <w:r>
              <w:rPr>
                <w:rFonts w:ascii="Arial" w:cs="Arial" w:eastAsia="Arial" w:hAnsi="Arial"/>
                <w:sz w:val="14"/>
                <w:szCs w:val="14"/>
                <w:b w:val="1"/>
                <w:bCs w:val="1"/>
                <w:color w:val="FFFFFF"/>
              </w:rPr>
              <w:t>% of Base Salary</w:t>
            </w:r>
          </w:p>
        </w:tc>
        <w:tc>
          <w:tcPr>
            <w:tcW w:w="800" w:type="dxa"/>
            <w:vAlign w:val="bottom"/>
            <w:shd w:val="clear" w:color="auto" w:fill="C60C35"/>
          </w:tcPr>
          <w:p>
            <w:pPr>
              <w:jc w:val="right"/>
              <w:ind w:right="528"/>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spacing w:after="0"/>
              <w:rPr>
                <w:sz w:val="24"/>
                <w:szCs w:val="24"/>
                <w:color w:val="auto"/>
              </w:rPr>
            </w:pPr>
          </w:p>
        </w:tc>
        <w:tc>
          <w:tcPr>
            <w:tcW w:w="2140" w:type="dxa"/>
            <w:vAlign w:val="bottom"/>
            <w:shd w:val="clear" w:color="auto" w:fill="C60C35"/>
          </w:tcPr>
          <w:p>
            <w:pPr>
              <w:jc w:val="right"/>
              <w:ind w:right="428"/>
              <w:spacing w:after="0"/>
              <w:rPr>
                <w:sz w:val="20"/>
                <w:szCs w:val="20"/>
                <w:color w:val="auto"/>
              </w:rPr>
            </w:pPr>
            <w:r>
              <w:rPr>
                <w:rFonts w:ascii="Arial" w:cs="Arial" w:eastAsia="Arial" w:hAnsi="Arial"/>
                <w:sz w:val="14"/>
                <w:szCs w:val="14"/>
                <w:b w:val="1"/>
                <w:bCs w:val="1"/>
                <w:color w:val="FFFFFF"/>
              </w:rPr>
              <w:t>   % of Target</w:t>
            </w:r>
          </w:p>
        </w:tc>
        <w:tc>
          <w:tcPr>
            <w:tcW w:w="900" w:type="dxa"/>
            <w:vAlign w:val="bottom"/>
            <w:shd w:val="clear" w:color="auto" w:fill="C60C35"/>
          </w:tcPr>
          <w:p>
            <w:pPr>
              <w:jc w:val="right"/>
              <w:ind w:right="628"/>
              <w:spacing w:after="0"/>
              <w:rPr>
                <w:sz w:val="20"/>
                <w:szCs w:val="20"/>
                <w:color w:val="auto"/>
              </w:rPr>
            </w:pPr>
            <w:r>
              <w:rPr>
                <w:rFonts w:ascii="Arial" w:cs="Arial" w:eastAsia="Arial" w:hAnsi="Arial"/>
                <w:sz w:val="14"/>
                <w:szCs w:val="14"/>
                <w:b w:val="1"/>
                <w:bCs w:val="1"/>
                <w:color w:val="FFFFFF"/>
              </w:rPr>
              <w:t>$</w:t>
            </w:r>
          </w:p>
        </w:tc>
      </w:tr>
      <w:tr>
        <w:trPr>
          <w:trHeight w:val="70"/>
        </w:trPr>
        <w:tc>
          <w:tcPr>
            <w:tcW w:w="5120" w:type="dxa"/>
            <w:vAlign w:val="bottom"/>
            <w:shd w:val="clear" w:color="auto" w:fill="C60C35"/>
          </w:tcPr>
          <w:p>
            <w:pPr>
              <w:spacing w:after="0"/>
              <w:rPr>
                <w:sz w:val="6"/>
                <w:szCs w:val="6"/>
                <w:color w:val="auto"/>
              </w:rPr>
            </w:pPr>
          </w:p>
        </w:tc>
        <w:tc>
          <w:tcPr>
            <w:tcW w:w="2140" w:type="dxa"/>
            <w:vAlign w:val="bottom"/>
            <w:shd w:val="clear" w:color="auto" w:fill="C60C35"/>
          </w:tcPr>
          <w:p>
            <w:pPr>
              <w:spacing w:after="0"/>
              <w:rPr>
                <w:sz w:val="6"/>
                <w:szCs w:val="6"/>
                <w:color w:val="auto"/>
              </w:rPr>
            </w:pPr>
          </w:p>
        </w:tc>
        <w:tc>
          <w:tcPr>
            <w:tcW w:w="800" w:type="dxa"/>
            <w:vAlign w:val="bottom"/>
            <w:shd w:val="clear" w:color="auto" w:fill="C60C35"/>
          </w:tcPr>
          <w:p>
            <w:pPr>
              <w:spacing w:after="0"/>
              <w:rPr>
                <w:sz w:val="6"/>
                <w:szCs w:val="6"/>
                <w:color w:val="auto"/>
              </w:rPr>
            </w:pPr>
          </w:p>
        </w:tc>
        <w:tc>
          <w:tcPr>
            <w:tcW w:w="140" w:type="dxa"/>
            <w:vAlign w:val="bottom"/>
          </w:tcPr>
          <w:p>
            <w:pPr>
              <w:spacing w:after="0"/>
              <w:rPr>
                <w:sz w:val="6"/>
                <w:szCs w:val="6"/>
                <w:color w:val="auto"/>
              </w:rPr>
            </w:pPr>
          </w:p>
        </w:tc>
        <w:tc>
          <w:tcPr>
            <w:tcW w:w="2140" w:type="dxa"/>
            <w:vAlign w:val="bottom"/>
            <w:shd w:val="clear" w:color="auto" w:fill="C60C35"/>
          </w:tcPr>
          <w:p>
            <w:pPr>
              <w:spacing w:after="0"/>
              <w:rPr>
                <w:sz w:val="6"/>
                <w:szCs w:val="6"/>
                <w:color w:val="auto"/>
              </w:rPr>
            </w:pPr>
          </w:p>
        </w:tc>
        <w:tc>
          <w:tcPr>
            <w:tcW w:w="900" w:type="dxa"/>
            <w:vAlign w:val="bottom"/>
            <w:shd w:val="clear" w:color="auto" w:fill="C60C35"/>
          </w:tcPr>
          <w:p>
            <w:pPr>
              <w:spacing w:after="0"/>
              <w:rPr>
                <w:sz w:val="6"/>
                <w:szCs w:val="6"/>
                <w:color w:val="auto"/>
              </w:rPr>
            </w:pPr>
          </w:p>
        </w:tc>
      </w:tr>
      <w:tr>
        <w:trPr>
          <w:trHeight w:val="210"/>
        </w:trPr>
        <w:tc>
          <w:tcPr>
            <w:tcW w:w="51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2140" w:type="dxa"/>
            <w:vAlign w:val="bottom"/>
            <w:tcBorders>
              <w:bottom w:val="single" w:sz="8" w:color="F1F2F2"/>
            </w:tcBorders>
            <w:shd w:val="clear" w:color="auto" w:fill="F1F2F2"/>
          </w:tcPr>
          <w:p>
            <w:pPr>
              <w:jc w:val="right"/>
              <w:ind w:right="488"/>
              <w:spacing w:after="0"/>
              <w:rPr>
                <w:sz w:val="20"/>
                <w:szCs w:val="20"/>
                <w:color w:val="auto"/>
              </w:rPr>
            </w:pPr>
            <w:r>
              <w:rPr>
                <w:rFonts w:ascii="Arial" w:cs="Arial" w:eastAsia="Arial" w:hAnsi="Arial"/>
                <w:sz w:val="14"/>
                <w:szCs w:val="14"/>
                <w:color w:val="auto"/>
              </w:rPr>
              <w:t>125</w:t>
            </w:r>
          </w:p>
        </w:tc>
        <w:tc>
          <w:tcPr>
            <w:tcW w:w="8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1,470,313</w:t>
            </w:r>
          </w:p>
        </w:tc>
        <w:tc>
          <w:tcPr>
            <w:tcW w:w="2280" w:type="dxa"/>
            <w:vAlign w:val="bottom"/>
            <w:tcBorders>
              <w:bottom w:val="single" w:sz="8" w:color="F1F2F2"/>
            </w:tcBorders>
            <w:gridSpan w:val="2"/>
            <w:shd w:val="clear" w:color="auto" w:fill="F1F2F2"/>
          </w:tcPr>
          <w:p>
            <w:pPr>
              <w:jc w:val="right"/>
              <w:ind w:right="488"/>
              <w:spacing w:after="0"/>
              <w:rPr>
                <w:sz w:val="20"/>
                <w:szCs w:val="20"/>
                <w:color w:val="auto"/>
              </w:rPr>
            </w:pPr>
            <w:r>
              <w:rPr>
                <w:rFonts w:ascii="Arial" w:cs="Arial" w:eastAsia="Arial" w:hAnsi="Arial"/>
                <w:sz w:val="14"/>
                <w:szCs w:val="14"/>
                <w:color w:val="auto"/>
              </w:rPr>
              <w:t>90</w:t>
            </w:r>
          </w:p>
        </w:tc>
        <w:tc>
          <w:tcPr>
            <w:tcW w:w="900" w:type="dxa"/>
            <w:vAlign w:val="bottom"/>
            <w:tcBorders>
              <w:bottom w:val="single" w:sz="8" w:color="F1F2F2"/>
            </w:tcBorders>
            <w:shd w:val="clear" w:color="auto" w:fill="F1F2F2"/>
          </w:tcPr>
          <w:p>
            <w:pPr>
              <w:jc w:val="right"/>
              <w:ind w:right="48"/>
              <w:spacing w:after="0"/>
              <w:rPr>
                <w:sz w:val="20"/>
                <w:szCs w:val="20"/>
                <w:color w:val="auto"/>
              </w:rPr>
            </w:pPr>
            <w:r>
              <w:rPr>
                <w:rFonts w:ascii="Arial" w:cs="Arial" w:eastAsia="Arial" w:hAnsi="Arial"/>
                <w:sz w:val="14"/>
                <w:szCs w:val="14"/>
                <w:color w:val="auto"/>
              </w:rPr>
              <w:t>1,329,604</w:t>
            </w:r>
          </w:p>
        </w:tc>
      </w:tr>
      <w:tr>
        <w:trPr>
          <w:trHeight w:val="208"/>
        </w:trPr>
        <w:tc>
          <w:tcPr>
            <w:tcW w:w="512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2140" w:type="dxa"/>
            <w:vAlign w:val="bottom"/>
          </w:tcPr>
          <w:p>
            <w:pPr>
              <w:jc w:val="right"/>
              <w:ind w:right="488"/>
              <w:spacing w:after="0"/>
              <w:rPr>
                <w:sz w:val="20"/>
                <w:szCs w:val="20"/>
                <w:color w:val="auto"/>
              </w:rPr>
            </w:pPr>
            <w:r>
              <w:rPr>
                <w:rFonts w:ascii="Arial" w:cs="Arial" w:eastAsia="Arial" w:hAnsi="Arial"/>
                <w:sz w:val="14"/>
                <w:szCs w:val="14"/>
                <w:color w:val="auto"/>
              </w:rPr>
              <w:t>75</w:t>
            </w:r>
          </w:p>
        </w:tc>
        <w:tc>
          <w:tcPr>
            <w:tcW w:w="800" w:type="dxa"/>
            <w:vAlign w:val="bottom"/>
          </w:tcPr>
          <w:p>
            <w:pPr>
              <w:jc w:val="right"/>
              <w:spacing w:after="0"/>
              <w:rPr>
                <w:sz w:val="20"/>
                <w:szCs w:val="20"/>
                <w:color w:val="auto"/>
              </w:rPr>
            </w:pPr>
            <w:r>
              <w:rPr>
                <w:rFonts w:ascii="Arial" w:cs="Arial" w:eastAsia="Arial" w:hAnsi="Arial"/>
                <w:sz w:val="14"/>
                <w:szCs w:val="14"/>
                <w:color w:val="auto"/>
              </w:rPr>
              <w:t>468,750</w:t>
            </w:r>
          </w:p>
        </w:tc>
        <w:tc>
          <w:tcPr>
            <w:tcW w:w="2280" w:type="dxa"/>
            <w:vAlign w:val="bottom"/>
            <w:gridSpan w:val="2"/>
          </w:tcPr>
          <w:p>
            <w:pPr>
              <w:jc w:val="right"/>
              <w:ind w:right="488"/>
              <w:spacing w:after="0"/>
              <w:rPr>
                <w:sz w:val="20"/>
                <w:szCs w:val="20"/>
                <w:color w:val="auto"/>
              </w:rPr>
            </w:pPr>
            <w:r>
              <w:rPr>
                <w:rFonts w:ascii="Arial" w:cs="Arial" w:eastAsia="Arial" w:hAnsi="Arial"/>
                <w:sz w:val="14"/>
                <w:szCs w:val="14"/>
                <w:color w:val="auto"/>
              </w:rPr>
              <w:t>90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423,891</w:t>
            </w:r>
          </w:p>
        </w:tc>
      </w:tr>
      <w:tr>
        <w:trPr>
          <w:trHeight w:val="22"/>
        </w:trPr>
        <w:tc>
          <w:tcPr>
            <w:tcW w:w="5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30"/>
        </w:trPr>
        <w:tc>
          <w:tcPr>
            <w:tcW w:w="51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Sarah R. Martin</w:t>
            </w:r>
            <w:r>
              <w:rPr>
                <w:rFonts w:ascii="Arial" w:cs="Arial" w:eastAsia="Arial" w:hAnsi="Arial"/>
                <w:sz w:val="18"/>
                <w:szCs w:val="18"/>
                <w:color w:val="auto"/>
                <w:vertAlign w:val="superscript"/>
              </w:rPr>
              <w:t>(1)</w:t>
            </w:r>
          </w:p>
        </w:tc>
        <w:tc>
          <w:tcPr>
            <w:tcW w:w="2140" w:type="dxa"/>
            <w:vAlign w:val="bottom"/>
            <w:shd w:val="clear" w:color="auto" w:fill="F1F2F2"/>
          </w:tcPr>
          <w:p>
            <w:pPr>
              <w:jc w:val="right"/>
              <w:ind w:right="488"/>
              <w:spacing w:after="0"/>
              <w:rPr>
                <w:sz w:val="20"/>
                <w:szCs w:val="20"/>
                <w:color w:val="auto"/>
              </w:rPr>
            </w:pPr>
            <w:r>
              <w:rPr>
                <w:rFonts w:ascii="Arial" w:cs="Arial" w:eastAsia="Arial" w:hAnsi="Arial"/>
                <w:sz w:val="14"/>
                <w:szCs w:val="14"/>
                <w:color w:val="auto"/>
              </w:rPr>
              <w:t>75</w:t>
            </w:r>
          </w:p>
        </w:tc>
        <w:tc>
          <w:tcPr>
            <w:tcW w:w="8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305,114</w:t>
            </w:r>
          </w:p>
        </w:tc>
        <w:tc>
          <w:tcPr>
            <w:tcW w:w="2280" w:type="dxa"/>
            <w:vAlign w:val="bottom"/>
            <w:gridSpan w:val="2"/>
            <w:shd w:val="clear" w:color="auto" w:fill="F1F2F2"/>
          </w:tcPr>
          <w:p>
            <w:pPr>
              <w:jc w:val="right"/>
              <w:ind w:right="488"/>
              <w:spacing w:after="0"/>
              <w:rPr>
                <w:sz w:val="20"/>
                <w:szCs w:val="20"/>
                <w:color w:val="auto"/>
              </w:rPr>
            </w:pPr>
            <w:r>
              <w:rPr>
                <w:rFonts w:ascii="Arial" w:cs="Arial" w:eastAsia="Arial" w:hAnsi="Arial"/>
                <w:sz w:val="14"/>
                <w:szCs w:val="14"/>
                <w:color w:val="auto"/>
              </w:rPr>
              <w:t>80</w:t>
            </w:r>
          </w:p>
        </w:tc>
        <w:tc>
          <w:tcPr>
            <w:tcW w:w="9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244,884</w:t>
            </w:r>
          </w:p>
        </w:tc>
      </w:tr>
      <w:tr>
        <w:trPr>
          <w:trHeight w:val="208"/>
        </w:trPr>
        <w:tc>
          <w:tcPr>
            <w:tcW w:w="512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2140" w:type="dxa"/>
            <w:vAlign w:val="bottom"/>
          </w:tcPr>
          <w:p>
            <w:pPr>
              <w:jc w:val="right"/>
              <w:ind w:right="488"/>
              <w:spacing w:after="0"/>
              <w:rPr>
                <w:sz w:val="20"/>
                <w:szCs w:val="20"/>
                <w:color w:val="auto"/>
              </w:rPr>
            </w:pPr>
            <w:r>
              <w:rPr>
                <w:rFonts w:ascii="Arial" w:cs="Arial" w:eastAsia="Arial" w:hAnsi="Arial"/>
                <w:sz w:val="14"/>
                <w:szCs w:val="14"/>
                <w:color w:val="auto"/>
              </w:rPr>
              <w:t>75</w:t>
            </w:r>
          </w:p>
        </w:tc>
        <w:tc>
          <w:tcPr>
            <w:tcW w:w="800" w:type="dxa"/>
            <w:vAlign w:val="bottom"/>
          </w:tcPr>
          <w:p>
            <w:pPr>
              <w:jc w:val="right"/>
              <w:spacing w:after="0"/>
              <w:rPr>
                <w:sz w:val="20"/>
                <w:szCs w:val="20"/>
                <w:color w:val="auto"/>
              </w:rPr>
            </w:pPr>
            <w:r>
              <w:rPr>
                <w:rFonts w:ascii="Arial" w:cs="Arial" w:eastAsia="Arial" w:hAnsi="Arial"/>
                <w:sz w:val="14"/>
                <w:szCs w:val="14"/>
                <w:color w:val="auto"/>
              </w:rPr>
              <w:t>444,375</w:t>
            </w:r>
          </w:p>
        </w:tc>
        <w:tc>
          <w:tcPr>
            <w:tcW w:w="2280" w:type="dxa"/>
            <w:vAlign w:val="bottom"/>
            <w:gridSpan w:val="2"/>
          </w:tcPr>
          <w:p>
            <w:pPr>
              <w:jc w:val="right"/>
              <w:ind w:right="488"/>
              <w:spacing w:after="0"/>
              <w:rPr>
                <w:sz w:val="20"/>
                <w:szCs w:val="20"/>
                <w:color w:val="auto"/>
              </w:rPr>
            </w:pPr>
            <w:r>
              <w:rPr>
                <w:rFonts w:ascii="Arial" w:cs="Arial" w:eastAsia="Arial" w:hAnsi="Arial"/>
                <w:sz w:val="14"/>
                <w:szCs w:val="14"/>
                <w:color w:val="auto"/>
              </w:rPr>
              <w:t>89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396,071</w:t>
            </w:r>
          </w:p>
        </w:tc>
      </w:tr>
      <w:tr>
        <w:trPr>
          <w:trHeight w:val="22"/>
        </w:trPr>
        <w:tc>
          <w:tcPr>
            <w:tcW w:w="5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8"/>
        </w:trPr>
        <w:tc>
          <w:tcPr>
            <w:tcW w:w="51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2140" w:type="dxa"/>
            <w:vAlign w:val="bottom"/>
            <w:shd w:val="clear" w:color="auto" w:fill="F1F2F2"/>
          </w:tcPr>
          <w:p>
            <w:pPr>
              <w:jc w:val="right"/>
              <w:ind w:right="488"/>
              <w:spacing w:after="0"/>
              <w:rPr>
                <w:sz w:val="20"/>
                <w:szCs w:val="20"/>
                <w:color w:val="auto"/>
              </w:rPr>
            </w:pPr>
            <w:r>
              <w:rPr>
                <w:rFonts w:ascii="Arial" w:cs="Arial" w:eastAsia="Arial" w:hAnsi="Arial"/>
                <w:sz w:val="14"/>
                <w:szCs w:val="14"/>
                <w:color w:val="auto"/>
              </w:rPr>
              <w:t>75</w:t>
            </w:r>
          </w:p>
        </w:tc>
        <w:tc>
          <w:tcPr>
            <w:tcW w:w="8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456,563</w:t>
            </w:r>
          </w:p>
        </w:tc>
        <w:tc>
          <w:tcPr>
            <w:tcW w:w="2280" w:type="dxa"/>
            <w:vAlign w:val="bottom"/>
            <w:gridSpan w:val="2"/>
            <w:shd w:val="clear" w:color="auto" w:fill="F1F2F2"/>
          </w:tcPr>
          <w:p>
            <w:pPr>
              <w:jc w:val="right"/>
              <w:ind w:right="488"/>
              <w:spacing w:after="0"/>
              <w:rPr>
                <w:sz w:val="20"/>
                <w:szCs w:val="20"/>
                <w:color w:val="auto"/>
              </w:rPr>
            </w:pPr>
            <w:r>
              <w:rPr>
                <w:rFonts w:ascii="Arial" w:cs="Arial" w:eastAsia="Arial" w:hAnsi="Arial"/>
                <w:sz w:val="14"/>
                <w:szCs w:val="14"/>
                <w:color w:val="auto"/>
              </w:rPr>
              <w:t>90</w:t>
            </w:r>
          </w:p>
        </w:tc>
        <w:tc>
          <w:tcPr>
            <w:tcW w:w="90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412,869</w:t>
            </w:r>
          </w:p>
        </w:tc>
      </w:tr>
      <w:tr>
        <w:trPr>
          <w:trHeight w:val="22"/>
        </w:trPr>
        <w:tc>
          <w:tcPr>
            <w:tcW w:w="5120" w:type="dxa"/>
            <w:vAlign w:val="bottom"/>
            <w:shd w:val="clear" w:color="auto" w:fill="F1F2F2"/>
          </w:tcPr>
          <w:p>
            <w:pPr>
              <w:spacing w:after="0" w:line="20" w:lineRule="exact"/>
              <w:rPr>
                <w:sz w:val="1"/>
                <w:szCs w:val="1"/>
                <w:color w:val="auto"/>
              </w:rPr>
            </w:pPr>
          </w:p>
        </w:tc>
        <w:tc>
          <w:tcPr>
            <w:tcW w:w="2140" w:type="dxa"/>
            <w:vAlign w:val="bottom"/>
            <w:shd w:val="clear" w:color="auto" w:fill="F1F2F2"/>
          </w:tcPr>
          <w:p>
            <w:pPr>
              <w:spacing w:after="0" w:line="20" w:lineRule="exact"/>
              <w:rPr>
                <w:sz w:val="1"/>
                <w:szCs w:val="1"/>
                <w:color w:val="auto"/>
              </w:rPr>
            </w:pPr>
          </w:p>
        </w:tc>
        <w:tc>
          <w:tcPr>
            <w:tcW w:w="800" w:type="dxa"/>
            <w:vAlign w:val="bottom"/>
            <w:shd w:val="clear" w:color="auto" w:fill="F1F2F2"/>
          </w:tcPr>
          <w:p>
            <w:pPr>
              <w:spacing w:after="0" w:line="20" w:lineRule="exact"/>
              <w:rPr>
                <w:sz w:val="1"/>
                <w:szCs w:val="1"/>
                <w:color w:val="auto"/>
              </w:rPr>
            </w:pPr>
          </w:p>
        </w:tc>
        <w:tc>
          <w:tcPr>
            <w:tcW w:w="140" w:type="dxa"/>
            <w:vAlign w:val="bottom"/>
            <w:shd w:val="clear" w:color="auto" w:fill="F1F2F2"/>
          </w:tcPr>
          <w:p>
            <w:pPr>
              <w:spacing w:after="0" w:line="20" w:lineRule="exact"/>
              <w:rPr>
                <w:sz w:val="1"/>
                <w:szCs w:val="1"/>
                <w:color w:val="auto"/>
              </w:rPr>
            </w:pPr>
          </w:p>
        </w:tc>
        <w:tc>
          <w:tcPr>
            <w:tcW w:w="2140" w:type="dxa"/>
            <w:vAlign w:val="bottom"/>
            <w:shd w:val="clear" w:color="auto" w:fill="F1F2F2"/>
          </w:tcPr>
          <w:p>
            <w:pPr>
              <w:spacing w:after="0" w:line="20" w:lineRule="exact"/>
              <w:rPr>
                <w:sz w:val="1"/>
                <w:szCs w:val="1"/>
                <w:color w:val="auto"/>
              </w:rPr>
            </w:pPr>
          </w:p>
        </w:tc>
        <w:tc>
          <w:tcPr>
            <w:tcW w:w="900" w:type="dxa"/>
            <w:vAlign w:val="bottom"/>
            <w:shd w:val="clear" w:color="auto" w:fill="F1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-916940</wp:posOffset>
            </wp:positionV>
            <wp:extent cx="38233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STI payout for Ms. Martin was prorated based on her start date of April 28, 2025.</w:t>
      </w:r>
    </w:p>
    <w:p>
      <w:pPr>
        <w:spacing w:after="0" w:line="20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The short-term incentive payments made to the NEOs for 2025, which were approved by the Committee on February 25, 2026, and paid on March 13, 2026, are included in the 2025 Summary Compensation Table under “Non-Equity Incentive Plan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Long-Term Incentive Program</w:t>
      </w:r>
    </w:p>
    <w:p>
      <w:pPr>
        <w:spacing w:after="0" w:line="156"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LTI Program is designed to incentivize those employees who have principal responsibility for our long-term profitability. We believe participation in our LTI Program aligns the interests of our NEOs with the interests of our stockholders.</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4" w:name="page45"/>
    <w:bookmarkEnd w:id="44"/>
    <w:p>
      <w:pPr>
        <w:ind w:right="20" w:firstLine="324"/>
        <w:spacing w:after="0" w:line="252" w:lineRule="auto"/>
        <w:rPr>
          <w:sz w:val="20"/>
          <w:szCs w:val="20"/>
          <w:color w:val="auto"/>
        </w:rPr>
      </w:pPr>
      <w:r>
        <w:rPr>
          <w:rFonts w:ascii="Arial" w:cs="Arial" w:eastAsia="Arial" w:hAnsi="Arial"/>
          <w:sz w:val="18"/>
          <w:szCs w:val="18"/>
          <w:color w:val="auto"/>
        </w:rPr>
        <w:t>We use a mix of PSUs, RSUs, and SARs in our LTI Program. PSUs and SARs reward performance, as measured by achievement of specified financial objectives for PSUs and stock price growth for SARs. RSUs help us retain key members of management through time-based vesting. The Committee allocated the mix of elements in our LTI Program in a manner designed to drive Company performance, retain key talent, and provide competitive compensation.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annual Lennox long-term incentive award allocations for our NEOs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154940</wp:posOffset>
            </wp:positionV>
            <wp:extent cx="2057400" cy="1929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05740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Committee determines the grant date for all long-term incentive awards, which is three trading days following the fourth quarter earnings release. The Committee sets the exercise price of our SARs at 100% of fair market value, which is defined as the average of the high and low NYSE trading prices of our common stock on the date of grant.</w:t>
      </w:r>
    </w:p>
    <w:p>
      <w:pPr>
        <w:spacing w:after="0" w:line="108"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target award values under our LTI Program are based on Market data for similar positions using the 50th percentile as a guideline. The number of shares available for grant under the 2019 Equity and Incentive Compensation Plan is also considered. The Committee established the target award values at or near the 50th percentile of the Market for all NEOs. When determining the award for each NEO, the Committee, and, with respect to the CEO, the independent Board members, considered the NEO’s time in position, individual performance and potential, impact on the financial performance of the Company, and internal equity.</w:t>
      </w:r>
    </w:p>
    <w:p>
      <w:pPr>
        <w:spacing w:after="0" w:line="119" w:lineRule="exact"/>
        <w:rPr>
          <w:sz w:val="20"/>
          <w:szCs w:val="20"/>
          <w:color w:val="auto"/>
        </w:rPr>
      </w:pPr>
    </w:p>
    <w:p>
      <w:pPr>
        <w:ind w:right="180" w:firstLine="324"/>
        <w:spacing w:after="0" w:line="271" w:lineRule="auto"/>
        <w:rPr>
          <w:sz w:val="20"/>
          <w:szCs w:val="20"/>
          <w:color w:val="auto"/>
        </w:rPr>
      </w:pPr>
      <w:r>
        <w:rPr>
          <w:rFonts w:ascii="Arial" w:cs="Arial" w:eastAsia="Arial" w:hAnsi="Arial"/>
          <w:sz w:val="18"/>
          <w:szCs w:val="18"/>
          <w:color w:val="auto"/>
        </w:rPr>
        <w:t>Once the Committee, or independent Board members with respect to the CEO, determined the target long-term incentive award values for each NEO for the grants, 50% of the value was provided as PSUs, 30% as RSUs, and 20% as SARs.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target award values and number of awards granted for each NEO: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shd w:val="clear" w:color="auto" w:fill="C60C35"/>
          </w:tcPr>
          <w:p>
            <w:pPr>
              <w:spacing w:after="0"/>
              <w:rPr>
                <w:sz w:val="18"/>
                <w:szCs w:val="18"/>
                <w:color w:val="auto"/>
              </w:rPr>
            </w:pPr>
          </w:p>
        </w:tc>
        <w:tc>
          <w:tcPr>
            <w:tcW w:w="3840" w:type="dxa"/>
            <w:vAlign w:val="bottom"/>
            <w:gridSpan w:val="3"/>
            <w:shd w:val="clear" w:color="auto" w:fill="C60C35"/>
          </w:tcPr>
          <w:p>
            <w:pPr>
              <w:jc w:val="right"/>
              <w:spacing w:after="0"/>
              <w:rPr>
                <w:sz w:val="20"/>
                <w:szCs w:val="20"/>
                <w:color w:val="auto"/>
              </w:rPr>
            </w:pPr>
            <w:r>
              <w:rPr>
                <w:rFonts w:ascii="Arial" w:cs="Arial" w:eastAsia="Arial" w:hAnsi="Arial"/>
                <w:sz w:val="14"/>
                <w:szCs w:val="14"/>
                <w:b w:val="1"/>
                <w:bCs w:val="1"/>
                <w:color w:val="FFFFFF"/>
              </w:rPr>
              <w:t>Target Award Value for February 2025 Awards</w:t>
            </w:r>
          </w:p>
        </w:tc>
        <w:tc>
          <w:tcPr>
            <w:tcW w:w="680" w:type="dxa"/>
            <w:vAlign w:val="bottom"/>
            <w:shd w:val="clear" w:color="auto" w:fill="C60C35"/>
          </w:tcPr>
          <w:p>
            <w:pPr>
              <w:spacing w:after="0"/>
              <w:rPr>
                <w:sz w:val="18"/>
                <w:szCs w:val="18"/>
                <w:color w:val="auto"/>
              </w:rPr>
            </w:pPr>
          </w:p>
        </w:tc>
        <w:tc>
          <w:tcPr>
            <w:tcW w:w="140" w:type="dxa"/>
            <w:vAlign w:val="bottom"/>
          </w:tcPr>
          <w:p>
            <w:pPr>
              <w:spacing w:after="0"/>
              <w:rPr>
                <w:sz w:val="18"/>
                <w:szCs w:val="18"/>
                <w:color w:val="auto"/>
              </w:rPr>
            </w:pPr>
          </w:p>
        </w:tc>
        <w:tc>
          <w:tcPr>
            <w:tcW w:w="3640" w:type="dxa"/>
            <w:vAlign w:val="bottom"/>
            <w:gridSpan w:val="3"/>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Awards Granted in February 2025</w:t>
            </w:r>
          </w:p>
        </w:tc>
        <w:tc>
          <w:tcPr>
            <w:tcW w:w="620" w:type="dxa"/>
            <w:vAlign w:val="bottom"/>
            <w:shd w:val="clear" w:color="auto" w:fill="C60C35"/>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2320" w:type="dxa"/>
            <w:vAlign w:val="bottom"/>
            <w:shd w:val="clear" w:color="auto" w:fill="C60C35"/>
          </w:tcPr>
          <w:p>
            <w:pPr>
              <w:spacing w:after="0"/>
              <w:rPr>
                <w:sz w:val="23"/>
                <w:szCs w:val="23"/>
                <w:color w:val="auto"/>
              </w:rPr>
            </w:pPr>
          </w:p>
        </w:tc>
        <w:tc>
          <w:tcPr>
            <w:tcW w:w="114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PSUs</w:t>
            </w:r>
          </w:p>
        </w:tc>
        <w:tc>
          <w:tcPr>
            <w:tcW w:w="112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RSUs</w:t>
            </w:r>
          </w:p>
        </w:tc>
        <w:tc>
          <w:tcPr>
            <w:tcW w:w="1580" w:type="dxa"/>
            <w:vAlign w:val="bottom"/>
            <w:vMerge w:val="restart"/>
            <w:shd w:val="clear" w:color="auto" w:fill="C60C35"/>
          </w:tcPr>
          <w:p>
            <w:pPr>
              <w:jc w:val="right"/>
              <w:ind w:right="408"/>
              <w:spacing w:after="0"/>
              <w:rPr>
                <w:sz w:val="20"/>
                <w:szCs w:val="20"/>
                <w:color w:val="auto"/>
              </w:rPr>
            </w:pPr>
            <w:r>
              <w:rPr>
                <w:rFonts w:ascii="Arial" w:cs="Arial" w:eastAsia="Arial" w:hAnsi="Arial"/>
                <w:sz w:val="14"/>
                <w:szCs w:val="14"/>
                <w:b w:val="1"/>
                <w:bCs w:val="1"/>
                <w:color w:val="FFFFFF"/>
              </w:rPr>
              <w:t>SARs</w:t>
            </w:r>
          </w:p>
        </w:tc>
        <w:tc>
          <w:tcPr>
            <w:tcW w:w="68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Total</w:t>
            </w:r>
          </w:p>
        </w:tc>
        <w:tc>
          <w:tcPr>
            <w:tcW w:w="140" w:type="dxa"/>
            <w:vAlign w:val="bottom"/>
          </w:tcPr>
          <w:p>
            <w:pPr>
              <w:spacing w:after="0"/>
              <w:rPr>
                <w:sz w:val="23"/>
                <w:szCs w:val="23"/>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PSUs at</w:t>
            </w:r>
          </w:p>
        </w:tc>
        <w:tc>
          <w:tcPr>
            <w:tcW w:w="1040" w:type="dxa"/>
            <w:vAlign w:val="bottom"/>
            <w:vMerge w:val="restart"/>
            <w:shd w:val="clear" w:color="auto" w:fill="C60C35"/>
          </w:tcPr>
          <w:p>
            <w:pPr>
              <w:jc w:val="right"/>
              <w:spacing w:after="0"/>
              <w:rPr>
                <w:sz w:val="20"/>
                <w:szCs w:val="20"/>
                <w:color w:val="auto"/>
              </w:rPr>
            </w:pPr>
            <w:r>
              <w:rPr>
                <w:rFonts w:ascii="Arial" w:cs="Arial" w:eastAsia="Arial" w:hAnsi="Arial"/>
                <w:sz w:val="14"/>
                <w:szCs w:val="14"/>
                <w:b w:val="1"/>
                <w:bCs w:val="1"/>
                <w:color w:val="FFFFFF"/>
              </w:rPr>
              <w:t>RSUs</w:t>
            </w:r>
            <w:r>
              <w:rPr>
                <w:rFonts w:ascii="Arial" w:cs="Arial" w:eastAsia="Arial" w:hAnsi="Arial"/>
                <w:sz w:val="18"/>
                <w:szCs w:val="18"/>
                <w:b w:val="1"/>
                <w:bCs w:val="1"/>
                <w:color w:val="FFFFFF"/>
                <w:vertAlign w:val="superscript"/>
              </w:rPr>
              <w:t>(1)</w:t>
            </w:r>
          </w:p>
        </w:tc>
        <w:tc>
          <w:tcPr>
            <w:tcW w:w="1560" w:type="dxa"/>
            <w:vAlign w:val="bottom"/>
            <w:vMerge w:val="restart"/>
            <w:shd w:val="clear" w:color="auto" w:fill="C60C35"/>
          </w:tcPr>
          <w:p>
            <w:pPr>
              <w:jc w:val="right"/>
              <w:ind w:right="468"/>
              <w:spacing w:after="0"/>
              <w:rPr>
                <w:sz w:val="20"/>
                <w:szCs w:val="20"/>
                <w:color w:val="auto"/>
              </w:rPr>
            </w:pPr>
            <w:r>
              <w:rPr>
                <w:rFonts w:ascii="Arial" w:cs="Arial" w:eastAsia="Arial" w:hAnsi="Arial"/>
                <w:sz w:val="14"/>
                <w:szCs w:val="14"/>
                <w:b w:val="1"/>
                <w:bCs w:val="1"/>
                <w:color w:val="FFFFFF"/>
              </w:rPr>
              <w:t>SARs</w:t>
            </w:r>
            <w:r>
              <w:rPr>
                <w:rFonts w:ascii="Arial" w:cs="Arial" w:eastAsia="Arial" w:hAnsi="Arial"/>
                <w:sz w:val="18"/>
                <w:szCs w:val="18"/>
                <w:b w:val="1"/>
                <w:bCs w:val="1"/>
                <w:color w:val="FFFFFF"/>
                <w:vertAlign w:val="superscript"/>
              </w:rPr>
              <w:t>(2)</w:t>
            </w:r>
          </w:p>
        </w:tc>
        <w:tc>
          <w:tcPr>
            <w:tcW w:w="620" w:type="dxa"/>
            <w:vAlign w:val="bottom"/>
            <w:vMerge w:val="restart"/>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4"/>
        </w:trPr>
        <w:tc>
          <w:tcPr>
            <w:tcW w:w="2320" w:type="dxa"/>
            <w:vAlign w:val="bottom"/>
            <w:shd w:val="clear" w:color="auto" w:fill="C60C35"/>
          </w:tcPr>
          <w:p>
            <w:pPr>
              <w:spacing w:after="0"/>
              <w:rPr>
                <w:sz w:val="14"/>
                <w:szCs w:val="14"/>
                <w:color w:val="auto"/>
              </w:rPr>
            </w:pPr>
          </w:p>
        </w:tc>
        <w:tc>
          <w:tcPr>
            <w:tcW w:w="1140" w:type="dxa"/>
            <w:vAlign w:val="bottom"/>
            <w:vMerge w:val="continue"/>
            <w:shd w:val="clear" w:color="auto" w:fill="C60C35"/>
          </w:tcPr>
          <w:p>
            <w:pPr>
              <w:spacing w:after="0"/>
              <w:rPr>
                <w:sz w:val="14"/>
                <w:szCs w:val="14"/>
                <w:color w:val="auto"/>
              </w:rPr>
            </w:pPr>
          </w:p>
        </w:tc>
        <w:tc>
          <w:tcPr>
            <w:tcW w:w="1120" w:type="dxa"/>
            <w:vAlign w:val="bottom"/>
            <w:vMerge w:val="continue"/>
            <w:shd w:val="clear" w:color="auto" w:fill="C60C35"/>
          </w:tcPr>
          <w:p>
            <w:pPr>
              <w:spacing w:after="0"/>
              <w:rPr>
                <w:sz w:val="14"/>
                <w:szCs w:val="14"/>
                <w:color w:val="auto"/>
              </w:rPr>
            </w:pPr>
          </w:p>
        </w:tc>
        <w:tc>
          <w:tcPr>
            <w:tcW w:w="1580" w:type="dxa"/>
            <w:vAlign w:val="bottom"/>
            <w:vMerge w:val="continue"/>
            <w:shd w:val="clear" w:color="auto" w:fill="C60C35"/>
          </w:tcPr>
          <w:p>
            <w:pPr>
              <w:spacing w:after="0"/>
              <w:rPr>
                <w:sz w:val="14"/>
                <w:szCs w:val="14"/>
                <w:color w:val="auto"/>
              </w:rPr>
            </w:pPr>
          </w:p>
        </w:tc>
        <w:tc>
          <w:tcPr>
            <w:tcW w:w="680" w:type="dxa"/>
            <w:vAlign w:val="bottom"/>
            <w:vMerge w:val="continue"/>
            <w:shd w:val="clear" w:color="auto" w:fill="C60C35"/>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shd w:val="clear" w:color="auto" w:fill="C60C35"/>
          </w:tcPr>
          <w:p>
            <w:pPr>
              <w:jc w:val="right"/>
              <w:spacing w:after="0" w:line="164" w:lineRule="exact"/>
              <w:rPr>
                <w:sz w:val="20"/>
                <w:szCs w:val="20"/>
                <w:color w:val="auto"/>
              </w:rPr>
            </w:pPr>
            <w:r>
              <w:rPr>
                <w:rFonts w:ascii="Arial" w:cs="Arial" w:eastAsia="Arial" w:hAnsi="Arial"/>
                <w:sz w:val="14"/>
                <w:szCs w:val="14"/>
                <w:b w:val="1"/>
                <w:bCs w:val="1"/>
                <w:color w:val="FFFFFF"/>
              </w:rPr>
              <w:t>Target</w:t>
            </w:r>
            <w:r>
              <w:rPr>
                <w:rFonts w:ascii="Arial" w:cs="Arial" w:eastAsia="Arial" w:hAnsi="Arial"/>
                <w:sz w:val="18"/>
                <w:szCs w:val="18"/>
                <w:b w:val="1"/>
                <w:bCs w:val="1"/>
                <w:color w:val="FFFFFF"/>
                <w:vertAlign w:val="superscript"/>
              </w:rPr>
              <w:t>(1)</w:t>
            </w:r>
          </w:p>
        </w:tc>
        <w:tc>
          <w:tcPr>
            <w:tcW w:w="1040" w:type="dxa"/>
            <w:vAlign w:val="bottom"/>
            <w:vMerge w:val="continue"/>
            <w:shd w:val="clear" w:color="auto" w:fill="C60C35"/>
          </w:tcPr>
          <w:p>
            <w:pPr>
              <w:spacing w:after="0"/>
              <w:rPr>
                <w:sz w:val="14"/>
                <w:szCs w:val="14"/>
                <w:color w:val="auto"/>
              </w:rPr>
            </w:pPr>
          </w:p>
        </w:tc>
        <w:tc>
          <w:tcPr>
            <w:tcW w:w="1560" w:type="dxa"/>
            <w:vAlign w:val="bottom"/>
            <w:vMerge w:val="continue"/>
            <w:shd w:val="clear" w:color="auto" w:fill="C60C35"/>
          </w:tcPr>
          <w:p>
            <w:pPr>
              <w:spacing w:after="0"/>
              <w:rPr>
                <w:sz w:val="14"/>
                <w:szCs w:val="14"/>
                <w:color w:val="auto"/>
              </w:rPr>
            </w:pPr>
          </w:p>
        </w:tc>
        <w:tc>
          <w:tcPr>
            <w:tcW w:w="620" w:type="dxa"/>
            <w:vAlign w:val="bottom"/>
            <w:vMerge w:val="continue"/>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32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1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1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580" w:type="dxa"/>
            <w:vAlign w:val="bottom"/>
            <w:tcBorders>
              <w:bottom w:val="single" w:sz="8" w:color="C60C35"/>
            </w:tcBorders>
            <w:shd w:val="clear" w:color="auto" w:fill="C60C35"/>
          </w:tcPr>
          <w:p>
            <w:pPr>
              <w:jc w:val="right"/>
              <w:ind w:right="408"/>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40" w:type="dxa"/>
            <w:vAlign w:val="bottom"/>
          </w:tcPr>
          <w:p>
            <w:pPr>
              <w:spacing w:after="0"/>
              <w:rPr>
                <w:sz w:val="21"/>
                <w:szCs w:val="21"/>
                <w:color w:val="auto"/>
              </w:rPr>
            </w:pP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560" w:type="dxa"/>
            <w:vAlign w:val="bottom"/>
            <w:tcBorders>
              <w:bottom w:val="single" w:sz="8" w:color="C60C35"/>
            </w:tcBorders>
            <w:shd w:val="clear" w:color="auto" w:fill="C60C35"/>
          </w:tcPr>
          <w:p>
            <w:pPr>
              <w:jc w:val="right"/>
              <w:ind w:right="468"/>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C60C35"/>
            </w:tcBorders>
            <w:shd w:val="clear" w:color="auto" w:fill="C60C35"/>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23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3,250,000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1,950,000</w:t>
            </w:r>
          </w:p>
        </w:tc>
        <w:tc>
          <w:tcPr>
            <w:tcW w:w="1580" w:type="dxa"/>
            <w:vAlign w:val="bottom"/>
            <w:shd w:val="clear" w:color="auto" w:fill="F1F2F2"/>
          </w:tcPr>
          <w:p>
            <w:pPr>
              <w:jc w:val="right"/>
              <w:ind w:right="408"/>
              <w:spacing w:after="0"/>
              <w:rPr>
                <w:sz w:val="20"/>
                <w:szCs w:val="20"/>
                <w:color w:val="auto"/>
              </w:rPr>
            </w:pPr>
            <w:r>
              <w:rPr>
                <w:rFonts w:ascii="Arial" w:cs="Arial" w:eastAsia="Arial" w:hAnsi="Arial"/>
                <w:sz w:val="14"/>
                <w:szCs w:val="14"/>
                <w:color w:val="auto"/>
              </w:rPr>
              <w:t>1,300,000</w:t>
            </w:r>
          </w:p>
        </w:tc>
        <w:tc>
          <w:tcPr>
            <w:tcW w:w="68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6,500,000</w:t>
            </w:r>
          </w:p>
        </w:tc>
        <w:tc>
          <w:tcPr>
            <w:tcW w:w="118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5,018</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3,011</w:t>
            </w:r>
          </w:p>
        </w:tc>
        <w:tc>
          <w:tcPr>
            <w:tcW w:w="156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7,120</w:t>
            </w:r>
          </w:p>
        </w:tc>
        <w:tc>
          <w:tcPr>
            <w:tcW w:w="62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15,149</w:t>
            </w:r>
          </w:p>
        </w:tc>
        <w:tc>
          <w:tcPr>
            <w:tcW w:w="0" w:type="dxa"/>
            <w:vAlign w:val="bottom"/>
          </w:tcPr>
          <w:p>
            <w:pPr>
              <w:spacing w:after="0"/>
              <w:rPr>
                <w:sz w:val="1"/>
                <w:szCs w:val="1"/>
                <w:color w:val="auto"/>
              </w:rPr>
            </w:pPr>
          </w:p>
        </w:tc>
      </w:tr>
      <w:tr>
        <w:trPr>
          <w:trHeight w:val="222"/>
        </w:trPr>
        <w:tc>
          <w:tcPr>
            <w:tcW w:w="232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140" w:type="dxa"/>
            <w:vAlign w:val="bottom"/>
          </w:tcPr>
          <w:p>
            <w:pPr>
              <w:jc w:val="right"/>
              <w:spacing w:after="0"/>
              <w:rPr>
                <w:sz w:val="20"/>
                <w:szCs w:val="20"/>
                <w:color w:val="auto"/>
              </w:rPr>
            </w:pPr>
            <w:r>
              <w:rPr>
                <w:rFonts w:ascii="Arial" w:cs="Arial" w:eastAsia="Arial" w:hAnsi="Arial"/>
                <w:sz w:val="14"/>
                <w:szCs w:val="14"/>
                <w:color w:val="auto"/>
              </w:rPr>
              <w:t>675,000</w:t>
            </w:r>
          </w:p>
        </w:tc>
        <w:tc>
          <w:tcPr>
            <w:tcW w:w="1120" w:type="dxa"/>
            <w:vAlign w:val="bottom"/>
          </w:tcPr>
          <w:p>
            <w:pPr>
              <w:jc w:val="right"/>
              <w:spacing w:after="0"/>
              <w:rPr>
                <w:sz w:val="20"/>
                <w:szCs w:val="20"/>
                <w:color w:val="auto"/>
              </w:rPr>
            </w:pPr>
            <w:r>
              <w:rPr>
                <w:rFonts w:ascii="Arial" w:cs="Arial" w:eastAsia="Arial" w:hAnsi="Arial"/>
                <w:sz w:val="14"/>
                <w:szCs w:val="14"/>
                <w:color w:val="auto"/>
              </w:rPr>
              <w:t>405,000</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270,000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1,350,000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1,042</w:t>
            </w:r>
          </w:p>
        </w:tc>
        <w:tc>
          <w:tcPr>
            <w:tcW w:w="1040" w:type="dxa"/>
            <w:vAlign w:val="bottom"/>
          </w:tcPr>
          <w:p>
            <w:pPr>
              <w:jc w:val="right"/>
              <w:spacing w:after="0"/>
              <w:rPr>
                <w:sz w:val="20"/>
                <w:szCs w:val="20"/>
                <w:color w:val="auto"/>
              </w:rPr>
            </w:pPr>
            <w:r>
              <w:rPr>
                <w:rFonts w:ascii="Arial" w:cs="Arial" w:eastAsia="Arial" w:hAnsi="Arial"/>
                <w:sz w:val="14"/>
                <w:szCs w:val="14"/>
                <w:color w:val="auto"/>
              </w:rPr>
              <w:t>625</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1,479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3,146</w:t>
            </w:r>
          </w:p>
        </w:tc>
        <w:tc>
          <w:tcPr>
            <w:tcW w:w="0" w:type="dxa"/>
            <w:vAlign w:val="bottom"/>
          </w:tcPr>
          <w:p>
            <w:pPr>
              <w:spacing w:after="0"/>
              <w:rPr>
                <w:sz w:val="1"/>
                <w:szCs w:val="1"/>
                <w:color w:val="auto"/>
              </w:rPr>
            </w:pPr>
          </w:p>
        </w:tc>
      </w:tr>
      <w:tr>
        <w:trPr>
          <w:trHeight w:val="237"/>
        </w:trPr>
        <w:tc>
          <w:tcPr>
            <w:tcW w:w="23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Sarah R. Martin</w:t>
            </w:r>
            <w:r>
              <w:rPr>
                <w:rFonts w:ascii="Arial" w:cs="Arial" w:eastAsia="Arial" w:hAnsi="Arial"/>
                <w:sz w:val="18"/>
                <w:szCs w:val="18"/>
                <w:color w:val="auto"/>
                <w:vertAlign w:val="superscript"/>
              </w:rPr>
              <w:t>(3)</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F1F2F2"/>
          </w:tcPr>
          <w:p>
            <w:pPr>
              <w:jc w:val="right"/>
              <w:ind w:right="408"/>
              <w:spacing w:after="0"/>
              <w:rPr>
                <w:sz w:val="20"/>
                <w:szCs w:val="20"/>
                <w:color w:val="auto"/>
              </w:rPr>
            </w:pPr>
            <w:r>
              <w:rPr>
                <w:rFonts w:ascii="Arial" w:cs="Arial" w:eastAsia="Arial" w:hAnsi="Arial"/>
                <w:sz w:val="14"/>
                <w:szCs w:val="14"/>
                <w:color w:val="auto"/>
              </w:rPr>
              <w:t>—</w:t>
            </w:r>
          </w:p>
        </w:tc>
        <w:tc>
          <w:tcPr>
            <w:tcW w:w="68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F1F2F2"/>
          </w:tcPr>
          <w:p>
            <w:pPr>
              <w:spacing w:after="0"/>
              <w:rPr>
                <w:sz w:val="20"/>
                <w:szCs w:val="20"/>
                <w:color w:val="auto"/>
              </w:rPr>
            </w:pP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w:t>
            </w:r>
          </w:p>
        </w:tc>
        <w:tc>
          <w:tcPr>
            <w:tcW w:w="62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32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1140" w:type="dxa"/>
            <w:vAlign w:val="bottom"/>
          </w:tcPr>
          <w:p>
            <w:pPr>
              <w:jc w:val="right"/>
              <w:spacing w:after="0"/>
              <w:rPr>
                <w:sz w:val="20"/>
                <w:szCs w:val="20"/>
                <w:color w:val="auto"/>
              </w:rPr>
            </w:pPr>
            <w:r>
              <w:rPr>
                <w:rFonts w:ascii="Arial" w:cs="Arial" w:eastAsia="Arial" w:hAnsi="Arial"/>
                <w:sz w:val="14"/>
                <w:szCs w:val="14"/>
                <w:color w:val="auto"/>
              </w:rPr>
              <w:t>650,000</w:t>
            </w:r>
          </w:p>
        </w:tc>
        <w:tc>
          <w:tcPr>
            <w:tcW w:w="1120" w:type="dxa"/>
            <w:vAlign w:val="bottom"/>
          </w:tcPr>
          <w:p>
            <w:pPr>
              <w:jc w:val="right"/>
              <w:spacing w:after="0"/>
              <w:rPr>
                <w:sz w:val="20"/>
                <w:szCs w:val="20"/>
                <w:color w:val="auto"/>
              </w:rPr>
            </w:pPr>
            <w:r>
              <w:rPr>
                <w:rFonts w:ascii="Arial" w:cs="Arial" w:eastAsia="Arial" w:hAnsi="Arial"/>
                <w:sz w:val="14"/>
                <w:szCs w:val="14"/>
                <w:color w:val="auto"/>
              </w:rPr>
              <w:t>390,000</w:t>
            </w: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260,000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1,300,000</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1,004</w:t>
            </w:r>
          </w:p>
        </w:tc>
        <w:tc>
          <w:tcPr>
            <w:tcW w:w="1040" w:type="dxa"/>
            <w:vAlign w:val="bottom"/>
          </w:tcPr>
          <w:p>
            <w:pPr>
              <w:jc w:val="right"/>
              <w:spacing w:after="0"/>
              <w:rPr>
                <w:sz w:val="20"/>
                <w:szCs w:val="20"/>
                <w:color w:val="auto"/>
              </w:rPr>
            </w:pPr>
            <w:r>
              <w:rPr>
                <w:rFonts w:ascii="Arial" w:cs="Arial" w:eastAsia="Arial" w:hAnsi="Arial"/>
                <w:sz w:val="14"/>
                <w:szCs w:val="14"/>
                <w:color w:val="auto"/>
              </w:rPr>
              <w:t>602</w:t>
            </w:r>
          </w:p>
        </w:tc>
        <w:tc>
          <w:tcPr>
            <w:tcW w:w="1560" w:type="dxa"/>
            <w:vAlign w:val="bottom"/>
          </w:tcPr>
          <w:p>
            <w:pPr>
              <w:jc w:val="right"/>
              <w:ind w:right="468"/>
              <w:spacing w:after="0"/>
              <w:rPr>
                <w:sz w:val="20"/>
                <w:szCs w:val="20"/>
                <w:color w:val="auto"/>
              </w:rPr>
            </w:pPr>
            <w:r>
              <w:rPr>
                <w:rFonts w:ascii="Arial" w:cs="Arial" w:eastAsia="Arial" w:hAnsi="Arial"/>
                <w:sz w:val="14"/>
                <w:szCs w:val="14"/>
                <w:color w:val="auto"/>
              </w:rPr>
              <w:t>1,424</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237"/>
        </w:trPr>
        <w:tc>
          <w:tcPr>
            <w:tcW w:w="23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11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625,000</w:t>
            </w:r>
          </w:p>
        </w:tc>
        <w:tc>
          <w:tcPr>
            <w:tcW w:w="11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375,000</w:t>
            </w:r>
          </w:p>
        </w:tc>
        <w:tc>
          <w:tcPr>
            <w:tcW w:w="1580" w:type="dxa"/>
            <w:vAlign w:val="bottom"/>
            <w:shd w:val="clear" w:color="auto" w:fill="F1F2F2"/>
          </w:tcPr>
          <w:p>
            <w:pPr>
              <w:jc w:val="right"/>
              <w:ind w:right="408"/>
              <w:spacing w:after="0"/>
              <w:rPr>
                <w:sz w:val="20"/>
                <w:szCs w:val="20"/>
                <w:color w:val="auto"/>
              </w:rPr>
            </w:pPr>
            <w:r>
              <w:rPr>
                <w:rFonts w:ascii="Arial" w:cs="Arial" w:eastAsia="Arial" w:hAnsi="Arial"/>
                <w:sz w:val="14"/>
                <w:szCs w:val="14"/>
                <w:color w:val="auto"/>
              </w:rPr>
              <w:t>250,000</w:t>
            </w:r>
          </w:p>
        </w:tc>
        <w:tc>
          <w:tcPr>
            <w:tcW w:w="68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1,250,000</w:t>
            </w:r>
          </w:p>
        </w:tc>
        <w:tc>
          <w:tcPr>
            <w:tcW w:w="1180" w:type="dxa"/>
            <w:vAlign w:val="bottom"/>
            <w:gridSpan w:val="2"/>
            <w:shd w:val="clear" w:color="auto" w:fill="F1F2F2"/>
          </w:tcPr>
          <w:p>
            <w:pPr>
              <w:jc w:val="right"/>
              <w:spacing w:after="0"/>
              <w:rPr>
                <w:sz w:val="20"/>
                <w:szCs w:val="20"/>
                <w:color w:val="auto"/>
              </w:rPr>
            </w:pPr>
            <w:r>
              <w:rPr>
                <w:rFonts w:ascii="Arial" w:cs="Arial" w:eastAsia="Arial" w:hAnsi="Arial"/>
                <w:sz w:val="14"/>
                <w:szCs w:val="14"/>
                <w:color w:val="auto"/>
              </w:rPr>
              <w:t>965</w:t>
            </w:r>
          </w:p>
        </w:tc>
        <w:tc>
          <w:tcPr>
            <w:tcW w:w="1040" w:type="dxa"/>
            <w:vAlign w:val="bottom"/>
            <w:shd w:val="clear" w:color="auto" w:fill="F1F2F2"/>
          </w:tcPr>
          <w:p>
            <w:pPr>
              <w:jc w:val="right"/>
              <w:spacing w:after="0"/>
              <w:rPr>
                <w:sz w:val="20"/>
                <w:szCs w:val="20"/>
                <w:color w:val="auto"/>
              </w:rPr>
            </w:pPr>
            <w:r>
              <w:rPr>
                <w:rFonts w:ascii="Arial" w:cs="Arial" w:eastAsia="Arial" w:hAnsi="Arial"/>
                <w:sz w:val="14"/>
                <w:szCs w:val="14"/>
                <w:color w:val="auto"/>
              </w:rPr>
              <w:t>579</w:t>
            </w:r>
          </w:p>
        </w:tc>
        <w:tc>
          <w:tcPr>
            <w:tcW w:w="1560" w:type="dxa"/>
            <w:vAlign w:val="bottom"/>
            <w:shd w:val="clear" w:color="auto" w:fill="F1F2F2"/>
          </w:tcPr>
          <w:p>
            <w:pPr>
              <w:jc w:val="right"/>
              <w:ind w:right="468"/>
              <w:spacing w:after="0"/>
              <w:rPr>
                <w:sz w:val="20"/>
                <w:szCs w:val="20"/>
                <w:color w:val="auto"/>
              </w:rPr>
            </w:pPr>
            <w:r>
              <w:rPr>
                <w:rFonts w:ascii="Arial" w:cs="Arial" w:eastAsia="Arial" w:hAnsi="Arial"/>
                <w:sz w:val="14"/>
                <w:szCs w:val="14"/>
                <w:color w:val="auto"/>
              </w:rPr>
              <w:t>1,369</w:t>
            </w:r>
          </w:p>
        </w:tc>
        <w:tc>
          <w:tcPr>
            <w:tcW w:w="620" w:type="dxa"/>
            <w:vAlign w:val="bottom"/>
            <w:shd w:val="clear" w:color="auto" w:fill="F1F2F2"/>
          </w:tcPr>
          <w:p>
            <w:pPr>
              <w:jc w:val="right"/>
              <w:ind w:right="48"/>
              <w:spacing w:after="0"/>
              <w:rPr>
                <w:sz w:val="20"/>
                <w:szCs w:val="20"/>
                <w:color w:val="auto"/>
              </w:rPr>
            </w:pPr>
            <w:r>
              <w:rPr>
                <w:rFonts w:ascii="Arial" w:cs="Arial" w:eastAsia="Arial" w:hAnsi="Arial"/>
                <w:sz w:val="14"/>
                <w:szCs w:val="14"/>
                <w:color w:val="auto"/>
              </w:rPr>
              <w:t>2,913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-1130935</wp:posOffset>
            </wp:positionV>
            <wp:extent cx="55892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89270" cy="8255"/>
                    </a:xfrm>
                    <a:prstGeom prst="rect">
                      <a:avLst/>
                    </a:prstGeom>
                    <a:noFill/>
                  </pic:spPr>
                </pic:pic>
              </a:graphicData>
            </a:graphic>
          </wp:anchor>
        </w:drawing>
      </w:r>
    </w:p>
    <w:p>
      <w:pPr>
        <w:spacing w:after="0" w:line="173" w:lineRule="exact"/>
        <w:rPr>
          <w:sz w:val="20"/>
          <w:szCs w:val="20"/>
          <w:color w:val="auto"/>
        </w:rPr>
      </w:pPr>
    </w:p>
    <w:p>
      <w:pPr>
        <w:ind w:left="340" w:right="220" w:hanging="332"/>
        <w:spacing w:after="0" w:line="28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number of PSUs and RSUs was determined by dividing the corresponding target award value by the closing price of our common stock on the NYSE averaged over the 15 calendar days ending on January 30, 2025 ($647.623).</w:t>
      </w:r>
    </w:p>
    <w:p>
      <w:pPr>
        <w:spacing w:after="0" w:line="63"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number of SARs granted was determined by dividing the corresponding target award value by the Black-Scholes value of our common stock based on the 15 calendar day average closing price of our common stock as of January 30, 2025 ($182.590).</w:t>
      </w:r>
    </w:p>
    <w:p>
      <w:pPr>
        <w:spacing w:after="0" w:line="49" w:lineRule="exact"/>
        <w:rPr>
          <w:rFonts w:ascii="Arial" w:cs="Arial" w:eastAsia="Arial" w:hAnsi="Arial"/>
          <w:sz w:val="14"/>
          <w:szCs w:val="14"/>
          <w:color w:val="auto"/>
        </w:rPr>
      </w:pPr>
    </w:p>
    <w:p>
      <w:pPr>
        <w:ind w:left="340" w:right="600" w:hanging="332"/>
        <w:spacing w:after="0" w:line="305"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Ms. Martin joined the Company on April 28, 2025 and did not receive an LTI grant in February but did receive a make-whole grant for equity forfeited from her prior employer, as discussed in “Leadership Transitions” above.</w:t>
      </w: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5" w:name="page46"/>
    <w:bookmarkEnd w:id="45"/>
    <w:p>
      <w:pPr>
        <w:ind w:right="60" w:firstLine="324"/>
        <w:spacing w:after="0" w:line="246" w:lineRule="auto"/>
        <w:rPr>
          <w:sz w:val="20"/>
          <w:szCs w:val="20"/>
          <w:color w:val="auto"/>
        </w:rPr>
      </w:pPr>
      <w:r>
        <w:rPr>
          <w:rFonts w:ascii="Arial" w:cs="Arial" w:eastAsia="Arial" w:hAnsi="Arial"/>
          <w:sz w:val="18"/>
          <w:szCs w:val="18"/>
          <w:u w:val="single" w:color="auto"/>
          <w:color w:val="auto"/>
        </w:rPr>
        <w:t>PSUs</w:t>
      </w:r>
      <w:r>
        <w:rPr>
          <w:rFonts w:ascii="Arial" w:cs="Arial" w:eastAsia="Arial" w:hAnsi="Arial"/>
          <w:sz w:val="18"/>
          <w:szCs w:val="18"/>
          <w:color w:val="auto"/>
        </w:rPr>
        <w:t xml:space="preserve">. To maintain our strong focus on long-term Company performance, 50% of the February 2025 long-term incentive award was granted in the form of PSUs. PSUs generally vest at the end of a three-year performance period. If at least the threshold performance level has been achieved at the end of the performance period, the PSUs are distributed in the form of Company common stock based on the performance achieved. </w:t>
      </w:r>
      <w:r>
        <w:rPr>
          <w:rFonts w:ascii="Arial" w:cs="Arial" w:eastAsia="Arial" w:hAnsi="Arial"/>
          <w:sz w:val="18"/>
          <w:szCs w:val="18"/>
          <w:b w:val="1"/>
          <w:bCs w:val="1"/>
          <w:color w:val="auto"/>
        </w:rPr>
        <w:t>If threshold performance is not achieved, the entire award is forfeited.</w:t>
      </w:r>
      <w:r>
        <w:rPr>
          <w:rFonts w:ascii="Arial" w:cs="Arial" w:eastAsia="Arial" w:hAnsi="Arial"/>
          <w:sz w:val="18"/>
          <w:szCs w:val="18"/>
          <w:color w:val="auto"/>
        </w:rPr>
        <w:t xml:space="preserve"> Dividends are not earned or paid on PSU awards during the three-year performance period. The Committee determines the three-year measurement criteria annually, selecting financial metrics and setting performance goals designed to enhance stockholder value. The Committee certifies the financial performance levels following the end of the performance period and the Company distributes any earned shares.</w:t>
      </w:r>
    </w:p>
    <w:p>
      <w:pPr>
        <w:spacing w:after="0" w:line="121" w:lineRule="exact"/>
        <w:rPr>
          <w:sz w:val="20"/>
          <w:szCs w:val="20"/>
          <w:color w:val="auto"/>
        </w:rPr>
      </w:pPr>
    </w:p>
    <w:p>
      <w:pPr>
        <w:ind w:right="20" w:firstLine="324"/>
        <w:spacing w:after="0" w:line="259" w:lineRule="auto"/>
        <w:rPr>
          <w:sz w:val="20"/>
          <w:szCs w:val="20"/>
          <w:color w:val="auto"/>
        </w:rPr>
      </w:pPr>
      <w:r>
        <w:rPr>
          <w:rFonts w:ascii="Arial" w:cs="Arial" w:eastAsia="Arial" w:hAnsi="Arial"/>
          <w:sz w:val="17"/>
          <w:szCs w:val="17"/>
          <w:color w:val="auto"/>
        </w:rPr>
        <w:t>The key attributes of the PSUs granted in February 2025 are summarized in the following table. The Committee established the Return on Invested Capital (“ROIC”) performance goals based on its assessment of desired returns relative to the cost of capital as well as historical and projected ROIC outcomes. Similarly, the Committee set Company core net income growth performance goals based on historical results, projected outcomes of that measure, and expected market conditions. While specific forward-looking performance goals are not included in the table below in light of competitive sensitivities, the following chart broadly describes the performance required to achieve a target payout.</w:t>
      </w:r>
    </w:p>
    <w:p>
      <w:pPr>
        <w:jc w:val="center"/>
        <w:spacing w:after="0" w:line="237" w:lineRule="auto"/>
        <w:rPr>
          <w:sz w:val="20"/>
          <w:szCs w:val="20"/>
          <w:color w:val="auto"/>
        </w:rPr>
      </w:pPr>
      <w:r>
        <w:rPr>
          <w:rFonts w:ascii="Arial" w:cs="Arial" w:eastAsia="Arial" w:hAnsi="Arial"/>
          <w:sz w:val="18"/>
          <w:szCs w:val="18"/>
          <w:b w:val="1"/>
          <w:bCs w:val="1"/>
          <w:color w:val="auto"/>
        </w:rPr>
        <w:t>February 2025 PSU Grant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January 1, 2025 – December 31, 2027 Performance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9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Weight</w:t>
            </w:r>
          </w:p>
        </w:tc>
        <w:tc>
          <w:tcPr>
            <w:tcW w:w="2760" w:type="dxa"/>
            <w:vAlign w:val="bottom"/>
            <w:shd w:val="clear" w:color="auto" w:fill="C60C35"/>
          </w:tcPr>
          <w:p>
            <w:pPr>
              <w:jc w:val="center"/>
              <w:ind w:right="8"/>
              <w:spacing w:after="0"/>
              <w:rPr>
                <w:sz w:val="20"/>
                <w:szCs w:val="20"/>
                <w:color w:val="auto"/>
              </w:rPr>
            </w:pPr>
            <w:r>
              <w:rPr>
                <w:rFonts w:ascii="Arial" w:cs="Arial" w:eastAsia="Arial" w:hAnsi="Arial"/>
                <w:sz w:val="14"/>
                <w:szCs w:val="14"/>
                <w:b w:val="1"/>
                <w:bCs w:val="1"/>
                <w:color w:val="FFFFFF"/>
              </w:rPr>
              <w:t>Rationale for Selection</w:t>
            </w:r>
          </w:p>
        </w:tc>
        <w:tc>
          <w:tcPr>
            <w:tcW w:w="194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Measurement Period</w:t>
            </w:r>
          </w:p>
        </w:tc>
        <w:tc>
          <w:tcPr>
            <w:tcW w:w="1400" w:type="dxa"/>
            <w:vAlign w:val="bottom"/>
            <w:shd w:val="clear" w:color="auto" w:fill="C60C35"/>
          </w:tcPr>
          <w:p>
            <w:pPr>
              <w:jc w:val="right"/>
              <w:ind w:right="348"/>
              <w:spacing w:after="0"/>
              <w:rPr>
                <w:sz w:val="20"/>
                <w:szCs w:val="20"/>
                <w:color w:val="auto"/>
              </w:rPr>
            </w:pPr>
            <w:r>
              <w:rPr>
                <w:rFonts w:ascii="Arial" w:cs="Arial" w:eastAsia="Arial" w:hAnsi="Arial"/>
                <w:sz w:val="14"/>
                <w:szCs w:val="14"/>
                <w:b w:val="1"/>
                <w:bCs w:val="1"/>
                <w:color w:val="FFFFFF"/>
              </w:rPr>
              <w:t>Threshold</w:t>
            </w:r>
          </w:p>
        </w:tc>
        <w:tc>
          <w:tcPr>
            <w:tcW w:w="1240" w:type="dxa"/>
            <w:vAlign w:val="bottom"/>
            <w:shd w:val="clear" w:color="auto" w:fill="C60C35"/>
          </w:tcPr>
          <w:p>
            <w:pPr>
              <w:jc w:val="center"/>
              <w:ind w:right="328"/>
              <w:spacing w:after="0"/>
              <w:rPr>
                <w:sz w:val="20"/>
                <w:szCs w:val="20"/>
                <w:color w:val="auto"/>
              </w:rPr>
            </w:pPr>
            <w:r>
              <w:rPr>
                <w:rFonts w:ascii="Arial" w:cs="Arial" w:eastAsia="Arial" w:hAnsi="Arial"/>
                <w:sz w:val="14"/>
                <w:szCs w:val="14"/>
                <w:b w:val="1"/>
                <w:bCs w:val="1"/>
                <w:color w:val="FFFFFF"/>
              </w:rPr>
              <w:t>Target</w:t>
            </w:r>
          </w:p>
        </w:tc>
        <w:tc>
          <w:tcPr>
            <w:tcW w:w="1080" w:type="dxa"/>
            <w:vAlign w:val="bottom"/>
            <w:shd w:val="clear" w:color="auto" w:fill="C60C35"/>
          </w:tcPr>
          <w:p>
            <w:pPr>
              <w:jc w:val="right"/>
              <w:ind w:right="308"/>
              <w:spacing w:after="0"/>
              <w:rPr>
                <w:sz w:val="20"/>
                <w:szCs w:val="20"/>
                <w:color w:val="auto"/>
              </w:rPr>
            </w:pPr>
            <w:r>
              <w:rPr>
                <w:rFonts w:ascii="Arial" w:cs="Arial" w:eastAsia="Arial" w:hAnsi="Arial"/>
                <w:sz w:val="14"/>
                <w:szCs w:val="14"/>
                <w:b w:val="1"/>
                <w:bCs w:val="1"/>
                <w:color w:val="FFFFFF"/>
              </w:rPr>
              <w:t>Maximum</w:t>
            </w:r>
          </w:p>
        </w:tc>
      </w:tr>
      <w:tr>
        <w:trPr>
          <w:trHeight w:val="67"/>
        </w:trPr>
        <w:tc>
          <w:tcPr>
            <w:tcW w:w="1840" w:type="dxa"/>
            <w:vAlign w:val="bottom"/>
            <w:shd w:val="clear" w:color="auto" w:fill="C60C35"/>
          </w:tcPr>
          <w:p>
            <w:pPr>
              <w:spacing w:after="0"/>
              <w:rPr>
                <w:sz w:val="5"/>
                <w:szCs w:val="5"/>
                <w:color w:val="auto"/>
              </w:rPr>
            </w:pPr>
          </w:p>
        </w:tc>
        <w:tc>
          <w:tcPr>
            <w:tcW w:w="980" w:type="dxa"/>
            <w:vAlign w:val="bottom"/>
            <w:shd w:val="clear" w:color="auto" w:fill="C60C35"/>
          </w:tcPr>
          <w:p>
            <w:pPr>
              <w:spacing w:after="0"/>
              <w:rPr>
                <w:sz w:val="5"/>
                <w:szCs w:val="5"/>
                <w:color w:val="auto"/>
              </w:rPr>
            </w:pPr>
          </w:p>
        </w:tc>
        <w:tc>
          <w:tcPr>
            <w:tcW w:w="2760" w:type="dxa"/>
            <w:vAlign w:val="bottom"/>
            <w:shd w:val="clear" w:color="auto" w:fill="C60C35"/>
          </w:tcPr>
          <w:p>
            <w:pPr>
              <w:spacing w:after="0"/>
              <w:rPr>
                <w:sz w:val="5"/>
                <w:szCs w:val="5"/>
                <w:color w:val="auto"/>
              </w:rPr>
            </w:pPr>
          </w:p>
        </w:tc>
        <w:tc>
          <w:tcPr>
            <w:tcW w:w="1940" w:type="dxa"/>
            <w:vAlign w:val="bottom"/>
            <w:shd w:val="clear" w:color="auto" w:fill="C60C35"/>
          </w:tcPr>
          <w:p>
            <w:pPr>
              <w:spacing w:after="0"/>
              <w:rPr>
                <w:sz w:val="5"/>
                <w:szCs w:val="5"/>
                <w:color w:val="auto"/>
              </w:rPr>
            </w:pPr>
          </w:p>
        </w:tc>
        <w:tc>
          <w:tcPr>
            <w:tcW w:w="3720" w:type="dxa"/>
            <w:vAlign w:val="bottom"/>
            <w:gridSpan w:val="3"/>
            <w:shd w:val="clear" w:color="auto" w:fill="C60C35"/>
          </w:tcPr>
          <w:p>
            <w:pPr>
              <w:spacing w:after="0"/>
              <w:rPr>
                <w:sz w:val="5"/>
                <w:szCs w:val="5"/>
                <w:color w:val="auto"/>
              </w:rPr>
            </w:pPr>
          </w:p>
        </w:tc>
      </w:tr>
      <w:tr>
        <w:trPr>
          <w:trHeight w:val="234"/>
        </w:trPr>
        <w:tc>
          <w:tcPr>
            <w:tcW w:w="18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ROIC</w:t>
            </w:r>
            <w:r>
              <w:rPr>
                <w:rFonts w:ascii="Arial" w:cs="Arial" w:eastAsia="Arial" w:hAnsi="Arial"/>
                <w:sz w:val="18"/>
                <w:szCs w:val="18"/>
                <w:color w:val="auto"/>
                <w:vertAlign w:val="superscript"/>
              </w:rPr>
              <w:t>(1)</w:t>
            </w:r>
          </w:p>
        </w:tc>
        <w:tc>
          <w:tcPr>
            <w:tcW w:w="980" w:type="dxa"/>
            <w:vAlign w:val="bottom"/>
            <w:shd w:val="clear" w:color="auto" w:fill="F1F2F2"/>
          </w:tcPr>
          <w:p>
            <w:pPr>
              <w:jc w:val="right"/>
              <w:ind w:right="288"/>
              <w:spacing w:after="0"/>
              <w:rPr>
                <w:sz w:val="20"/>
                <w:szCs w:val="20"/>
                <w:color w:val="auto"/>
              </w:rPr>
            </w:pPr>
            <w:r>
              <w:rPr>
                <w:rFonts w:ascii="Arial" w:cs="Arial" w:eastAsia="Arial" w:hAnsi="Arial"/>
                <w:sz w:val="14"/>
                <w:szCs w:val="14"/>
                <w:color w:val="auto"/>
              </w:rPr>
              <w:t>50%</w:t>
            </w:r>
          </w:p>
        </w:tc>
        <w:tc>
          <w:tcPr>
            <w:tcW w:w="2760" w:type="dxa"/>
            <w:vAlign w:val="bottom"/>
            <w:shd w:val="clear" w:color="auto" w:fill="F1F2F2"/>
          </w:tcPr>
          <w:p>
            <w:pPr>
              <w:jc w:val="center"/>
              <w:ind w:right="28"/>
              <w:spacing w:after="0"/>
              <w:rPr>
                <w:sz w:val="20"/>
                <w:szCs w:val="20"/>
                <w:color w:val="auto"/>
              </w:rPr>
            </w:pPr>
            <w:r>
              <w:rPr>
                <w:rFonts w:ascii="Arial" w:cs="Arial" w:eastAsia="Arial" w:hAnsi="Arial"/>
                <w:sz w:val="14"/>
                <w:szCs w:val="14"/>
                <w:color w:val="auto"/>
              </w:rPr>
              <w:t>Measures efficient use of capital: higher</w:t>
            </w:r>
          </w:p>
        </w:tc>
        <w:tc>
          <w:tcPr>
            <w:tcW w:w="194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3-year average</w:t>
            </w:r>
          </w:p>
        </w:tc>
        <w:tc>
          <w:tcPr>
            <w:tcW w:w="3720" w:type="dxa"/>
            <w:vAlign w:val="bottom"/>
            <w:gridSpan w:val="3"/>
            <w:shd w:val="clear" w:color="auto" w:fill="F1F2F2"/>
          </w:tcPr>
          <w:p>
            <w:pPr>
              <w:jc w:val="center"/>
              <w:ind w:right="8"/>
              <w:spacing w:after="0"/>
              <w:rPr>
                <w:sz w:val="20"/>
                <w:szCs w:val="20"/>
                <w:color w:val="auto"/>
              </w:rPr>
            </w:pPr>
            <w:r>
              <w:rPr>
                <w:rFonts w:ascii="Arial" w:cs="Arial" w:eastAsia="Arial" w:hAnsi="Arial"/>
                <w:sz w:val="14"/>
                <w:szCs w:val="14"/>
                <w:color w:val="auto"/>
              </w:rPr>
              <w:t>No payout occurs unless ROIC exceeds the</w:t>
            </w:r>
          </w:p>
        </w:tc>
      </w:tr>
      <w:tr>
        <w:trPr>
          <w:trHeight w:val="176"/>
        </w:trPr>
        <w:tc>
          <w:tcPr>
            <w:tcW w:w="1840" w:type="dxa"/>
            <w:vAlign w:val="bottom"/>
            <w:shd w:val="clear" w:color="auto" w:fill="F1F2F2"/>
          </w:tcPr>
          <w:p>
            <w:pPr>
              <w:spacing w:after="0"/>
              <w:rPr>
                <w:sz w:val="15"/>
                <w:szCs w:val="15"/>
                <w:color w:val="auto"/>
              </w:rPr>
            </w:pPr>
          </w:p>
        </w:tc>
        <w:tc>
          <w:tcPr>
            <w:tcW w:w="980" w:type="dxa"/>
            <w:vAlign w:val="bottom"/>
            <w:shd w:val="clear" w:color="auto" w:fill="F1F2F2"/>
          </w:tcPr>
          <w:p>
            <w:pPr>
              <w:spacing w:after="0"/>
              <w:rPr>
                <w:sz w:val="15"/>
                <w:szCs w:val="15"/>
                <w:color w:val="auto"/>
              </w:rPr>
            </w:pPr>
          </w:p>
        </w:tc>
        <w:tc>
          <w:tcPr>
            <w:tcW w:w="2760" w:type="dxa"/>
            <w:vAlign w:val="bottom"/>
            <w:shd w:val="clear" w:color="auto" w:fill="F1F2F2"/>
          </w:tcPr>
          <w:p>
            <w:pPr>
              <w:jc w:val="center"/>
              <w:ind w:right="28"/>
              <w:spacing w:after="0"/>
              <w:rPr>
                <w:sz w:val="20"/>
                <w:szCs w:val="20"/>
                <w:color w:val="auto"/>
              </w:rPr>
            </w:pPr>
            <w:r>
              <w:rPr>
                <w:rFonts w:ascii="Arial" w:cs="Arial" w:eastAsia="Arial" w:hAnsi="Arial"/>
                <w:sz w:val="14"/>
                <w:szCs w:val="14"/>
                <w:color w:val="auto"/>
              </w:rPr>
              <w:t>ROIC correlates to greater cash flow</w:t>
            </w:r>
          </w:p>
        </w:tc>
        <w:tc>
          <w:tcPr>
            <w:tcW w:w="1940" w:type="dxa"/>
            <w:vAlign w:val="bottom"/>
            <w:shd w:val="clear" w:color="auto" w:fill="F1F2F2"/>
          </w:tcPr>
          <w:p>
            <w:pPr>
              <w:spacing w:after="0"/>
              <w:rPr>
                <w:sz w:val="15"/>
                <w:szCs w:val="15"/>
                <w:color w:val="auto"/>
              </w:rPr>
            </w:pPr>
          </w:p>
        </w:tc>
        <w:tc>
          <w:tcPr>
            <w:tcW w:w="3720" w:type="dxa"/>
            <w:vAlign w:val="bottom"/>
            <w:gridSpan w:val="3"/>
            <w:shd w:val="clear" w:color="auto" w:fill="F1F2F2"/>
          </w:tcPr>
          <w:p>
            <w:pPr>
              <w:jc w:val="center"/>
              <w:ind w:right="8"/>
              <w:spacing w:after="0"/>
              <w:rPr>
                <w:sz w:val="20"/>
                <w:szCs w:val="20"/>
                <w:color w:val="auto"/>
              </w:rPr>
            </w:pPr>
            <w:r>
              <w:rPr>
                <w:rFonts w:ascii="Arial" w:cs="Arial" w:eastAsia="Arial" w:hAnsi="Arial"/>
                <w:sz w:val="14"/>
                <w:szCs w:val="14"/>
                <w:color w:val="auto"/>
              </w:rPr>
              <w:t>Company’s estimated cost of capital. Target payout</w:t>
            </w:r>
          </w:p>
        </w:tc>
      </w:tr>
      <w:tr>
        <w:trPr>
          <w:trHeight w:val="175"/>
        </w:trPr>
        <w:tc>
          <w:tcPr>
            <w:tcW w:w="1840" w:type="dxa"/>
            <w:vAlign w:val="bottom"/>
            <w:shd w:val="clear" w:color="auto" w:fill="F1F2F2"/>
          </w:tcPr>
          <w:p>
            <w:pPr>
              <w:spacing w:after="0"/>
              <w:rPr>
                <w:sz w:val="15"/>
                <w:szCs w:val="15"/>
                <w:color w:val="auto"/>
              </w:rPr>
            </w:pPr>
          </w:p>
        </w:tc>
        <w:tc>
          <w:tcPr>
            <w:tcW w:w="980" w:type="dxa"/>
            <w:vAlign w:val="bottom"/>
            <w:shd w:val="clear" w:color="auto" w:fill="F1F2F2"/>
          </w:tcPr>
          <w:p>
            <w:pPr>
              <w:spacing w:after="0"/>
              <w:rPr>
                <w:sz w:val="15"/>
                <w:szCs w:val="15"/>
                <w:color w:val="auto"/>
              </w:rPr>
            </w:pPr>
          </w:p>
        </w:tc>
        <w:tc>
          <w:tcPr>
            <w:tcW w:w="2760" w:type="dxa"/>
            <w:vAlign w:val="bottom"/>
            <w:shd w:val="clear" w:color="auto" w:fill="F1F2F2"/>
          </w:tcPr>
          <w:p>
            <w:pPr>
              <w:spacing w:after="0"/>
              <w:rPr>
                <w:sz w:val="15"/>
                <w:szCs w:val="15"/>
                <w:color w:val="auto"/>
              </w:rPr>
            </w:pPr>
          </w:p>
        </w:tc>
        <w:tc>
          <w:tcPr>
            <w:tcW w:w="1940" w:type="dxa"/>
            <w:vAlign w:val="bottom"/>
            <w:shd w:val="clear" w:color="auto" w:fill="F1F2F2"/>
          </w:tcPr>
          <w:p>
            <w:pPr>
              <w:spacing w:after="0"/>
              <w:rPr>
                <w:sz w:val="15"/>
                <w:szCs w:val="15"/>
                <w:color w:val="auto"/>
              </w:rPr>
            </w:pPr>
          </w:p>
        </w:tc>
        <w:tc>
          <w:tcPr>
            <w:tcW w:w="3720" w:type="dxa"/>
            <w:vAlign w:val="bottom"/>
            <w:gridSpan w:val="3"/>
            <w:shd w:val="clear" w:color="auto" w:fill="F1F2F2"/>
          </w:tcPr>
          <w:p>
            <w:pPr>
              <w:jc w:val="center"/>
              <w:ind w:right="8"/>
              <w:spacing w:after="0"/>
              <w:rPr>
                <w:sz w:val="20"/>
                <w:szCs w:val="20"/>
                <w:color w:val="auto"/>
              </w:rPr>
            </w:pPr>
            <w:r>
              <w:rPr>
                <w:rFonts w:ascii="Arial" w:cs="Arial" w:eastAsia="Arial" w:hAnsi="Arial"/>
                <w:sz w:val="14"/>
                <w:szCs w:val="14"/>
                <w:color w:val="auto"/>
              </w:rPr>
              <w:t>occurs at approximately three times the Company’s</w:t>
            </w:r>
          </w:p>
        </w:tc>
      </w:tr>
      <w:tr>
        <w:trPr>
          <w:trHeight w:val="192"/>
        </w:trPr>
        <w:tc>
          <w:tcPr>
            <w:tcW w:w="1840" w:type="dxa"/>
            <w:vAlign w:val="bottom"/>
            <w:tcBorders>
              <w:bottom w:val="single" w:sz="8" w:color="F1F2F2"/>
            </w:tcBorders>
            <w:shd w:val="clear" w:color="auto" w:fill="F1F2F2"/>
          </w:tcPr>
          <w:p>
            <w:pPr>
              <w:spacing w:after="0"/>
              <w:rPr>
                <w:sz w:val="16"/>
                <w:szCs w:val="16"/>
                <w:color w:val="auto"/>
              </w:rPr>
            </w:pPr>
          </w:p>
        </w:tc>
        <w:tc>
          <w:tcPr>
            <w:tcW w:w="980" w:type="dxa"/>
            <w:vAlign w:val="bottom"/>
            <w:tcBorders>
              <w:bottom w:val="single" w:sz="8" w:color="F1F2F2"/>
            </w:tcBorders>
            <w:shd w:val="clear" w:color="auto" w:fill="F1F2F2"/>
          </w:tcPr>
          <w:p>
            <w:pPr>
              <w:spacing w:after="0"/>
              <w:rPr>
                <w:sz w:val="16"/>
                <w:szCs w:val="16"/>
                <w:color w:val="auto"/>
              </w:rPr>
            </w:pPr>
          </w:p>
        </w:tc>
        <w:tc>
          <w:tcPr>
            <w:tcW w:w="2760" w:type="dxa"/>
            <w:vAlign w:val="bottom"/>
            <w:tcBorders>
              <w:bottom w:val="single" w:sz="8" w:color="F1F2F2"/>
            </w:tcBorders>
            <w:shd w:val="clear" w:color="auto" w:fill="F1F2F2"/>
          </w:tcPr>
          <w:p>
            <w:pPr>
              <w:spacing w:after="0"/>
              <w:rPr>
                <w:sz w:val="16"/>
                <w:szCs w:val="16"/>
                <w:color w:val="auto"/>
              </w:rPr>
            </w:pPr>
          </w:p>
        </w:tc>
        <w:tc>
          <w:tcPr>
            <w:tcW w:w="1940" w:type="dxa"/>
            <w:vAlign w:val="bottom"/>
            <w:tcBorders>
              <w:bottom w:val="single" w:sz="8" w:color="F1F2F2"/>
            </w:tcBorders>
            <w:shd w:val="clear" w:color="auto" w:fill="F1F2F2"/>
          </w:tcPr>
          <w:p>
            <w:pPr>
              <w:spacing w:after="0"/>
              <w:rPr>
                <w:sz w:val="16"/>
                <w:szCs w:val="16"/>
                <w:color w:val="auto"/>
              </w:rPr>
            </w:pPr>
          </w:p>
        </w:tc>
        <w:tc>
          <w:tcPr>
            <w:tcW w:w="2640" w:type="dxa"/>
            <w:vAlign w:val="bottom"/>
            <w:tcBorders>
              <w:bottom w:val="single" w:sz="8" w:color="F1F2F2"/>
            </w:tcBorders>
            <w:gridSpan w:val="2"/>
            <w:shd w:val="clear" w:color="auto" w:fill="F1F2F2"/>
          </w:tcPr>
          <w:p>
            <w:pPr>
              <w:jc w:val="center"/>
              <w:ind w:left="908"/>
              <w:spacing w:after="0"/>
              <w:rPr>
                <w:sz w:val="20"/>
                <w:szCs w:val="20"/>
                <w:color w:val="auto"/>
              </w:rPr>
            </w:pPr>
            <w:r>
              <w:rPr>
                <w:rFonts w:ascii="Arial" w:cs="Arial" w:eastAsia="Arial" w:hAnsi="Arial"/>
                <w:sz w:val="14"/>
                <w:szCs w:val="14"/>
                <w:color w:val="auto"/>
              </w:rPr>
              <w:t>estimated cost of capital</w:t>
            </w:r>
          </w:p>
        </w:tc>
        <w:tc>
          <w:tcPr>
            <w:tcW w:w="1080" w:type="dxa"/>
            <w:vAlign w:val="bottom"/>
            <w:tcBorders>
              <w:bottom w:val="single" w:sz="8" w:color="F1F2F2"/>
            </w:tcBorders>
            <w:shd w:val="clear" w:color="auto" w:fill="F1F2F2"/>
          </w:tcPr>
          <w:p>
            <w:pPr>
              <w:spacing w:after="0"/>
              <w:rPr>
                <w:sz w:val="16"/>
                <w:szCs w:val="16"/>
                <w:color w:val="auto"/>
              </w:rPr>
            </w:pPr>
          </w:p>
        </w:tc>
      </w:tr>
      <w:tr>
        <w:trPr>
          <w:trHeight w:val="274"/>
        </w:trPr>
        <w:tc>
          <w:tcPr>
            <w:tcW w:w="1840" w:type="dxa"/>
            <w:vAlign w:val="bottom"/>
          </w:tcPr>
          <w:p>
            <w:pPr>
              <w:ind w:left="100"/>
              <w:spacing w:after="0"/>
              <w:rPr>
                <w:sz w:val="20"/>
                <w:szCs w:val="20"/>
                <w:color w:val="auto"/>
              </w:rPr>
            </w:pPr>
            <w:r>
              <w:rPr>
                <w:rFonts w:ascii="Arial" w:cs="Arial" w:eastAsia="Arial" w:hAnsi="Arial"/>
                <w:sz w:val="14"/>
                <w:szCs w:val="14"/>
                <w:color w:val="auto"/>
              </w:rPr>
              <w:t>Company Core Net</w:t>
            </w:r>
          </w:p>
        </w:tc>
        <w:tc>
          <w:tcPr>
            <w:tcW w:w="980" w:type="dxa"/>
            <w:vAlign w:val="bottom"/>
          </w:tcPr>
          <w:p>
            <w:pPr>
              <w:jc w:val="right"/>
              <w:ind w:right="288"/>
              <w:spacing w:after="0"/>
              <w:rPr>
                <w:sz w:val="20"/>
                <w:szCs w:val="20"/>
                <w:color w:val="auto"/>
              </w:rPr>
            </w:pPr>
            <w:r>
              <w:rPr>
                <w:rFonts w:ascii="Arial" w:cs="Arial" w:eastAsia="Arial" w:hAnsi="Arial"/>
                <w:sz w:val="14"/>
                <w:szCs w:val="14"/>
                <w:color w:val="auto"/>
              </w:rPr>
              <w:t>50%</w:t>
            </w:r>
          </w:p>
        </w:tc>
        <w:tc>
          <w:tcPr>
            <w:tcW w:w="2760" w:type="dxa"/>
            <w:vAlign w:val="bottom"/>
          </w:tcPr>
          <w:p>
            <w:pPr>
              <w:jc w:val="center"/>
              <w:ind w:right="28"/>
              <w:spacing w:after="0"/>
              <w:rPr>
                <w:sz w:val="20"/>
                <w:szCs w:val="20"/>
                <w:color w:val="auto"/>
              </w:rPr>
            </w:pPr>
            <w:r>
              <w:rPr>
                <w:rFonts w:ascii="Arial" w:cs="Arial" w:eastAsia="Arial" w:hAnsi="Arial"/>
                <w:sz w:val="14"/>
                <w:szCs w:val="14"/>
                <w:color w:val="auto"/>
              </w:rPr>
              <w:t>Measures profitability: higher Company</w:t>
            </w:r>
          </w:p>
        </w:tc>
        <w:tc>
          <w:tcPr>
            <w:tcW w:w="1940" w:type="dxa"/>
            <w:vAlign w:val="bottom"/>
          </w:tcPr>
          <w:p>
            <w:pPr>
              <w:jc w:val="center"/>
              <w:spacing w:after="0"/>
              <w:rPr>
                <w:sz w:val="20"/>
                <w:szCs w:val="20"/>
                <w:color w:val="auto"/>
              </w:rPr>
            </w:pPr>
            <w:r>
              <w:rPr>
                <w:rFonts w:ascii="Arial" w:cs="Arial" w:eastAsia="Arial" w:hAnsi="Arial"/>
                <w:sz w:val="14"/>
                <w:szCs w:val="14"/>
                <w:color w:val="auto"/>
              </w:rPr>
              <w:t>3-year compound annual</w:t>
            </w:r>
          </w:p>
        </w:tc>
        <w:tc>
          <w:tcPr>
            <w:tcW w:w="3720" w:type="dxa"/>
            <w:vAlign w:val="bottom"/>
            <w:gridSpan w:val="3"/>
          </w:tcPr>
          <w:p>
            <w:pPr>
              <w:jc w:val="center"/>
              <w:ind w:right="8"/>
              <w:spacing w:after="0"/>
              <w:rPr>
                <w:sz w:val="20"/>
                <w:szCs w:val="20"/>
                <w:color w:val="auto"/>
              </w:rPr>
            </w:pPr>
            <w:r>
              <w:rPr>
                <w:rFonts w:ascii="Arial" w:cs="Arial" w:eastAsia="Arial" w:hAnsi="Arial"/>
                <w:sz w:val="14"/>
                <w:szCs w:val="14"/>
                <w:color w:val="auto"/>
              </w:rPr>
              <w:t>Target payout requires high single digit Company</w:t>
            </w:r>
          </w:p>
        </w:tc>
      </w:tr>
      <w:tr>
        <w:trPr>
          <w:trHeight w:val="175"/>
        </w:trPr>
        <w:tc>
          <w:tcPr>
            <w:tcW w:w="1840" w:type="dxa"/>
            <w:vAlign w:val="bottom"/>
          </w:tcPr>
          <w:p>
            <w:pPr>
              <w:ind w:left="100"/>
              <w:spacing w:after="0"/>
              <w:rPr>
                <w:sz w:val="20"/>
                <w:szCs w:val="20"/>
                <w:color w:val="auto"/>
              </w:rPr>
            </w:pPr>
            <w:r>
              <w:rPr>
                <w:rFonts w:ascii="Arial" w:cs="Arial" w:eastAsia="Arial" w:hAnsi="Arial"/>
                <w:sz w:val="14"/>
                <w:szCs w:val="14"/>
                <w:color w:val="auto"/>
              </w:rPr>
              <w:t>Income</w:t>
            </w:r>
            <w:r>
              <w:rPr>
                <w:rFonts w:ascii="Arial" w:cs="Arial" w:eastAsia="Arial" w:hAnsi="Arial"/>
                <w:sz w:val="9"/>
                <w:szCs w:val="9"/>
                <w:color w:val="auto"/>
              </w:rPr>
              <w:t>(2)</w:t>
            </w:r>
          </w:p>
        </w:tc>
        <w:tc>
          <w:tcPr>
            <w:tcW w:w="980" w:type="dxa"/>
            <w:vAlign w:val="bottom"/>
          </w:tcPr>
          <w:p>
            <w:pPr>
              <w:spacing w:after="0"/>
              <w:rPr>
                <w:sz w:val="15"/>
                <w:szCs w:val="15"/>
                <w:color w:val="auto"/>
              </w:rPr>
            </w:pPr>
          </w:p>
        </w:tc>
        <w:tc>
          <w:tcPr>
            <w:tcW w:w="2760" w:type="dxa"/>
            <w:vAlign w:val="bottom"/>
          </w:tcPr>
          <w:p>
            <w:pPr>
              <w:jc w:val="center"/>
              <w:ind w:right="28"/>
              <w:spacing w:after="0"/>
              <w:rPr>
                <w:sz w:val="20"/>
                <w:szCs w:val="20"/>
                <w:color w:val="auto"/>
              </w:rPr>
            </w:pPr>
            <w:r>
              <w:rPr>
                <w:rFonts w:ascii="Arial" w:cs="Arial" w:eastAsia="Arial" w:hAnsi="Arial"/>
                <w:sz w:val="14"/>
                <w:szCs w:val="14"/>
                <w:color w:val="auto"/>
              </w:rPr>
              <w:t>core net income correlates with higher</w:t>
            </w:r>
          </w:p>
        </w:tc>
        <w:tc>
          <w:tcPr>
            <w:tcW w:w="1940" w:type="dxa"/>
            <w:vAlign w:val="bottom"/>
          </w:tcPr>
          <w:p>
            <w:pPr>
              <w:jc w:val="center"/>
              <w:spacing w:after="0"/>
              <w:rPr>
                <w:sz w:val="20"/>
                <w:szCs w:val="20"/>
                <w:color w:val="auto"/>
              </w:rPr>
            </w:pPr>
            <w:r>
              <w:rPr>
                <w:rFonts w:ascii="Arial" w:cs="Arial" w:eastAsia="Arial" w:hAnsi="Arial"/>
                <w:sz w:val="14"/>
                <w:szCs w:val="14"/>
                <w:color w:val="auto"/>
              </w:rPr>
              <w:t>growth rate</w:t>
            </w:r>
          </w:p>
        </w:tc>
        <w:tc>
          <w:tcPr>
            <w:tcW w:w="3720" w:type="dxa"/>
            <w:vAlign w:val="bottom"/>
            <w:gridSpan w:val="3"/>
          </w:tcPr>
          <w:p>
            <w:pPr>
              <w:jc w:val="center"/>
              <w:ind w:right="8"/>
              <w:spacing w:after="0"/>
              <w:rPr>
                <w:sz w:val="20"/>
                <w:szCs w:val="20"/>
                <w:color w:val="auto"/>
              </w:rPr>
            </w:pPr>
            <w:r>
              <w:rPr>
                <w:rFonts w:ascii="Arial" w:cs="Arial" w:eastAsia="Arial" w:hAnsi="Arial"/>
                <w:sz w:val="14"/>
                <w:szCs w:val="14"/>
                <w:color w:val="auto"/>
              </w:rPr>
              <w:t>core net income compound annual growth rate</w:t>
            </w:r>
          </w:p>
        </w:tc>
      </w:tr>
      <w:tr>
        <w:trPr>
          <w:trHeight w:val="190"/>
        </w:trPr>
        <w:tc>
          <w:tcPr>
            <w:tcW w:w="1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760" w:type="dxa"/>
            <w:vAlign w:val="bottom"/>
          </w:tcPr>
          <w:p>
            <w:pPr>
              <w:jc w:val="center"/>
              <w:ind w:right="8"/>
              <w:spacing w:after="0"/>
              <w:rPr>
                <w:sz w:val="20"/>
                <w:szCs w:val="20"/>
                <w:color w:val="auto"/>
              </w:rPr>
            </w:pPr>
            <w:r>
              <w:rPr>
                <w:rFonts w:ascii="Arial" w:cs="Arial" w:eastAsia="Arial" w:hAnsi="Arial"/>
                <w:sz w:val="14"/>
                <w:szCs w:val="14"/>
                <w:color w:val="auto"/>
              </w:rPr>
              <w:t>earnings per share</w:t>
            </w:r>
          </w:p>
        </w:tc>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282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9"/>
        </w:trPr>
        <w:tc>
          <w:tcPr>
            <w:tcW w:w="2820" w:type="dxa"/>
            <w:vAlign w:val="bottom"/>
            <w:gridSpan w:val="2"/>
            <w:shd w:val="clear" w:color="auto" w:fill="F1F2F2"/>
          </w:tcPr>
          <w:p>
            <w:pPr>
              <w:ind w:left="100"/>
              <w:spacing w:after="0"/>
              <w:rPr>
                <w:sz w:val="20"/>
                <w:szCs w:val="20"/>
                <w:color w:val="auto"/>
              </w:rPr>
            </w:pPr>
            <w:r>
              <w:rPr>
                <w:rFonts w:ascii="Arial" w:cs="Arial" w:eastAsia="Arial" w:hAnsi="Arial"/>
                <w:sz w:val="14"/>
                <w:szCs w:val="14"/>
                <w:b w:val="1"/>
                <w:bCs w:val="1"/>
                <w:color w:val="auto"/>
              </w:rPr>
              <w:t>Payout as a % of Target Award</w:t>
            </w:r>
          </w:p>
        </w:tc>
        <w:tc>
          <w:tcPr>
            <w:tcW w:w="2760" w:type="dxa"/>
            <w:vAlign w:val="bottom"/>
            <w:shd w:val="clear" w:color="auto" w:fill="F1F2F2"/>
          </w:tcPr>
          <w:p>
            <w:pPr>
              <w:spacing w:after="0"/>
              <w:rPr>
                <w:sz w:val="19"/>
                <w:szCs w:val="19"/>
                <w:color w:val="auto"/>
              </w:rPr>
            </w:pPr>
          </w:p>
        </w:tc>
        <w:tc>
          <w:tcPr>
            <w:tcW w:w="1940" w:type="dxa"/>
            <w:vAlign w:val="bottom"/>
            <w:shd w:val="clear" w:color="auto" w:fill="F1F2F2"/>
          </w:tcPr>
          <w:p>
            <w:pPr>
              <w:spacing w:after="0"/>
              <w:rPr>
                <w:sz w:val="19"/>
                <w:szCs w:val="19"/>
                <w:color w:val="auto"/>
              </w:rPr>
            </w:pPr>
          </w:p>
        </w:tc>
        <w:tc>
          <w:tcPr>
            <w:tcW w:w="1400" w:type="dxa"/>
            <w:vAlign w:val="bottom"/>
            <w:shd w:val="clear" w:color="auto" w:fill="F1F2F2"/>
          </w:tcPr>
          <w:p>
            <w:pPr>
              <w:jc w:val="right"/>
              <w:ind w:right="128"/>
              <w:spacing w:after="0"/>
              <w:rPr>
                <w:sz w:val="20"/>
                <w:szCs w:val="20"/>
                <w:color w:val="auto"/>
              </w:rPr>
            </w:pPr>
            <w:r>
              <w:rPr>
                <w:rFonts w:ascii="Arial" w:cs="Arial" w:eastAsia="Arial" w:hAnsi="Arial"/>
                <w:sz w:val="14"/>
                <w:szCs w:val="14"/>
                <w:b w:val="1"/>
                <w:bCs w:val="1"/>
                <w:color w:val="auto"/>
              </w:rPr>
              <w:t>50%</w:t>
            </w:r>
          </w:p>
        </w:tc>
        <w:tc>
          <w:tcPr>
            <w:tcW w:w="1240" w:type="dxa"/>
            <w:vAlign w:val="bottom"/>
            <w:shd w:val="clear" w:color="auto" w:fill="F1F2F2"/>
          </w:tcPr>
          <w:p>
            <w:pPr>
              <w:jc w:val="right"/>
              <w:ind w:right="168"/>
              <w:spacing w:after="0"/>
              <w:rPr>
                <w:sz w:val="20"/>
                <w:szCs w:val="20"/>
                <w:color w:val="auto"/>
              </w:rPr>
            </w:pPr>
            <w:r>
              <w:rPr>
                <w:rFonts w:ascii="Arial" w:cs="Arial" w:eastAsia="Arial" w:hAnsi="Arial"/>
                <w:sz w:val="14"/>
                <w:szCs w:val="14"/>
                <w:b w:val="1"/>
                <w:bCs w:val="1"/>
                <w:color w:val="auto"/>
              </w:rPr>
              <w:t>100%</w:t>
            </w:r>
          </w:p>
        </w:tc>
        <w:tc>
          <w:tcPr>
            <w:tcW w:w="1080" w:type="dxa"/>
            <w:vAlign w:val="bottom"/>
            <w:shd w:val="clear" w:color="auto" w:fill="F1F2F2"/>
          </w:tcPr>
          <w:p>
            <w:pPr>
              <w:jc w:val="right"/>
              <w:ind w:right="68"/>
              <w:spacing w:after="0"/>
              <w:rPr>
                <w:sz w:val="20"/>
                <w:szCs w:val="20"/>
                <w:color w:val="auto"/>
              </w:rPr>
            </w:pPr>
            <w:r>
              <w:rPr>
                <w:rFonts w:ascii="Arial" w:cs="Arial" w:eastAsia="Arial" w:hAnsi="Arial"/>
                <w:sz w:val="14"/>
                <w:szCs w:val="14"/>
                <w:b w:val="1"/>
                <w:bCs w:val="1"/>
                <w:color w:val="auto"/>
              </w:rPr>
              <w:t>200%</w:t>
            </w:r>
          </w:p>
        </w:tc>
      </w:tr>
    </w:tbl>
    <w:p>
      <w:pPr>
        <w:spacing w:after="0" w:line="180" w:lineRule="exact"/>
        <w:rPr>
          <w:sz w:val="20"/>
          <w:szCs w:val="20"/>
          <w:color w:val="auto"/>
        </w:rPr>
      </w:pPr>
    </w:p>
    <w:p>
      <w:pPr>
        <w:ind w:left="340" w:right="40" w:hanging="332"/>
        <w:spacing w:after="0" w:line="30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Net operating profit after tax, a component of ROIC and a non-GAAP financial measure used for incentive compensation purposes, is net income, adjusted for restructuring charges, gain (loss) on previous dispositions, acquisition costs, and certain other items.</w:t>
      </w:r>
    </w:p>
    <w:p>
      <w:pPr>
        <w:spacing w:after="0" w:line="49" w:lineRule="exact"/>
        <w:rPr>
          <w:rFonts w:ascii="Arial" w:cs="Arial" w:eastAsia="Arial" w:hAnsi="Arial"/>
          <w:sz w:val="14"/>
          <w:szCs w:val="14"/>
          <w:color w:val="auto"/>
        </w:rPr>
      </w:pPr>
    </w:p>
    <w:p>
      <w:pPr>
        <w:ind w:left="340" w:right="100" w:hanging="332"/>
        <w:spacing w:after="0" w:line="305"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GAAP net income, adjusted for after-tax impacts of gain (loss) on sale of previous dispositions, restructuring charges, acquisition costs, and certain other items.</w:t>
      </w:r>
    </w:p>
    <w:p>
      <w:pPr>
        <w:spacing w:after="0" w:line="81"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PSUs granted in 2025 are included in the 2025 Grants of Plan Based Awards table in the “Estimated Future Payouts Under Equity Incentive Plan Awards” columns.</w:t>
      </w:r>
    </w:p>
    <w:p>
      <w:pPr>
        <w:spacing w:after="0" w:line="85"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u w:val="single" w:color="auto"/>
          <w:color w:val="auto"/>
        </w:rPr>
        <w:t>December 2022 PSU Grant</w:t>
      </w:r>
      <w:r>
        <w:rPr>
          <w:rFonts w:ascii="Arial" w:cs="Arial" w:eastAsia="Arial" w:hAnsi="Arial"/>
          <w:sz w:val="18"/>
          <w:szCs w:val="18"/>
          <w:color w:val="auto"/>
        </w:rPr>
        <w:t>. The key attributes of the PSUs granted in December 2022, which vested on December 31, 2025, are summarized in the following table along with the financial performance goals and payout opportunities versus performance. In 2025, NEOs earned a payout of approximately 196% of target for the PSUs granted in December 2022. The payout value is reflected in the 2025 Option/SAR Exercises and Stock Vested Table in the “Stock Awards - Value Realized on Vesting” column.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2022 PSU Grant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January 1, 2023 – December 31, 2025 Performance Period)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Metric</w:t>
            </w:r>
          </w:p>
        </w:tc>
        <w:tc>
          <w:tcPr>
            <w:tcW w:w="900" w:type="dxa"/>
            <w:vAlign w:val="bottom"/>
            <w:shd w:val="clear" w:color="auto" w:fill="C60C35"/>
          </w:tcPr>
          <w:p>
            <w:pPr>
              <w:jc w:val="center"/>
              <w:ind w:left="68"/>
              <w:spacing w:after="0"/>
              <w:rPr>
                <w:sz w:val="20"/>
                <w:szCs w:val="20"/>
                <w:color w:val="auto"/>
              </w:rPr>
            </w:pPr>
            <w:r>
              <w:rPr>
                <w:rFonts w:ascii="Arial" w:cs="Arial" w:eastAsia="Arial" w:hAnsi="Arial"/>
                <w:sz w:val="14"/>
                <w:szCs w:val="14"/>
                <w:b w:val="1"/>
                <w:bCs w:val="1"/>
                <w:color w:val="FFFFFF"/>
              </w:rPr>
              <w:t>Weight</w:t>
            </w:r>
          </w:p>
        </w:tc>
        <w:tc>
          <w:tcPr>
            <w:tcW w:w="3080" w:type="dxa"/>
            <w:vAlign w:val="bottom"/>
            <w:shd w:val="clear" w:color="auto" w:fill="C60C35"/>
          </w:tcPr>
          <w:p>
            <w:pPr>
              <w:jc w:val="center"/>
              <w:spacing w:after="0"/>
              <w:rPr>
                <w:sz w:val="20"/>
                <w:szCs w:val="20"/>
                <w:color w:val="auto"/>
              </w:rPr>
            </w:pPr>
            <w:r>
              <w:rPr>
                <w:rFonts w:ascii="Arial" w:cs="Arial" w:eastAsia="Arial" w:hAnsi="Arial"/>
                <w:sz w:val="14"/>
                <w:szCs w:val="14"/>
                <w:b w:val="1"/>
                <w:bCs w:val="1"/>
                <w:color w:val="FFFFFF"/>
              </w:rPr>
              <w:t>Measurement Period</w:t>
            </w:r>
          </w:p>
        </w:tc>
        <w:tc>
          <w:tcPr>
            <w:tcW w:w="1200" w:type="dxa"/>
            <w:vAlign w:val="bottom"/>
            <w:shd w:val="clear" w:color="auto" w:fill="C60C35"/>
          </w:tcPr>
          <w:p>
            <w:pPr>
              <w:jc w:val="right"/>
              <w:ind w:right="268"/>
              <w:spacing w:after="0"/>
              <w:rPr>
                <w:sz w:val="20"/>
                <w:szCs w:val="20"/>
                <w:color w:val="auto"/>
              </w:rPr>
            </w:pPr>
            <w:r>
              <w:rPr>
                <w:rFonts w:ascii="Arial" w:cs="Arial" w:eastAsia="Arial" w:hAnsi="Arial"/>
                <w:sz w:val="14"/>
                <w:szCs w:val="14"/>
                <w:b w:val="1"/>
                <w:bCs w:val="1"/>
                <w:color w:val="FFFFFF"/>
              </w:rPr>
              <w:t>Threshold</w:t>
            </w:r>
          </w:p>
        </w:tc>
        <w:tc>
          <w:tcPr>
            <w:tcW w:w="960" w:type="dxa"/>
            <w:vAlign w:val="bottom"/>
            <w:shd w:val="clear" w:color="auto" w:fill="C60C35"/>
          </w:tcPr>
          <w:p>
            <w:pPr>
              <w:jc w:val="right"/>
              <w:ind w:right="288"/>
              <w:spacing w:after="0"/>
              <w:rPr>
                <w:sz w:val="20"/>
                <w:szCs w:val="20"/>
                <w:color w:val="auto"/>
              </w:rPr>
            </w:pPr>
            <w:r>
              <w:rPr>
                <w:rFonts w:ascii="Arial" w:cs="Arial" w:eastAsia="Arial" w:hAnsi="Arial"/>
                <w:sz w:val="14"/>
                <w:szCs w:val="14"/>
                <w:b w:val="1"/>
                <w:bCs w:val="1"/>
                <w:color w:val="FFFFFF"/>
              </w:rPr>
              <w:t>Target</w:t>
            </w:r>
          </w:p>
        </w:tc>
        <w:tc>
          <w:tcPr>
            <w:tcW w:w="1200" w:type="dxa"/>
            <w:vAlign w:val="bottom"/>
            <w:shd w:val="clear" w:color="auto" w:fill="C60C35"/>
          </w:tcPr>
          <w:p>
            <w:pPr>
              <w:jc w:val="right"/>
              <w:ind w:right="288"/>
              <w:spacing w:after="0"/>
              <w:rPr>
                <w:sz w:val="20"/>
                <w:szCs w:val="20"/>
                <w:color w:val="auto"/>
              </w:rPr>
            </w:pPr>
            <w:r>
              <w:rPr>
                <w:rFonts w:ascii="Arial" w:cs="Arial" w:eastAsia="Arial" w:hAnsi="Arial"/>
                <w:sz w:val="14"/>
                <w:szCs w:val="14"/>
                <w:b w:val="1"/>
                <w:bCs w:val="1"/>
                <w:color w:val="FFFFFF"/>
              </w:rPr>
              <w:t>Maximum</w:t>
            </w:r>
          </w:p>
        </w:tc>
        <w:tc>
          <w:tcPr>
            <w:tcW w:w="1400" w:type="dxa"/>
            <w:vAlign w:val="bottom"/>
            <w:shd w:val="clear" w:color="auto" w:fill="C60C35"/>
          </w:tcPr>
          <w:p>
            <w:pPr>
              <w:jc w:val="right"/>
              <w:ind w:right="268"/>
              <w:spacing w:after="0"/>
              <w:rPr>
                <w:sz w:val="20"/>
                <w:szCs w:val="20"/>
                <w:color w:val="auto"/>
              </w:rPr>
            </w:pPr>
            <w:r>
              <w:rPr>
                <w:rFonts w:ascii="Arial" w:cs="Arial" w:eastAsia="Arial" w:hAnsi="Arial"/>
                <w:sz w:val="14"/>
                <w:szCs w:val="14"/>
                <w:b w:val="1"/>
                <w:bCs w:val="1"/>
                <w:color w:val="FFFFFF"/>
              </w:rPr>
              <w:t>Performance</w:t>
            </w:r>
          </w:p>
        </w:tc>
      </w:tr>
      <w:tr>
        <w:trPr>
          <w:trHeight w:val="67"/>
        </w:trPr>
        <w:tc>
          <w:tcPr>
            <w:tcW w:w="2500" w:type="dxa"/>
            <w:vAlign w:val="bottom"/>
            <w:shd w:val="clear" w:color="auto" w:fill="C60C35"/>
          </w:tcPr>
          <w:p>
            <w:pPr>
              <w:spacing w:after="0"/>
              <w:rPr>
                <w:sz w:val="5"/>
                <w:szCs w:val="5"/>
                <w:color w:val="auto"/>
              </w:rPr>
            </w:pPr>
          </w:p>
        </w:tc>
        <w:tc>
          <w:tcPr>
            <w:tcW w:w="900" w:type="dxa"/>
            <w:vAlign w:val="bottom"/>
            <w:shd w:val="clear" w:color="auto" w:fill="C60C35"/>
          </w:tcPr>
          <w:p>
            <w:pPr>
              <w:spacing w:after="0"/>
              <w:rPr>
                <w:sz w:val="5"/>
                <w:szCs w:val="5"/>
                <w:color w:val="auto"/>
              </w:rPr>
            </w:pPr>
          </w:p>
        </w:tc>
        <w:tc>
          <w:tcPr>
            <w:tcW w:w="3080" w:type="dxa"/>
            <w:vAlign w:val="bottom"/>
            <w:shd w:val="clear" w:color="auto" w:fill="C60C35"/>
          </w:tcPr>
          <w:p>
            <w:pPr>
              <w:spacing w:after="0"/>
              <w:rPr>
                <w:sz w:val="5"/>
                <w:szCs w:val="5"/>
                <w:color w:val="auto"/>
              </w:rPr>
            </w:pPr>
          </w:p>
        </w:tc>
        <w:tc>
          <w:tcPr>
            <w:tcW w:w="1200" w:type="dxa"/>
            <w:vAlign w:val="bottom"/>
            <w:shd w:val="clear" w:color="auto" w:fill="C60C35"/>
          </w:tcPr>
          <w:p>
            <w:pPr>
              <w:spacing w:after="0"/>
              <w:rPr>
                <w:sz w:val="5"/>
                <w:szCs w:val="5"/>
                <w:color w:val="auto"/>
              </w:rPr>
            </w:pPr>
          </w:p>
        </w:tc>
        <w:tc>
          <w:tcPr>
            <w:tcW w:w="960" w:type="dxa"/>
            <w:vAlign w:val="bottom"/>
            <w:shd w:val="clear" w:color="auto" w:fill="C60C35"/>
          </w:tcPr>
          <w:p>
            <w:pPr>
              <w:spacing w:after="0"/>
              <w:rPr>
                <w:sz w:val="5"/>
                <w:szCs w:val="5"/>
                <w:color w:val="auto"/>
              </w:rPr>
            </w:pPr>
          </w:p>
        </w:tc>
        <w:tc>
          <w:tcPr>
            <w:tcW w:w="1200" w:type="dxa"/>
            <w:vAlign w:val="bottom"/>
            <w:shd w:val="clear" w:color="auto" w:fill="C60C35"/>
          </w:tcPr>
          <w:p>
            <w:pPr>
              <w:spacing w:after="0"/>
              <w:rPr>
                <w:sz w:val="5"/>
                <w:szCs w:val="5"/>
                <w:color w:val="auto"/>
              </w:rPr>
            </w:pPr>
          </w:p>
        </w:tc>
        <w:tc>
          <w:tcPr>
            <w:tcW w:w="1400" w:type="dxa"/>
            <w:vAlign w:val="bottom"/>
            <w:shd w:val="clear" w:color="auto" w:fill="C60C35"/>
          </w:tcPr>
          <w:p>
            <w:pPr>
              <w:spacing w:after="0"/>
              <w:rPr>
                <w:sz w:val="5"/>
                <w:szCs w:val="5"/>
                <w:color w:val="auto"/>
              </w:rPr>
            </w:pPr>
          </w:p>
        </w:tc>
      </w:tr>
      <w:tr>
        <w:trPr>
          <w:trHeight w:val="247"/>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ROIC</w:t>
            </w:r>
            <w:r>
              <w:rPr>
                <w:rFonts w:ascii="Arial" w:cs="Arial" w:eastAsia="Arial" w:hAnsi="Arial"/>
                <w:sz w:val="18"/>
                <w:szCs w:val="18"/>
                <w:color w:val="auto"/>
                <w:vertAlign w:val="superscript"/>
              </w:rPr>
              <w:t>(1)</w:t>
            </w:r>
          </w:p>
        </w:tc>
        <w:tc>
          <w:tcPr>
            <w:tcW w:w="900" w:type="dxa"/>
            <w:vAlign w:val="bottom"/>
            <w:shd w:val="clear" w:color="auto" w:fill="F1F2F2"/>
          </w:tcPr>
          <w:p>
            <w:pPr>
              <w:jc w:val="center"/>
              <w:ind w:left="68"/>
              <w:spacing w:after="0"/>
              <w:rPr>
                <w:sz w:val="20"/>
                <w:szCs w:val="20"/>
                <w:color w:val="auto"/>
              </w:rPr>
            </w:pPr>
            <w:r>
              <w:rPr>
                <w:rFonts w:ascii="Arial" w:cs="Arial" w:eastAsia="Arial" w:hAnsi="Arial"/>
                <w:sz w:val="14"/>
                <w:szCs w:val="14"/>
                <w:color w:val="auto"/>
                <w:w w:val="99"/>
              </w:rPr>
              <w:t>50%</w:t>
            </w:r>
          </w:p>
        </w:tc>
        <w:tc>
          <w:tcPr>
            <w:tcW w:w="3080" w:type="dxa"/>
            <w:vAlign w:val="bottom"/>
            <w:shd w:val="clear" w:color="auto" w:fill="F1F2F2"/>
          </w:tcPr>
          <w:p>
            <w:pPr>
              <w:jc w:val="center"/>
              <w:spacing w:after="0"/>
              <w:rPr>
                <w:sz w:val="20"/>
                <w:szCs w:val="20"/>
                <w:color w:val="auto"/>
              </w:rPr>
            </w:pPr>
            <w:r>
              <w:rPr>
                <w:rFonts w:ascii="Arial" w:cs="Arial" w:eastAsia="Arial" w:hAnsi="Arial"/>
                <w:sz w:val="14"/>
                <w:szCs w:val="14"/>
                <w:color w:val="auto"/>
              </w:rPr>
              <w:t>3-year weighted average (20% lowest year,</w:t>
            </w:r>
          </w:p>
        </w:tc>
        <w:tc>
          <w:tcPr>
            <w:tcW w:w="120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20%</w:t>
            </w:r>
          </w:p>
        </w:tc>
        <w:tc>
          <w:tcPr>
            <w:tcW w:w="96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30%</w:t>
            </w:r>
          </w:p>
        </w:tc>
        <w:tc>
          <w:tcPr>
            <w:tcW w:w="1200" w:type="dxa"/>
            <w:vAlign w:val="bottom"/>
            <w:shd w:val="clear" w:color="auto" w:fill="F1F2F2"/>
          </w:tcPr>
          <w:p>
            <w:pPr>
              <w:jc w:val="right"/>
              <w:ind w:right="108"/>
              <w:spacing w:after="0"/>
              <w:rPr>
                <w:sz w:val="20"/>
                <w:szCs w:val="20"/>
                <w:color w:val="auto"/>
              </w:rPr>
            </w:pPr>
            <w:r>
              <w:rPr>
                <w:rFonts w:ascii="Arial" w:cs="Arial" w:eastAsia="Arial" w:hAnsi="Arial"/>
                <w:sz w:val="14"/>
                <w:szCs w:val="14"/>
                <w:color w:val="auto"/>
              </w:rPr>
              <w:t>40%</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47.0 %</w:t>
            </w:r>
          </w:p>
        </w:tc>
      </w:tr>
      <w:tr>
        <w:trPr>
          <w:trHeight w:val="192"/>
        </w:trPr>
        <w:tc>
          <w:tcPr>
            <w:tcW w:w="2500" w:type="dxa"/>
            <w:vAlign w:val="bottom"/>
            <w:tcBorders>
              <w:bottom w:val="single" w:sz="8" w:color="F1F2F2"/>
            </w:tcBorders>
            <w:shd w:val="clear" w:color="auto" w:fill="F1F2F2"/>
          </w:tcPr>
          <w:p>
            <w:pPr>
              <w:spacing w:after="0"/>
              <w:rPr>
                <w:sz w:val="16"/>
                <w:szCs w:val="16"/>
                <w:color w:val="auto"/>
              </w:rPr>
            </w:pPr>
          </w:p>
        </w:tc>
        <w:tc>
          <w:tcPr>
            <w:tcW w:w="900" w:type="dxa"/>
            <w:vAlign w:val="bottom"/>
            <w:tcBorders>
              <w:bottom w:val="single" w:sz="8" w:color="F1F2F2"/>
            </w:tcBorders>
            <w:shd w:val="clear" w:color="auto" w:fill="F1F2F2"/>
          </w:tcPr>
          <w:p>
            <w:pPr>
              <w:spacing w:after="0"/>
              <w:rPr>
                <w:sz w:val="16"/>
                <w:szCs w:val="16"/>
                <w:color w:val="auto"/>
              </w:rPr>
            </w:pPr>
          </w:p>
        </w:tc>
        <w:tc>
          <w:tcPr>
            <w:tcW w:w="30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4"/>
                <w:szCs w:val="14"/>
                <w:color w:val="auto"/>
              </w:rPr>
              <w:t>40% other two years)</w:t>
            </w:r>
          </w:p>
        </w:tc>
        <w:tc>
          <w:tcPr>
            <w:tcW w:w="1200" w:type="dxa"/>
            <w:vAlign w:val="bottom"/>
            <w:tcBorders>
              <w:bottom w:val="single" w:sz="8" w:color="F1F2F2"/>
            </w:tcBorders>
            <w:shd w:val="clear" w:color="auto" w:fill="F1F2F2"/>
          </w:tcPr>
          <w:p>
            <w:pPr>
              <w:spacing w:after="0"/>
              <w:rPr>
                <w:sz w:val="16"/>
                <w:szCs w:val="16"/>
                <w:color w:val="auto"/>
              </w:rPr>
            </w:pPr>
          </w:p>
        </w:tc>
        <w:tc>
          <w:tcPr>
            <w:tcW w:w="960" w:type="dxa"/>
            <w:vAlign w:val="bottom"/>
            <w:tcBorders>
              <w:bottom w:val="single" w:sz="8" w:color="F1F2F2"/>
            </w:tcBorders>
            <w:shd w:val="clear" w:color="auto" w:fill="F1F2F2"/>
          </w:tcPr>
          <w:p>
            <w:pPr>
              <w:spacing w:after="0"/>
              <w:rPr>
                <w:sz w:val="16"/>
                <w:szCs w:val="16"/>
                <w:color w:val="auto"/>
              </w:rPr>
            </w:pPr>
          </w:p>
        </w:tc>
        <w:tc>
          <w:tcPr>
            <w:tcW w:w="1200" w:type="dxa"/>
            <w:vAlign w:val="bottom"/>
            <w:tcBorders>
              <w:bottom w:val="single" w:sz="8" w:color="F1F2F2"/>
            </w:tcBorders>
            <w:shd w:val="clear" w:color="auto" w:fill="F1F2F2"/>
          </w:tcPr>
          <w:p>
            <w:pPr>
              <w:spacing w:after="0"/>
              <w:rPr>
                <w:sz w:val="16"/>
                <w:szCs w:val="16"/>
                <w:color w:val="auto"/>
              </w:rPr>
            </w:pPr>
          </w:p>
        </w:tc>
        <w:tc>
          <w:tcPr>
            <w:tcW w:w="1400" w:type="dxa"/>
            <w:vAlign w:val="bottom"/>
            <w:tcBorders>
              <w:bottom w:val="single" w:sz="8" w:color="F1F2F2"/>
            </w:tcBorders>
            <w:shd w:val="clear" w:color="auto" w:fill="F1F2F2"/>
          </w:tcPr>
          <w:p>
            <w:pPr>
              <w:spacing w:after="0"/>
              <w:rPr>
                <w:sz w:val="16"/>
                <w:szCs w:val="16"/>
                <w:color w:val="auto"/>
              </w:rPr>
            </w:pPr>
          </w:p>
        </w:tc>
      </w:tr>
      <w:tr>
        <w:trPr>
          <w:trHeight w:val="229"/>
        </w:trPr>
        <w:tc>
          <w:tcPr>
            <w:tcW w:w="2500" w:type="dxa"/>
            <w:vAlign w:val="bottom"/>
          </w:tcPr>
          <w:p>
            <w:pPr>
              <w:ind w:left="100"/>
              <w:spacing w:after="0"/>
              <w:rPr>
                <w:sz w:val="20"/>
                <w:szCs w:val="20"/>
                <w:color w:val="auto"/>
              </w:rPr>
            </w:pPr>
            <w:r>
              <w:rPr>
                <w:rFonts w:ascii="Arial" w:cs="Arial" w:eastAsia="Arial" w:hAnsi="Arial"/>
                <w:sz w:val="14"/>
                <w:szCs w:val="14"/>
                <w:color w:val="auto"/>
              </w:rPr>
              <w:t>Company Core Net Income</w:t>
            </w:r>
            <w:r>
              <w:rPr>
                <w:rFonts w:ascii="Arial" w:cs="Arial" w:eastAsia="Arial" w:hAnsi="Arial"/>
                <w:sz w:val="18"/>
                <w:szCs w:val="18"/>
                <w:color w:val="auto"/>
                <w:vertAlign w:val="superscript"/>
              </w:rPr>
              <w:t>(2)</w:t>
            </w:r>
          </w:p>
        </w:tc>
        <w:tc>
          <w:tcPr>
            <w:tcW w:w="900" w:type="dxa"/>
            <w:vAlign w:val="bottom"/>
          </w:tcPr>
          <w:p>
            <w:pPr>
              <w:jc w:val="center"/>
              <w:ind w:left="68"/>
              <w:spacing w:after="0"/>
              <w:rPr>
                <w:sz w:val="20"/>
                <w:szCs w:val="20"/>
                <w:color w:val="auto"/>
              </w:rPr>
            </w:pPr>
            <w:r>
              <w:rPr>
                <w:rFonts w:ascii="Arial" w:cs="Arial" w:eastAsia="Arial" w:hAnsi="Arial"/>
                <w:sz w:val="14"/>
                <w:szCs w:val="14"/>
                <w:color w:val="auto"/>
                <w:w w:val="99"/>
              </w:rPr>
              <w:t>50%</w:t>
            </w:r>
          </w:p>
        </w:tc>
        <w:tc>
          <w:tcPr>
            <w:tcW w:w="3080" w:type="dxa"/>
            <w:vAlign w:val="bottom"/>
          </w:tcPr>
          <w:p>
            <w:pPr>
              <w:jc w:val="center"/>
              <w:spacing w:after="0"/>
              <w:rPr>
                <w:sz w:val="20"/>
                <w:szCs w:val="20"/>
                <w:color w:val="auto"/>
              </w:rPr>
            </w:pPr>
            <w:r>
              <w:rPr>
                <w:rFonts w:ascii="Arial" w:cs="Arial" w:eastAsia="Arial" w:hAnsi="Arial"/>
                <w:sz w:val="14"/>
                <w:szCs w:val="14"/>
                <w:color w:val="auto"/>
              </w:rPr>
              <w:t>3-year compound annual growth rate</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2 %</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7 %</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18 %</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17.2 %</w:t>
            </w:r>
          </w:p>
        </w:tc>
      </w:tr>
      <w:tr>
        <w:trPr>
          <w:trHeight w:val="230"/>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Payout as a % of Target Award</w:t>
            </w:r>
          </w:p>
        </w:tc>
        <w:tc>
          <w:tcPr>
            <w:tcW w:w="900" w:type="dxa"/>
            <w:vAlign w:val="bottom"/>
            <w:shd w:val="clear" w:color="auto" w:fill="F1F2F2"/>
          </w:tcPr>
          <w:p>
            <w:pPr>
              <w:spacing w:after="0"/>
              <w:rPr>
                <w:sz w:val="19"/>
                <w:szCs w:val="19"/>
                <w:color w:val="auto"/>
              </w:rPr>
            </w:pPr>
          </w:p>
        </w:tc>
        <w:tc>
          <w:tcPr>
            <w:tcW w:w="3080" w:type="dxa"/>
            <w:vAlign w:val="bottom"/>
            <w:shd w:val="clear" w:color="auto" w:fill="F1F2F2"/>
          </w:tcPr>
          <w:p>
            <w:pPr>
              <w:spacing w:after="0"/>
              <w:rPr>
                <w:sz w:val="19"/>
                <w:szCs w:val="19"/>
                <w:color w:val="auto"/>
              </w:rPr>
            </w:pPr>
          </w:p>
        </w:tc>
        <w:tc>
          <w:tcPr>
            <w:tcW w:w="1200" w:type="dxa"/>
            <w:vAlign w:val="bottom"/>
            <w:shd w:val="clear" w:color="auto" w:fill="F1F2F2"/>
          </w:tcPr>
          <w:p>
            <w:pPr>
              <w:jc w:val="right"/>
              <w:ind w:right="108"/>
              <w:spacing w:after="0"/>
              <w:rPr>
                <w:sz w:val="20"/>
                <w:szCs w:val="20"/>
                <w:color w:val="auto"/>
              </w:rPr>
            </w:pPr>
            <w:r>
              <w:rPr>
                <w:rFonts w:ascii="Arial" w:cs="Arial" w:eastAsia="Arial" w:hAnsi="Arial"/>
                <w:sz w:val="14"/>
                <w:szCs w:val="14"/>
                <w:b w:val="1"/>
                <w:bCs w:val="1"/>
                <w:color w:val="auto"/>
              </w:rPr>
              <w:t>50%</w:t>
            </w:r>
          </w:p>
        </w:tc>
        <w:tc>
          <w:tcPr>
            <w:tcW w:w="960" w:type="dxa"/>
            <w:vAlign w:val="bottom"/>
            <w:shd w:val="clear" w:color="auto" w:fill="F1F2F2"/>
          </w:tcPr>
          <w:p>
            <w:pPr>
              <w:jc w:val="right"/>
              <w:ind w:right="108"/>
              <w:spacing w:after="0"/>
              <w:rPr>
                <w:sz w:val="20"/>
                <w:szCs w:val="20"/>
                <w:color w:val="auto"/>
              </w:rPr>
            </w:pPr>
            <w:r>
              <w:rPr>
                <w:rFonts w:ascii="Arial" w:cs="Arial" w:eastAsia="Arial" w:hAnsi="Arial"/>
                <w:sz w:val="14"/>
                <w:szCs w:val="14"/>
                <w:b w:val="1"/>
                <w:bCs w:val="1"/>
                <w:color w:val="auto"/>
              </w:rPr>
              <w:t>100%</w:t>
            </w:r>
          </w:p>
        </w:tc>
        <w:tc>
          <w:tcPr>
            <w:tcW w:w="1200" w:type="dxa"/>
            <w:vAlign w:val="bottom"/>
            <w:shd w:val="clear" w:color="auto" w:fill="F1F2F2"/>
          </w:tcPr>
          <w:p>
            <w:pPr>
              <w:jc w:val="right"/>
              <w:ind w:right="108"/>
              <w:spacing w:after="0"/>
              <w:rPr>
                <w:sz w:val="20"/>
                <w:szCs w:val="20"/>
                <w:color w:val="auto"/>
              </w:rPr>
            </w:pPr>
            <w:r>
              <w:rPr>
                <w:rFonts w:ascii="Arial" w:cs="Arial" w:eastAsia="Arial" w:hAnsi="Arial"/>
                <w:sz w:val="14"/>
                <w:szCs w:val="14"/>
                <w:b w:val="1"/>
                <w:bCs w:val="1"/>
                <w:color w:val="auto"/>
              </w:rPr>
              <w:t>200%</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196.4 %</w:t>
            </w:r>
          </w:p>
        </w:tc>
      </w:tr>
    </w:tbl>
    <w:p>
      <w:pPr>
        <w:spacing w:after="0" w:line="193" w:lineRule="exact"/>
        <w:rPr>
          <w:sz w:val="20"/>
          <w:szCs w:val="20"/>
          <w:color w:val="auto"/>
        </w:rPr>
      </w:pPr>
    </w:p>
    <w:p>
      <w:pPr>
        <w:ind w:left="340" w:right="180" w:hanging="332"/>
        <w:spacing w:after="0" w:line="273"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Net operating profit after tax, a component of ROIC and a non-GAAP financial measure used for incentive compensation purposes, is income from continuing operations, adjusted for restructuring charges, impairments on assets held for sale, gain (loss) on previous dispositions, non-core business results, certain legal charges and contingency adjustments, pension settlement charges, and certain other items.</w:t>
      </w:r>
    </w:p>
    <w:p>
      <w:pPr>
        <w:spacing w:after="0" w:line="71" w:lineRule="exact"/>
        <w:rPr>
          <w:rFonts w:ascii="Arial" w:cs="Arial" w:eastAsia="Arial" w:hAnsi="Arial"/>
          <w:sz w:val="14"/>
          <w:szCs w:val="14"/>
          <w:color w:val="auto"/>
        </w:rPr>
      </w:pPr>
    </w:p>
    <w:p>
      <w:pPr>
        <w:ind w:left="340" w:right="80" w:hanging="332"/>
        <w:spacing w:after="0" w:line="305"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GAAP net income from continuing operations, adjusted for after-tax impacts of restructuring charges, certain legal charges and contingency adjustments, impairments on assets held for sale, gain (loss) on previous dispositions, non-core business results, and certain other items.</w:t>
      </w: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6" w:name="page47"/>
    <w:bookmarkEnd w:id="46"/>
    <w:p>
      <w:pPr>
        <w:jc w:val="both"/>
        <w:ind w:right="300" w:firstLine="324"/>
        <w:spacing w:after="0" w:line="247" w:lineRule="auto"/>
        <w:rPr>
          <w:sz w:val="20"/>
          <w:szCs w:val="20"/>
          <w:color w:val="auto"/>
        </w:rPr>
      </w:pPr>
      <w:r>
        <w:rPr>
          <w:rFonts w:ascii="Arial" w:cs="Arial" w:eastAsia="Arial" w:hAnsi="Arial"/>
          <w:sz w:val="18"/>
          <w:szCs w:val="18"/>
          <w:u w:val="single" w:color="auto"/>
          <w:color w:val="auto"/>
        </w:rPr>
        <w:t>RSUs</w:t>
      </w:r>
      <w:r>
        <w:rPr>
          <w:rFonts w:ascii="Arial" w:cs="Arial" w:eastAsia="Arial" w:hAnsi="Arial"/>
          <w:sz w:val="18"/>
          <w:szCs w:val="18"/>
          <w:color w:val="auto"/>
        </w:rPr>
        <w:t>. To support our leadership retention objectives, 30% of the February 2025 LTI award was granted in the form of RSUs. RSUs generally vest and are distributed in shares of Company common stock three years following the date of grant if the recipient remains an employee of the Company and all other conditions of the award are met. Dividends are not earned or paid on RSUs during the three-year vesting period. The number of shares granted to our NEOs in 2025 is included in the 2025 Grants of Plan-Based Awards Table in the “All Other Stock Awards: Number of Shares of Stock or Units” column.</w:t>
      </w:r>
    </w:p>
    <w:p>
      <w:pPr>
        <w:spacing w:after="0" w:line="136"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u w:val="single" w:color="auto"/>
          <w:color w:val="auto"/>
        </w:rPr>
        <w:t>SARs</w:t>
      </w:r>
      <w:r>
        <w:rPr>
          <w:rFonts w:ascii="Arial" w:cs="Arial" w:eastAsia="Arial" w:hAnsi="Arial"/>
          <w:sz w:val="18"/>
          <w:szCs w:val="18"/>
          <w:color w:val="auto"/>
        </w:rPr>
        <w:t>. To incentivize NEOs to grow our business and deliver increased returns to our stockholders, 20% of the February 2025 LTI award was granted in the form of SARs. SARs vest in one-third increments on each anniversary of the date of grant. Upon the exercise of vested SARs, the increase between the fair market value of our common stock on the date of grant and the fair market value on the date of the SAR exercise is paid in Company common stock. The grant date fair value and the SAR exercise price are determined on the date of grant. SARs granted in February 2025 expire seven years from the date of grant. The number of SARs granted to our NEOs in 2025 is included in the 2025 Grants of Plan-Based Awards Table in the “All Other Option Awards: Number of Securities Underlying Options” column.</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Other Compensation Practices, Policies and Programs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Stock Ownership Guidelines</w:t>
      </w:r>
    </w:p>
    <w:p>
      <w:pPr>
        <w:spacing w:after="0" w:line="156" w:lineRule="exact"/>
        <w:rPr>
          <w:sz w:val="20"/>
          <w:szCs w:val="20"/>
          <w:color w:val="auto"/>
        </w:rPr>
      </w:pPr>
    </w:p>
    <w:p>
      <w:pPr>
        <w:ind w:right="600" w:firstLine="324"/>
        <w:spacing w:after="0" w:line="271" w:lineRule="auto"/>
        <w:rPr>
          <w:sz w:val="20"/>
          <w:szCs w:val="20"/>
          <w:color w:val="auto"/>
        </w:rPr>
      </w:pPr>
      <w:r>
        <w:rPr>
          <w:rFonts w:ascii="Arial" w:cs="Arial" w:eastAsia="Arial" w:hAnsi="Arial"/>
          <w:sz w:val="18"/>
          <w:szCs w:val="18"/>
          <w:color w:val="auto"/>
        </w:rPr>
        <w:t>The Company has stock ownership guidelines for the CEO and other NEOs. We believe stock ownership by executives aligns the interests of executives with the interests of our stockholders and motivates executives to build long-term stockholder value.</w:t>
      </w:r>
    </w:p>
    <w:p>
      <w:pPr>
        <w:spacing w:after="0" w:line="113"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The following chart sets forth, as of December 31, 2025, for each NEO, the stock ownership requirements as a multiple of base salary, the total number of shares and unvested RSUs counted toward the stock ownership requirements, and the value of the shares and unvested RSUs as a multiple of base salary. NEOs must retain their net shares until they have met their ownership requirements. All NEOs who were serving as executive officers as of December 31, 2025, met the stock ownership guidelines as of such date, except for Mr. Quenzer who first became subject to these guidelines in 2024 and Ms. Martin who first became subject to these guidelines in 2025. NEOs are given five years from the date of appointment as an NEO to meet the guidelines.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00" w:type="dxa"/>
            <w:vAlign w:val="bottom"/>
            <w:shd w:val="clear" w:color="auto" w:fill="C60C35"/>
          </w:tcPr>
          <w:p>
            <w:pPr>
              <w:spacing w:after="0"/>
              <w:rPr>
                <w:sz w:val="16"/>
                <w:szCs w:val="16"/>
                <w:color w:val="auto"/>
              </w:rPr>
            </w:pPr>
          </w:p>
        </w:tc>
        <w:tc>
          <w:tcPr>
            <w:tcW w:w="1920" w:type="dxa"/>
            <w:vAlign w:val="bottom"/>
            <w:shd w:val="clear" w:color="auto" w:fill="C60C35"/>
          </w:tcPr>
          <w:p>
            <w:pPr>
              <w:jc w:val="right"/>
              <w:ind w:right="208"/>
              <w:spacing w:after="0"/>
              <w:rPr>
                <w:sz w:val="20"/>
                <w:szCs w:val="20"/>
                <w:color w:val="auto"/>
              </w:rPr>
            </w:pPr>
            <w:r>
              <w:rPr>
                <w:rFonts w:ascii="Arial" w:cs="Arial" w:eastAsia="Arial" w:hAnsi="Arial"/>
                <w:sz w:val="14"/>
                <w:szCs w:val="14"/>
                <w:b w:val="1"/>
                <w:bCs w:val="1"/>
                <w:color w:val="FFFFFF"/>
              </w:rPr>
              <w:t>Ownership</w:t>
            </w:r>
          </w:p>
        </w:tc>
        <w:tc>
          <w:tcPr>
            <w:tcW w:w="1620" w:type="dxa"/>
            <w:vAlign w:val="bottom"/>
            <w:shd w:val="clear" w:color="auto" w:fill="C60C35"/>
          </w:tcPr>
          <w:p>
            <w:pPr>
              <w:spacing w:after="0"/>
              <w:rPr>
                <w:sz w:val="16"/>
                <w:szCs w:val="16"/>
                <w:color w:val="auto"/>
              </w:rPr>
            </w:pPr>
          </w:p>
        </w:tc>
        <w:tc>
          <w:tcPr>
            <w:tcW w:w="1580" w:type="dxa"/>
            <w:vAlign w:val="bottom"/>
            <w:shd w:val="clear" w:color="auto" w:fill="C60C35"/>
          </w:tcPr>
          <w:p>
            <w:pPr>
              <w:spacing w:after="0"/>
              <w:rPr>
                <w:sz w:val="16"/>
                <w:szCs w:val="16"/>
                <w:color w:val="auto"/>
              </w:rPr>
            </w:pPr>
          </w:p>
        </w:tc>
      </w:tr>
      <w:tr>
        <w:trPr>
          <w:trHeight w:val="162"/>
        </w:trPr>
        <w:tc>
          <w:tcPr>
            <w:tcW w:w="6100" w:type="dxa"/>
            <w:vAlign w:val="bottom"/>
            <w:shd w:val="clear" w:color="auto" w:fill="C60C35"/>
          </w:tcPr>
          <w:p>
            <w:pPr>
              <w:spacing w:after="0"/>
              <w:rPr>
                <w:sz w:val="14"/>
                <w:szCs w:val="14"/>
                <w:color w:val="auto"/>
              </w:rPr>
            </w:pPr>
          </w:p>
        </w:tc>
        <w:tc>
          <w:tcPr>
            <w:tcW w:w="1920" w:type="dxa"/>
            <w:vAlign w:val="bottom"/>
            <w:shd w:val="clear" w:color="auto" w:fill="C60C35"/>
          </w:tcPr>
          <w:p>
            <w:pPr>
              <w:jc w:val="right"/>
              <w:ind w:right="208"/>
              <w:spacing w:after="0"/>
              <w:rPr>
                <w:sz w:val="20"/>
                <w:szCs w:val="20"/>
                <w:color w:val="auto"/>
              </w:rPr>
            </w:pPr>
            <w:r>
              <w:rPr>
                <w:rFonts w:ascii="Arial" w:cs="Arial" w:eastAsia="Arial" w:hAnsi="Arial"/>
                <w:sz w:val="14"/>
                <w:szCs w:val="14"/>
                <w:b w:val="1"/>
                <w:bCs w:val="1"/>
                <w:color w:val="FFFFFF"/>
              </w:rPr>
              <w:t>Requirement as a</w:t>
            </w:r>
          </w:p>
        </w:tc>
        <w:tc>
          <w:tcPr>
            <w:tcW w:w="162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Total Number of</w:t>
            </w:r>
          </w:p>
        </w:tc>
        <w:tc>
          <w:tcPr>
            <w:tcW w:w="15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Stock Ownership</w:t>
            </w:r>
          </w:p>
        </w:tc>
      </w:tr>
      <w:tr>
        <w:trPr>
          <w:trHeight w:val="175"/>
        </w:trPr>
        <w:tc>
          <w:tcPr>
            <w:tcW w:w="6100" w:type="dxa"/>
            <w:vAlign w:val="bottom"/>
            <w:shd w:val="clear" w:color="auto" w:fill="C60C35"/>
          </w:tcPr>
          <w:p>
            <w:pPr>
              <w:spacing w:after="0"/>
              <w:rPr>
                <w:sz w:val="15"/>
                <w:szCs w:val="15"/>
                <w:color w:val="auto"/>
              </w:rPr>
            </w:pPr>
          </w:p>
        </w:tc>
        <w:tc>
          <w:tcPr>
            <w:tcW w:w="1920" w:type="dxa"/>
            <w:vAlign w:val="bottom"/>
            <w:shd w:val="clear" w:color="auto" w:fill="C60C35"/>
          </w:tcPr>
          <w:p>
            <w:pPr>
              <w:jc w:val="right"/>
              <w:ind w:right="208"/>
              <w:spacing w:after="0"/>
              <w:rPr>
                <w:sz w:val="20"/>
                <w:szCs w:val="20"/>
                <w:color w:val="auto"/>
              </w:rPr>
            </w:pPr>
            <w:r>
              <w:rPr>
                <w:rFonts w:ascii="Arial" w:cs="Arial" w:eastAsia="Arial" w:hAnsi="Arial"/>
                <w:sz w:val="14"/>
                <w:szCs w:val="14"/>
                <w:b w:val="1"/>
                <w:bCs w:val="1"/>
                <w:color w:val="FFFFFF"/>
              </w:rPr>
              <w:t>Multiple of Base</w:t>
            </w:r>
          </w:p>
        </w:tc>
        <w:tc>
          <w:tcPr>
            <w:tcW w:w="162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Shares and</w:t>
            </w:r>
          </w:p>
        </w:tc>
        <w:tc>
          <w:tcPr>
            <w:tcW w:w="15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as Multiple of</w:t>
            </w:r>
          </w:p>
        </w:tc>
      </w:tr>
      <w:tr>
        <w:trPr>
          <w:trHeight w:val="196"/>
        </w:trPr>
        <w:tc>
          <w:tcPr>
            <w:tcW w:w="61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1920" w:type="dxa"/>
            <w:vAlign w:val="bottom"/>
            <w:shd w:val="clear" w:color="auto" w:fill="C60C35"/>
          </w:tcPr>
          <w:p>
            <w:pPr>
              <w:jc w:val="right"/>
              <w:ind w:right="208"/>
              <w:spacing w:after="0"/>
              <w:rPr>
                <w:sz w:val="20"/>
                <w:szCs w:val="20"/>
                <w:color w:val="auto"/>
              </w:rPr>
            </w:pPr>
            <w:r>
              <w:rPr>
                <w:rFonts w:ascii="Arial" w:cs="Arial" w:eastAsia="Arial" w:hAnsi="Arial"/>
                <w:sz w:val="14"/>
                <w:szCs w:val="14"/>
                <w:b w:val="1"/>
                <w:bCs w:val="1"/>
                <w:color w:val="FFFFFF"/>
              </w:rPr>
              <w:t>Salary</w:t>
            </w:r>
          </w:p>
        </w:tc>
        <w:tc>
          <w:tcPr>
            <w:tcW w:w="162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Unvested RSUs</w:t>
            </w:r>
          </w:p>
        </w:tc>
        <w:tc>
          <w:tcPr>
            <w:tcW w:w="15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Base Salary</w:t>
            </w:r>
            <w:r>
              <w:rPr>
                <w:rFonts w:ascii="Arial" w:cs="Arial" w:eastAsia="Arial" w:hAnsi="Arial"/>
                <w:sz w:val="9"/>
                <w:szCs w:val="9"/>
                <w:b w:val="1"/>
                <w:bCs w:val="1"/>
                <w:color w:val="FFFFFF"/>
              </w:rPr>
              <w:t>(1)</w:t>
            </w:r>
          </w:p>
        </w:tc>
      </w:tr>
      <w:tr>
        <w:trPr>
          <w:trHeight w:val="69"/>
        </w:trPr>
        <w:tc>
          <w:tcPr>
            <w:tcW w:w="6100" w:type="dxa"/>
            <w:vAlign w:val="bottom"/>
            <w:shd w:val="clear" w:color="auto" w:fill="C60C35"/>
          </w:tcPr>
          <w:p>
            <w:pPr>
              <w:spacing w:after="0"/>
              <w:rPr>
                <w:sz w:val="6"/>
                <w:szCs w:val="6"/>
                <w:color w:val="auto"/>
              </w:rPr>
            </w:pPr>
          </w:p>
        </w:tc>
        <w:tc>
          <w:tcPr>
            <w:tcW w:w="1920" w:type="dxa"/>
            <w:vAlign w:val="bottom"/>
            <w:shd w:val="clear" w:color="auto" w:fill="C60C35"/>
          </w:tcPr>
          <w:p>
            <w:pPr>
              <w:spacing w:after="0"/>
              <w:rPr>
                <w:sz w:val="6"/>
                <w:szCs w:val="6"/>
                <w:color w:val="auto"/>
              </w:rPr>
            </w:pPr>
          </w:p>
        </w:tc>
        <w:tc>
          <w:tcPr>
            <w:tcW w:w="1620" w:type="dxa"/>
            <w:vAlign w:val="bottom"/>
            <w:shd w:val="clear" w:color="auto" w:fill="C60C35"/>
          </w:tcPr>
          <w:p>
            <w:pPr>
              <w:spacing w:after="0"/>
              <w:rPr>
                <w:sz w:val="6"/>
                <w:szCs w:val="6"/>
                <w:color w:val="auto"/>
              </w:rPr>
            </w:pPr>
          </w:p>
        </w:tc>
        <w:tc>
          <w:tcPr>
            <w:tcW w:w="1580" w:type="dxa"/>
            <w:vAlign w:val="bottom"/>
            <w:shd w:val="clear" w:color="auto" w:fill="C60C35"/>
          </w:tcPr>
          <w:p>
            <w:pPr>
              <w:spacing w:after="0"/>
              <w:rPr>
                <w:sz w:val="6"/>
                <w:szCs w:val="6"/>
                <w:color w:val="auto"/>
              </w:rPr>
            </w:pPr>
          </w:p>
        </w:tc>
      </w:tr>
      <w:tr>
        <w:trPr>
          <w:trHeight w:val="210"/>
        </w:trPr>
        <w:tc>
          <w:tcPr>
            <w:tcW w:w="61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920" w:type="dxa"/>
            <w:vAlign w:val="bottom"/>
            <w:tcBorders>
              <w:bottom w:val="single" w:sz="8" w:color="F1F2F2"/>
            </w:tcBorders>
            <w:shd w:val="clear" w:color="auto" w:fill="F1F2F2"/>
          </w:tcPr>
          <w:p>
            <w:pPr>
              <w:jc w:val="right"/>
              <w:ind w:right="208"/>
              <w:spacing w:after="0"/>
              <w:rPr>
                <w:sz w:val="20"/>
                <w:szCs w:val="20"/>
                <w:color w:val="auto"/>
              </w:rPr>
            </w:pPr>
            <w:r>
              <w:rPr>
                <w:rFonts w:ascii="Arial" w:cs="Arial" w:eastAsia="Arial" w:hAnsi="Arial"/>
                <w:sz w:val="14"/>
                <w:szCs w:val="14"/>
                <w:color w:val="auto"/>
              </w:rPr>
              <w:t>6X</w:t>
            </w:r>
          </w:p>
        </w:tc>
        <w:tc>
          <w:tcPr>
            <w:tcW w:w="162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24,891</w:t>
            </w:r>
          </w:p>
        </w:tc>
        <w:tc>
          <w:tcPr>
            <w:tcW w:w="15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11.8X</w:t>
            </w:r>
          </w:p>
        </w:tc>
      </w:tr>
      <w:tr>
        <w:trPr>
          <w:trHeight w:val="208"/>
        </w:trPr>
        <w:tc>
          <w:tcPr>
            <w:tcW w:w="610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920" w:type="dxa"/>
            <w:vAlign w:val="bottom"/>
          </w:tcPr>
          <w:p>
            <w:pPr>
              <w:jc w:val="right"/>
              <w:ind w:right="208"/>
              <w:spacing w:after="0"/>
              <w:rPr>
                <w:sz w:val="20"/>
                <w:szCs w:val="20"/>
                <w:color w:val="auto"/>
              </w:rPr>
            </w:pPr>
            <w:r>
              <w:rPr>
                <w:rFonts w:ascii="Arial" w:cs="Arial" w:eastAsia="Arial" w:hAnsi="Arial"/>
                <w:sz w:val="14"/>
                <w:szCs w:val="14"/>
                <w:color w:val="auto"/>
              </w:rPr>
              <w:t>3X</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3,402</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2.9X</w:t>
            </w:r>
          </w:p>
        </w:tc>
      </w:tr>
      <w:tr>
        <w:trPr>
          <w:trHeight w:val="22"/>
        </w:trPr>
        <w:tc>
          <w:tcPr>
            <w:tcW w:w="6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9"/>
        </w:trPr>
        <w:tc>
          <w:tcPr>
            <w:tcW w:w="61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Sarah R. Martin</w:t>
            </w:r>
          </w:p>
        </w:tc>
        <w:tc>
          <w:tcPr>
            <w:tcW w:w="1920" w:type="dxa"/>
            <w:vAlign w:val="bottom"/>
            <w:tcBorders>
              <w:bottom w:val="single" w:sz="8" w:color="F1F2F2"/>
            </w:tcBorders>
            <w:shd w:val="clear" w:color="auto" w:fill="F1F2F2"/>
          </w:tcPr>
          <w:p>
            <w:pPr>
              <w:jc w:val="right"/>
              <w:ind w:right="208"/>
              <w:spacing w:after="0"/>
              <w:rPr>
                <w:sz w:val="20"/>
                <w:szCs w:val="20"/>
                <w:color w:val="auto"/>
              </w:rPr>
            </w:pPr>
            <w:r>
              <w:rPr>
                <w:rFonts w:ascii="Arial" w:cs="Arial" w:eastAsia="Arial" w:hAnsi="Arial"/>
                <w:sz w:val="14"/>
                <w:szCs w:val="14"/>
                <w:color w:val="auto"/>
              </w:rPr>
              <w:t>3X</w:t>
            </w:r>
          </w:p>
        </w:tc>
        <w:tc>
          <w:tcPr>
            <w:tcW w:w="162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1,647</w:t>
            </w:r>
          </w:p>
        </w:tc>
        <w:tc>
          <w:tcPr>
            <w:tcW w:w="15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1.5X</w:t>
            </w:r>
          </w:p>
        </w:tc>
      </w:tr>
      <w:tr>
        <w:trPr>
          <w:trHeight w:val="208"/>
        </w:trPr>
        <w:tc>
          <w:tcPr>
            <w:tcW w:w="610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1920" w:type="dxa"/>
            <w:vAlign w:val="bottom"/>
          </w:tcPr>
          <w:p>
            <w:pPr>
              <w:jc w:val="right"/>
              <w:ind w:right="208"/>
              <w:spacing w:after="0"/>
              <w:rPr>
                <w:sz w:val="20"/>
                <w:szCs w:val="20"/>
                <w:color w:val="auto"/>
              </w:rPr>
            </w:pPr>
            <w:r>
              <w:rPr>
                <w:rFonts w:ascii="Arial" w:cs="Arial" w:eastAsia="Arial" w:hAnsi="Arial"/>
                <w:sz w:val="14"/>
                <w:szCs w:val="14"/>
                <w:color w:val="auto"/>
              </w:rPr>
              <w:t>3X</w:t>
            </w:r>
          </w:p>
        </w:tc>
        <w:tc>
          <w:tcPr>
            <w:tcW w:w="1620" w:type="dxa"/>
            <w:vAlign w:val="bottom"/>
          </w:tcPr>
          <w:p>
            <w:pPr>
              <w:jc w:val="right"/>
              <w:ind w:right="168"/>
              <w:spacing w:after="0"/>
              <w:rPr>
                <w:sz w:val="20"/>
                <w:szCs w:val="20"/>
                <w:color w:val="auto"/>
              </w:rPr>
            </w:pPr>
            <w:r>
              <w:rPr>
                <w:rFonts w:ascii="Arial" w:cs="Arial" w:eastAsia="Arial" w:hAnsi="Arial"/>
                <w:sz w:val="14"/>
                <w:szCs w:val="14"/>
                <w:color w:val="auto"/>
              </w:rPr>
              <w:t>7,897</w:t>
            </w: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7.4X</w:t>
            </w:r>
          </w:p>
        </w:tc>
      </w:tr>
      <w:tr>
        <w:trPr>
          <w:trHeight w:val="22"/>
        </w:trPr>
        <w:tc>
          <w:tcPr>
            <w:tcW w:w="6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08"/>
        </w:trPr>
        <w:tc>
          <w:tcPr>
            <w:tcW w:w="61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1920" w:type="dxa"/>
            <w:vAlign w:val="bottom"/>
            <w:shd w:val="clear" w:color="auto" w:fill="F1F2F2"/>
          </w:tcPr>
          <w:p>
            <w:pPr>
              <w:jc w:val="right"/>
              <w:ind w:right="208"/>
              <w:spacing w:after="0"/>
              <w:rPr>
                <w:sz w:val="20"/>
                <w:szCs w:val="20"/>
                <w:color w:val="auto"/>
              </w:rPr>
            </w:pPr>
            <w:r>
              <w:rPr>
                <w:rFonts w:ascii="Arial" w:cs="Arial" w:eastAsia="Arial" w:hAnsi="Arial"/>
                <w:sz w:val="14"/>
                <w:szCs w:val="14"/>
                <w:color w:val="auto"/>
              </w:rPr>
              <w:t>3X</w:t>
            </w:r>
          </w:p>
        </w:tc>
        <w:tc>
          <w:tcPr>
            <w:tcW w:w="162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31,043</w:t>
            </w:r>
          </w:p>
        </w:tc>
        <w:tc>
          <w:tcPr>
            <w:tcW w:w="15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28.4X</w:t>
            </w:r>
          </w:p>
        </w:tc>
      </w:tr>
      <w:tr>
        <w:trPr>
          <w:trHeight w:val="22"/>
        </w:trPr>
        <w:tc>
          <w:tcPr>
            <w:tcW w:w="6100" w:type="dxa"/>
            <w:vAlign w:val="bottom"/>
            <w:shd w:val="clear" w:color="auto" w:fill="F1F2F2"/>
          </w:tcPr>
          <w:p>
            <w:pPr>
              <w:spacing w:after="0" w:line="20" w:lineRule="exact"/>
              <w:rPr>
                <w:sz w:val="1"/>
                <w:szCs w:val="1"/>
                <w:color w:val="auto"/>
              </w:rPr>
            </w:pPr>
          </w:p>
        </w:tc>
        <w:tc>
          <w:tcPr>
            <w:tcW w:w="1920" w:type="dxa"/>
            <w:vAlign w:val="bottom"/>
            <w:shd w:val="clear" w:color="auto" w:fill="F1F2F2"/>
          </w:tcPr>
          <w:p>
            <w:pPr>
              <w:spacing w:after="0" w:line="20" w:lineRule="exact"/>
              <w:rPr>
                <w:sz w:val="1"/>
                <w:szCs w:val="1"/>
                <w:color w:val="auto"/>
              </w:rPr>
            </w:pPr>
          </w:p>
        </w:tc>
        <w:tc>
          <w:tcPr>
            <w:tcW w:w="1620" w:type="dxa"/>
            <w:vAlign w:val="bottom"/>
            <w:shd w:val="clear" w:color="auto" w:fill="F1F2F2"/>
          </w:tcPr>
          <w:p>
            <w:pPr>
              <w:spacing w:after="0" w:line="20" w:lineRule="exact"/>
              <w:rPr>
                <w:sz w:val="1"/>
                <w:szCs w:val="1"/>
                <w:color w:val="auto"/>
              </w:rPr>
            </w:pPr>
          </w:p>
        </w:tc>
        <w:tc>
          <w:tcPr>
            <w:tcW w:w="1580" w:type="dxa"/>
            <w:vAlign w:val="bottom"/>
            <w:shd w:val="clear" w:color="auto" w:fill="F1F2F2"/>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Based on the average daily closing price for 2025 of $561.74.</w:t>
      </w:r>
    </w:p>
    <w:p>
      <w:pPr>
        <w:spacing w:after="0" w:line="167" w:lineRule="exact"/>
        <w:rPr>
          <w:sz w:val="20"/>
          <w:szCs w:val="20"/>
          <w:color w:val="auto"/>
        </w:rPr>
      </w:pPr>
    </w:p>
    <w:p>
      <w:pPr>
        <w:jc w:val="both"/>
        <w:ind w:right="180" w:firstLine="324"/>
        <w:spacing w:after="0" w:line="287" w:lineRule="auto"/>
        <w:rPr>
          <w:sz w:val="20"/>
          <w:szCs w:val="20"/>
          <w:color w:val="auto"/>
        </w:rPr>
      </w:pPr>
      <w:r>
        <w:rPr>
          <w:rFonts w:ascii="Arial" w:cs="Arial" w:eastAsia="Arial" w:hAnsi="Arial"/>
          <w:sz w:val="18"/>
          <w:szCs w:val="18"/>
          <w:color w:val="auto"/>
        </w:rPr>
        <w:t>The Committee oversees and administers the stock ownership guidelines. If an NEO fails to comply with the guidelines, the Committee will determine any appropriate corrective measures to be taken.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Clawback Policy</w:t>
      </w:r>
    </w:p>
    <w:p>
      <w:pPr>
        <w:spacing w:after="0" w:line="102" w:lineRule="exact"/>
        <w:rPr>
          <w:sz w:val="20"/>
          <w:szCs w:val="20"/>
          <w:color w:val="auto"/>
        </w:rPr>
      </w:pPr>
    </w:p>
    <w:p>
      <w:pPr>
        <w:ind w:right="360" w:firstLine="324"/>
        <w:spacing w:after="0" w:line="283" w:lineRule="auto"/>
        <w:rPr>
          <w:sz w:val="20"/>
          <w:szCs w:val="20"/>
          <w:color w:val="auto"/>
        </w:rPr>
      </w:pPr>
      <w:r>
        <w:rPr>
          <w:rFonts w:ascii="Arial" w:cs="Arial" w:eastAsia="Arial" w:hAnsi="Arial"/>
          <w:sz w:val="17"/>
          <w:szCs w:val="17"/>
          <w:color w:val="auto"/>
        </w:rPr>
        <w:t>Under this policy, in the event of a restatement of our Company’s financial results, the Company will recover certain excess incentive compensation paid to executive officers and resulting from attainment of a financial reporting measure during the three completed fiscal years prior to the date the restatement is required. A copy of the policy is available on our website at www.investor.lennox.com.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Prohibition on Hedging / Pledging Policy</w:t>
      </w:r>
    </w:p>
    <w:p>
      <w:pPr>
        <w:spacing w:after="0" w:line="115"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The Company’s Insider Trading Policy prohibits directors, NEOs, all other employees, and each of their designees from trading in any interest, security, or position relating to the future price of Company securities, such as a put, call, swap, short sale, hedge, or any other type of derivative security. It also prohibits directors, NEOs, and all other employees from holding Company securities in a margin account or pledging Company securities as collateral for a loan.</w:t>
      </w: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C60C35"/>
        </w:rPr>
        <w:t>Benefit Programs</w:t>
      </w:r>
    </w:p>
    <w:p>
      <w:pPr>
        <w:spacing w:after="0" w:line="12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attract top executive talent and as a market-competitive practice, we provide certain benefit programs to our NEOs that are in addition to those provided to our other employees. The following table summarizes the additional benefit programs in place during 2025 and the purpose of each program.</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Benefit Programs Offered to NEOs in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Plan</w:t>
            </w:r>
          </w:p>
        </w:tc>
        <w:tc>
          <w:tcPr>
            <w:tcW w:w="198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Type</w:t>
            </w:r>
          </w:p>
        </w:tc>
        <w:tc>
          <w:tcPr>
            <w:tcW w:w="6760" w:type="dxa"/>
            <w:vAlign w:val="bottom"/>
            <w:shd w:val="clear" w:color="auto" w:fill="C60C35"/>
          </w:tcPr>
          <w:p>
            <w:pPr>
              <w:ind w:left="180"/>
              <w:spacing w:after="0"/>
              <w:rPr>
                <w:sz w:val="20"/>
                <w:szCs w:val="20"/>
                <w:color w:val="auto"/>
              </w:rPr>
            </w:pPr>
            <w:r>
              <w:rPr>
                <w:rFonts w:ascii="Arial" w:cs="Arial" w:eastAsia="Arial" w:hAnsi="Arial"/>
                <w:sz w:val="14"/>
                <w:szCs w:val="14"/>
                <w:b w:val="1"/>
                <w:bCs w:val="1"/>
                <w:color w:val="FFFFFF"/>
              </w:rPr>
              <w:t>Purpose</w:t>
            </w:r>
          </w:p>
        </w:tc>
      </w:tr>
      <w:tr>
        <w:trPr>
          <w:trHeight w:val="67"/>
        </w:trPr>
        <w:tc>
          <w:tcPr>
            <w:tcW w:w="2500" w:type="dxa"/>
            <w:vAlign w:val="bottom"/>
            <w:shd w:val="clear" w:color="auto" w:fill="C60C35"/>
          </w:tcPr>
          <w:p>
            <w:pPr>
              <w:spacing w:after="0"/>
              <w:rPr>
                <w:sz w:val="5"/>
                <w:szCs w:val="5"/>
                <w:color w:val="auto"/>
              </w:rPr>
            </w:pPr>
          </w:p>
        </w:tc>
        <w:tc>
          <w:tcPr>
            <w:tcW w:w="1980" w:type="dxa"/>
            <w:vAlign w:val="bottom"/>
            <w:shd w:val="clear" w:color="auto" w:fill="C60C35"/>
          </w:tcPr>
          <w:p>
            <w:pPr>
              <w:spacing w:after="0"/>
              <w:rPr>
                <w:sz w:val="5"/>
                <w:szCs w:val="5"/>
                <w:color w:val="auto"/>
              </w:rPr>
            </w:pPr>
          </w:p>
        </w:tc>
        <w:tc>
          <w:tcPr>
            <w:tcW w:w="6760" w:type="dxa"/>
            <w:vAlign w:val="bottom"/>
            <w:shd w:val="clear" w:color="auto" w:fill="C60C35"/>
          </w:tcPr>
          <w:p>
            <w:pPr>
              <w:spacing w:after="0"/>
              <w:rPr>
                <w:sz w:val="5"/>
                <w:szCs w:val="5"/>
                <w:color w:val="auto"/>
              </w:rPr>
            </w:pPr>
          </w:p>
        </w:tc>
      </w:tr>
      <w:tr>
        <w:trPr>
          <w:trHeight w:val="234"/>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Supplemental Restoration</w:t>
            </w:r>
          </w:p>
        </w:tc>
        <w:tc>
          <w:tcPr>
            <w:tcW w:w="1980" w:type="dxa"/>
            <w:vAlign w:val="bottom"/>
            <w:shd w:val="clear" w:color="auto" w:fill="F1F2F2"/>
          </w:tcPr>
          <w:p>
            <w:pPr>
              <w:ind w:left="160"/>
              <w:spacing w:after="0"/>
              <w:rPr>
                <w:sz w:val="20"/>
                <w:szCs w:val="20"/>
                <w:color w:val="auto"/>
              </w:rPr>
            </w:pPr>
            <w:r>
              <w:rPr>
                <w:rFonts w:ascii="Arial" w:cs="Arial" w:eastAsia="Arial" w:hAnsi="Arial"/>
                <w:sz w:val="14"/>
                <w:szCs w:val="14"/>
                <w:color w:val="auto"/>
              </w:rPr>
              <w:t>Non-Qualified Defined</w:t>
            </w:r>
          </w:p>
        </w:tc>
        <w:tc>
          <w:tcPr>
            <w:tcW w:w="6760" w:type="dxa"/>
            <w:vAlign w:val="bottom"/>
            <w:shd w:val="clear" w:color="auto" w:fill="F1F2F2"/>
          </w:tcPr>
          <w:p>
            <w:pPr>
              <w:ind w:left="180"/>
              <w:spacing w:after="0"/>
              <w:rPr>
                <w:sz w:val="20"/>
                <w:szCs w:val="20"/>
                <w:color w:val="auto"/>
              </w:rPr>
            </w:pPr>
            <w:r>
              <w:rPr>
                <w:rFonts w:ascii="Arial" w:cs="Arial" w:eastAsia="Arial" w:hAnsi="Arial"/>
                <w:sz w:val="14"/>
                <w:szCs w:val="14"/>
                <w:color w:val="auto"/>
              </w:rPr>
              <w:t>Provide market-competitive retirement benefit by allowing contributions that could not otherwise</w:t>
            </w:r>
          </w:p>
        </w:tc>
      </w:tr>
      <w:tr>
        <w:trPr>
          <w:trHeight w:val="205"/>
        </w:trPr>
        <w:tc>
          <w:tcPr>
            <w:tcW w:w="25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Retirement Plan</w:t>
            </w:r>
          </w:p>
        </w:tc>
        <w:tc>
          <w:tcPr>
            <w:tcW w:w="198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Contribution</w:t>
            </w:r>
          </w:p>
        </w:tc>
        <w:tc>
          <w:tcPr>
            <w:tcW w:w="676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occur because of limitations on compensation under federal tax rules</w:t>
            </w:r>
          </w:p>
        </w:tc>
      </w:tr>
      <w:tr>
        <w:trPr>
          <w:trHeight w:val="234"/>
        </w:trPr>
        <w:tc>
          <w:tcPr>
            <w:tcW w:w="2500" w:type="dxa"/>
            <w:vAlign w:val="bottom"/>
          </w:tcPr>
          <w:p>
            <w:pPr>
              <w:ind w:left="100"/>
              <w:spacing w:after="0"/>
              <w:rPr>
                <w:sz w:val="20"/>
                <w:szCs w:val="20"/>
                <w:color w:val="auto"/>
              </w:rPr>
            </w:pPr>
            <w:r>
              <w:rPr>
                <w:rFonts w:ascii="Arial" w:cs="Arial" w:eastAsia="Arial" w:hAnsi="Arial"/>
                <w:sz w:val="14"/>
                <w:szCs w:val="14"/>
                <w:color w:val="auto"/>
              </w:rPr>
              <w:t>Life Insurance Plan</w:t>
            </w:r>
          </w:p>
        </w:tc>
        <w:tc>
          <w:tcPr>
            <w:tcW w:w="1980" w:type="dxa"/>
            <w:vAlign w:val="bottom"/>
          </w:tcPr>
          <w:p>
            <w:pPr>
              <w:ind w:left="160"/>
              <w:spacing w:after="0"/>
              <w:rPr>
                <w:sz w:val="20"/>
                <w:szCs w:val="20"/>
                <w:color w:val="auto"/>
              </w:rPr>
            </w:pPr>
            <w:r>
              <w:rPr>
                <w:rFonts w:ascii="Arial" w:cs="Arial" w:eastAsia="Arial" w:hAnsi="Arial"/>
                <w:sz w:val="14"/>
                <w:szCs w:val="14"/>
                <w:color w:val="auto"/>
              </w:rPr>
              <w:t>Company-Sponsored Life</w:t>
            </w:r>
          </w:p>
        </w:tc>
        <w:tc>
          <w:tcPr>
            <w:tcW w:w="6760" w:type="dxa"/>
            <w:vAlign w:val="bottom"/>
          </w:tcPr>
          <w:p>
            <w:pPr>
              <w:ind w:left="180"/>
              <w:spacing w:after="0"/>
              <w:rPr>
                <w:sz w:val="20"/>
                <w:szCs w:val="20"/>
                <w:color w:val="auto"/>
              </w:rPr>
            </w:pPr>
            <w:r>
              <w:rPr>
                <w:rFonts w:ascii="Arial" w:cs="Arial" w:eastAsia="Arial" w:hAnsi="Arial"/>
                <w:sz w:val="14"/>
                <w:szCs w:val="14"/>
                <w:color w:val="auto"/>
              </w:rPr>
              <w:t>Provide market-competitive life insurance benefits. $3 million in coverage for our CEO. NEO plan</w:t>
            </w:r>
          </w:p>
        </w:tc>
      </w:tr>
      <w:tr>
        <w:trPr>
          <w:trHeight w:val="190"/>
        </w:trPr>
        <w:tc>
          <w:tcPr>
            <w:tcW w:w="2500" w:type="dxa"/>
            <w:vAlign w:val="bottom"/>
          </w:tcPr>
          <w:p>
            <w:pPr>
              <w:spacing w:after="0"/>
              <w:rPr>
                <w:sz w:val="16"/>
                <w:szCs w:val="16"/>
                <w:color w:val="auto"/>
              </w:rPr>
            </w:pPr>
          </w:p>
        </w:tc>
        <w:tc>
          <w:tcPr>
            <w:tcW w:w="1980" w:type="dxa"/>
            <w:vAlign w:val="bottom"/>
          </w:tcPr>
          <w:p>
            <w:pPr>
              <w:ind w:left="160"/>
              <w:spacing w:after="0"/>
              <w:rPr>
                <w:sz w:val="20"/>
                <w:szCs w:val="20"/>
                <w:color w:val="auto"/>
              </w:rPr>
            </w:pPr>
            <w:r>
              <w:rPr>
                <w:rFonts w:ascii="Arial" w:cs="Arial" w:eastAsia="Arial" w:hAnsi="Arial"/>
                <w:sz w:val="14"/>
                <w:szCs w:val="14"/>
                <w:color w:val="auto"/>
              </w:rPr>
              <w:t>Insurance</w:t>
            </w:r>
          </w:p>
        </w:tc>
        <w:tc>
          <w:tcPr>
            <w:tcW w:w="6760" w:type="dxa"/>
            <w:vAlign w:val="bottom"/>
          </w:tcPr>
          <w:p>
            <w:pPr>
              <w:ind w:left="180"/>
              <w:spacing w:after="0"/>
              <w:rPr>
                <w:sz w:val="20"/>
                <w:szCs w:val="20"/>
                <w:color w:val="auto"/>
              </w:rPr>
            </w:pPr>
            <w:r>
              <w:rPr>
                <w:rFonts w:ascii="Arial" w:cs="Arial" w:eastAsia="Arial" w:hAnsi="Arial"/>
                <w:sz w:val="14"/>
                <w:szCs w:val="14"/>
                <w:color w:val="auto"/>
              </w:rPr>
              <w:t>includes base salary plus most recent bonus paid with a minimum of $1 million</w:t>
            </w:r>
          </w:p>
        </w:tc>
      </w:tr>
      <w:tr>
        <w:trPr>
          <w:trHeight w:val="35"/>
        </w:trPr>
        <w:tc>
          <w:tcPr>
            <w:tcW w:w="25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6760" w:type="dxa"/>
            <w:vAlign w:val="bottom"/>
          </w:tcPr>
          <w:p>
            <w:pPr>
              <w:spacing w:after="0"/>
              <w:rPr>
                <w:sz w:val="3"/>
                <w:szCs w:val="3"/>
                <w:color w:val="auto"/>
              </w:rPr>
            </w:pPr>
          </w:p>
        </w:tc>
      </w:tr>
      <w:tr>
        <w:trPr>
          <w:trHeight w:val="234"/>
        </w:trPr>
        <w:tc>
          <w:tcPr>
            <w:tcW w:w="2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Supplemental Retirement Plan</w:t>
            </w:r>
          </w:p>
        </w:tc>
        <w:tc>
          <w:tcPr>
            <w:tcW w:w="1980" w:type="dxa"/>
            <w:vAlign w:val="bottom"/>
            <w:shd w:val="clear" w:color="auto" w:fill="F1F2F2"/>
          </w:tcPr>
          <w:p>
            <w:pPr>
              <w:ind w:left="160"/>
              <w:spacing w:after="0"/>
              <w:rPr>
                <w:sz w:val="20"/>
                <w:szCs w:val="20"/>
                <w:color w:val="auto"/>
              </w:rPr>
            </w:pPr>
            <w:r>
              <w:rPr>
                <w:rFonts w:ascii="Arial" w:cs="Arial" w:eastAsia="Arial" w:hAnsi="Arial"/>
                <w:sz w:val="14"/>
                <w:szCs w:val="14"/>
                <w:color w:val="auto"/>
              </w:rPr>
              <w:t>Non-Qualified Defined</w:t>
            </w:r>
          </w:p>
        </w:tc>
        <w:tc>
          <w:tcPr>
            <w:tcW w:w="6760" w:type="dxa"/>
            <w:vAlign w:val="bottom"/>
            <w:shd w:val="clear" w:color="auto" w:fill="F1F2F2"/>
          </w:tcPr>
          <w:p>
            <w:pPr>
              <w:ind w:left="180"/>
              <w:spacing w:after="0"/>
              <w:rPr>
                <w:sz w:val="20"/>
                <w:szCs w:val="20"/>
                <w:color w:val="auto"/>
              </w:rPr>
            </w:pPr>
            <w:r>
              <w:rPr>
                <w:rFonts w:ascii="Arial" w:cs="Arial" w:eastAsia="Arial" w:hAnsi="Arial"/>
                <w:sz w:val="14"/>
                <w:szCs w:val="14"/>
                <w:color w:val="auto"/>
              </w:rPr>
              <w:t>Closed legacy plan</w:t>
            </w:r>
          </w:p>
        </w:tc>
      </w:tr>
      <w:tr>
        <w:trPr>
          <w:trHeight w:val="190"/>
        </w:trPr>
        <w:tc>
          <w:tcPr>
            <w:tcW w:w="2500" w:type="dxa"/>
            <w:vAlign w:val="bottom"/>
            <w:shd w:val="clear" w:color="auto" w:fill="F1F2F2"/>
          </w:tcPr>
          <w:p>
            <w:pPr>
              <w:spacing w:after="0"/>
              <w:rPr>
                <w:sz w:val="16"/>
                <w:szCs w:val="16"/>
                <w:color w:val="auto"/>
              </w:rPr>
            </w:pPr>
          </w:p>
        </w:tc>
        <w:tc>
          <w:tcPr>
            <w:tcW w:w="1980" w:type="dxa"/>
            <w:vAlign w:val="bottom"/>
            <w:shd w:val="clear" w:color="auto" w:fill="F1F2F2"/>
          </w:tcPr>
          <w:p>
            <w:pPr>
              <w:ind w:left="160"/>
              <w:spacing w:after="0"/>
              <w:rPr>
                <w:sz w:val="20"/>
                <w:szCs w:val="20"/>
                <w:color w:val="auto"/>
              </w:rPr>
            </w:pPr>
            <w:r>
              <w:rPr>
                <w:rFonts w:ascii="Arial" w:cs="Arial" w:eastAsia="Arial" w:hAnsi="Arial"/>
                <w:sz w:val="14"/>
                <w:szCs w:val="14"/>
                <w:color w:val="auto"/>
              </w:rPr>
              <w:t>Benefit</w:t>
            </w:r>
          </w:p>
        </w:tc>
        <w:tc>
          <w:tcPr>
            <w:tcW w:w="6760" w:type="dxa"/>
            <w:vAlign w:val="bottom"/>
            <w:shd w:val="clear" w:color="auto" w:fill="F1F2F2"/>
          </w:tcPr>
          <w:p>
            <w:pPr>
              <w:spacing w:after="0"/>
              <w:rPr>
                <w:sz w:val="16"/>
                <w:szCs w:val="16"/>
                <w:color w:val="auto"/>
              </w:rPr>
            </w:pPr>
          </w:p>
        </w:tc>
      </w:tr>
      <w:tr>
        <w:trPr>
          <w:trHeight w:val="35"/>
        </w:trPr>
        <w:tc>
          <w:tcPr>
            <w:tcW w:w="2500" w:type="dxa"/>
            <w:vAlign w:val="bottom"/>
            <w:shd w:val="clear" w:color="auto" w:fill="F1F2F2"/>
          </w:tcPr>
          <w:p>
            <w:pPr>
              <w:spacing w:after="0"/>
              <w:rPr>
                <w:sz w:val="3"/>
                <w:szCs w:val="3"/>
                <w:color w:val="auto"/>
              </w:rPr>
            </w:pPr>
          </w:p>
        </w:tc>
        <w:tc>
          <w:tcPr>
            <w:tcW w:w="1980" w:type="dxa"/>
            <w:vAlign w:val="bottom"/>
            <w:shd w:val="clear" w:color="auto" w:fill="F1F2F2"/>
          </w:tcPr>
          <w:p>
            <w:pPr>
              <w:spacing w:after="0"/>
              <w:rPr>
                <w:sz w:val="3"/>
                <w:szCs w:val="3"/>
                <w:color w:val="auto"/>
              </w:rPr>
            </w:pPr>
          </w:p>
        </w:tc>
        <w:tc>
          <w:tcPr>
            <w:tcW w:w="6760" w:type="dxa"/>
            <w:vAlign w:val="bottom"/>
            <w:shd w:val="clear" w:color="auto" w:fill="F1F2F2"/>
          </w:tcPr>
          <w:p>
            <w:pPr>
              <w:spacing w:after="0"/>
              <w:rPr>
                <w:sz w:val="3"/>
                <w:szCs w:val="3"/>
                <w:color w:val="auto"/>
              </w:rPr>
            </w:pPr>
          </w:p>
        </w:tc>
      </w:tr>
    </w:tbl>
    <w:p>
      <w:pPr>
        <w:spacing w:after="0" w:line="157" w:lineRule="exact"/>
        <w:rPr>
          <w:sz w:val="20"/>
          <w:szCs w:val="20"/>
          <w:color w:val="auto"/>
        </w:rPr>
      </w:pPr>
    </w:p>
    <w:p>
      <w:pPr>
        <w:ind w:right="220" w:firstLine="324"/>
        <w:spacing w:after="0" w:line="247" w:lineRule="auto"/>
        <w:rPr>
          <w:sz w:val="20"/>
          <w:szCs w:val="20"/>
          <w:color w:val="auto"/>
        </w:rPr>
      </w:pPr>
      <w:r>
        <w:rPr>
          <w:rFonts w:ascii="Arial" w:cs="Arial" w:eastAsia="Arial" w:hAnsi="Arial"/>
          <w:sz w:val="18"/>
          <w:szCs w:val="18"/>
          <w:color w:val="auto"/>
        </w:rPr>
        <w:t>In 2018, the Committee closed the defined benefit Supplemental Retirement Plan to new participants and approved a defined contribution restoration plan for individuals who become eligible executive officers on or after January 1, 2019. The Committee made these changes to better align the Company’s non-qualified retirement benefit with current market practices. The CEO does not participate in the closed Supplemental Retirement Plan.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Annual Perquisites</w:t>
      </w:r>
    </w:p>
    <w:p>
      <w:pPr>
        <w:spacing w:after="0" w:line="129" w:lineRule="exact"/>
        <w:rPr>
          <w:sz w:val="20"/>
          <w:szCs w:val="20"/>
          <w:color w:val="auto"/>
        </w:rPr>
      </w:pPr>
    </w:p>
    <w:p>
      <w:pPr>
        <w:ind w:right="440" w:firstLine="324"/>
        <w:spacing w:after="0" w:line="251" w:lineRule="auto"/>
        <w:rPr>
          <w:sz w:val="20"/>
          <w:szCs w:val="20"/>
          <w:color w:val="auto"/>
        </w:rPr>
      </w:pPr>
      <w:r>
        <w:rPr>
          <w:rFonts w:ascii="Arial" w:cs="Arial" w:eastAsia="Arial" w:hAnsi="Arial"/>
          <w:sz w:val="17"/>
          <w:szCs w:val="17"/>
          <w:color w:val="auto"/>
        </w:rPr>
        <w:t>We believe providing reasonable perquisites is a market-competitive practice to attract and retain top executive talent. Rather than offering individual perquisites, however, we provide a monthly cash stipend to each of our NEOs to allow more flexibility and choice. Our</w:t>
      </w:r>
    </w:p>
    <w:p>
      <w:pPr>
        <w:spacing w:after="0" w:line="1" w:lineRule="exact"/>
        <w:rPr>
          <w:sz w:val="20"/>
          <w:szCs w:val="20"/>
          <w:color w:val="auto"/>
        </w:rPr>
      </w:pPr>
    </w:p>
    <w:p>
      <w:pPr>
        <w:jc w:val="both"/>
        <w:ind w:right="40"/>
        <w:spacing w:after="0" w:line="242" w:lineRule="auto"/>
        <w:rPr>
          <w:sz w:val="20"/>
          <w:szCs w:val="20"/>
          <w:color w:val="auto"/>
        </w:rPr>
      </w:pPr>
      <w:r>
        <w:rPr>
          <w:rFonts w:ascii="Arial" w:cs="Arial" w:eastAsia="Arial" w:hAnsi="Arial"/>
          <w:sz w:val="18"/>
          <w:szCs w:val="18"/>
          <w:color w:val="auto"/>
        </w:rPr>
        <w:t>NEOs have full discretion on how the cash stipend is spent and it is not tracked by the Company after the money is paid. In addition, we offer the installation of Company products and equipment at each NEO’s home to promote our brand to business and personal guests. The value of the Company products, equipment, and related installation is included as taxable income to each NEO.</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Employment Agreements</w:t>
      </w:r>
    </w:p>
    <w:p>
      <w:pPr>
        <w:spacing w:after="0" w:line="129" w:lineRule="exact"/>
        <w:rPr>
          <w:sz w:val="20"/>
          <w:szCs w:val="20"/>
          <w:color w:val="auto"/>
        </w:rPr>
      </w:pPr>
    </w:p>
    <w:p>
      <w:pPr>
        <w:ind w:right="40" w:firstLine="324"/>
        <w:spacing w:after="0" w:line="247" w:lineRule="auto"/>
        <w:rPr>
          <w:sz w:val="20"/>
          <w:szCs w:val="20"/>
          <w:color w:val="auto"/>
        </w:rPr>
      </w:pPr>
      <w:r>
        <w:rPr>
          <w:rFonts w:ascii="Arial" w:cs="Arial" w:eastAsia="Arial" w:hAnsi="Arial"/>
          <w:sz w:val="18"/>
          <w:szCs w:val="18"/>
          <w:color w:val="auto"/>
        </w:rPr>
        <w:t>We have employment agreements with each NEO as reviewed and approved by the Committee. We believe employment agreements are helpful in attracting and retaining top executive talent and for financial and business planning purposes. Our employment agreements and the potential payments and benefits to which each NEO would be entitled in the event of termination of employment are discussed in the “Potential Payments Upon Termination or Change in Control” section.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Severance Plan</w:t>
      </w:r>
    </w:p>
    <w:p>
      <w:pPr>
        <w:spacing w:after="0" w:line="115" w:lineRule="exact"/>
        <w:rPr>
          <w:sz w:val="20"/>
          <w:szCs w:val="20"/>
          <w:color w:val="auto"/>
        </w:rPr>
      </w:pPr>
    </w:p>
    <w:p>
      <w:pPr>
        <w:ind w:right="320" w:firstLine="324"/>
        <w:spacing w:after="0" w:line="244" w:lineRule="auto"/>
        <w:rPr>
          <w:sz w:val="20"/>
          <w:szCs w:val="20"/>
          <w:color w:val="auto"/>
        </w:rPr>
      </w:pPr>
      <w:r>
        <w:rPr>
          <w:rFonts w:ascii="Arial" w:cs="Arial" w:eastAsia="Arial" w:hAnsi="Arial"/>
          <w:sz w:val="18"/>
          <w:szCs w:val="18"/>
          <w:color w:val="auto"/>
        </w:rPr>
        <w:t>We believe change in control (“CIC”) benefits are necessary to (1) retain key executives during periods of uncertainty; (2) enable executives to objectively evaluate, negotiate, and execute a CIC transaction; (3) encourage executives to remain focused on running the business rather than seeking other employment in the event of a possible CIC; (4) preserve stockholder value by providing continuity of management during a transition period; and (5) provide benefit to the Company in the form of restrictive covenants, such as non-compete and non-solicitation provisions.</w:t>
      </w:r>
    </w:p>
    <w:p>
      <w:pPr>
        <w:spacing w:after="0" w:line="82"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In December 2022, the Company and its NEOs terminated each NEO’s existing CIC agreement and the Company adopted a CIC Severance Plan (as summarized below), which included the following changes to better align with market practices:</w:t>
      </w:r>
    </w:p>
    <w:p>
      <w:pPr>
        <w:spacing w:after="0" w:line="59"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Replaced single-trigger equity vesting with double-trigger equity vesting;</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Eliminated excise tax gross-ups;</w:t>
      </w:r>
    </w:p>
    <w:p>
      <w:pPr>
        <w:spacing w:after="0" w:line="90" w:lineRule="exact"/>
        <w:rPr>
          <w:rFonts w:ascii="Arial" w:cs="Arial" w:eastAsia="Arial" w:hAnsi="Arial"/>
          <w:sz w:val="18"/>
          <w:szCs w:val="18"/>
          <w:color w:val="auto"/>
        </w:rPr>
      </w:pPr>
    </w:p>
    <w:p>
      <w:pPr>
        <w:ind w:left="660" w:right="380" w:hanging="328"/>
        <w:spacing w:after="0" w:line="271" w:lineRule="auto"/>
        <w:tabs>
          <w:tab w:leader="none" w:pos="655"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Reduced cash severance for NEOs (other than the CEO) from three times base pay and target bonus to two times base pay and target bonus;</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Eliminated 15% of base salary payment in lieu of outplacement services, and replaced it with actual outplacement services;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Eliminated 45% of base salary payment in lieu of perquisites;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Eliminated incremental age and years of service benefit under Supplemental Retirement Plan;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Reduced NEO (other than the CEO) health care coverage from 36 months to 24 months.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48" w:name="page49"/>
    <w:bookmarkEnd w:id="48"/>
    <w:p>
      <w:pPr>
        <w:ind w:right="680" w:firstLine="324"/>
        <w:spacing w:after="0" w:line="271" w:lineRule="auto"/>
        <w:rPr>
          <w:sz w:val="20"/>
          <w:szCs w:val="20"/>
          <w:color w:val="auto"/>
        </w:rPr>
      </w:pPr>
      <w:r>
        <w:rPr>
          <w:rFonts w:ascii="Arial" w:cs="Arial" w:eastAsia="Arial" w:hAnsi="Arial"/>
          <w:sz w:val="18"/>
          <w:szCs w:val="18"/>
          <w:color w:val="auto"/>
        </w:rPr>
        <w:t>Our CIC Severance Plan and the potential payments and benefits to which each NEO would be entitled in the event of a CIC are discussed in the “Potential Payments Upon Termination or Change in Control” section.</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Equity Grant Practices</w:t>
      </w:r>
    </w:p>
    <w:p>
      <w:pPr>
        <w:spacing w:after="0" w:line="94"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The Committee, or the Board with respect to the CEO’s equity award, approves the monetary value of the equity compensation to be awarded to executive officers annually at their regularly-scheduled December meetings. The equity grant occurs on the third trading day after the Company issues its fourth quarter earnings release in January. The values approved in December are converted into units, using the average daily closing price over fifteen calendar days prior to grant, with the fifteenth day being the first trading day after the Company’s fourth quarter earnings release. The SAR exercise price is equal to the average of the high and low NYSE trading prices of the common shares on the date of grant.</w:t>
      </w:r>
    </w:p>
    <w:p>
      <w:pPr>
        <w:spacing w:after="0" w:line="12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Committee does not take material nonpublic information into account when determining the timing and terms of LTI equity awards. Instead, the timing of grants is in accordance with the yearly compensation cycle, with awards granted at the start of the new fiscal year to incentivize the executives to deliver on the Company’s strategic objectives for the new fiscal year. The Company has not timed the disclosure of material nonpublic information to affect the value of executive compensation.</w:t>
      </w:r>
    </w:p>
    <w:p>
      <w:pPr>
        <w:spacing w:after="0" w:line="130"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The Company did not grant any SARs to NEOs of the Company in the last completed fiscal year during the period from four business days before to one business day after the filing of any of the Company’s Quarterly Reports on Form 10-Q, Annual Report on Form 10-K, or the filing or furnishing of any Current Report on Form 8-K that discloses material nonpublic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Tax and Accounting Implications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Deductibility of Executive Compensation</w:t>
      </w:r>
    </w:p>
    <w:p>
      <w:pPr>
        <w:spacing w:after="0" w:line="142"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Section 162(m) generally disallows a federal income tax deduction to publicly traded companies like Lennox for compensation in excess of $1 million per year paid to certain current and former executive officers. The Committee will continue to consider the income tax consequences to our Company when analyzing our executive compensation program. If granting awards or providing other executive compensation is consistent with Market data, our compensation philosophy, or our strategic business goals, the Committee may provide executive compensation that is not fully deductible.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Non-Qualified Deferred Compensation</w:t>
      </w:r>
    </w:p>
    <w:p>
      <w:pPr>
        <w:spacing w:after="0" w:line="142" w:lineRule="exact"/>
        <w:rPr>
          <w:sz w:val="20"/>
          <w:szCs w:val="20"/>
          <w:color w:val="auto"/>
        </w:rPr>
      </w:pPr>
    </w:p>
    <w:p>
      <w:pPr>
        <w:ind w:right="40" w:firstLine="324"/>
        <w:spacing w:after="0" w:line="271" w:lineRule="auto"/>
        <w:rPr>
          <w:sz w:val="20"/>
          <w:szCs w:val="20"/>
          <w:color w:val="auto"/>
        </w:rPr>
      </w:pPr>
      <w:r>
        <w:rPr>
          <w:rFonts w:ascii="Arial" w:cs="Arial" w:eastAsia="Arial" w:hAnsi="Arial"/>
          <w:sz w:val="18"/>
          <w:szCs w:val="18"/>
          <w:color w:val="auto"/>
        </w:rPr>
        <w:t>In addition to the closed non-qualified defined benefit Supplemental Retirement Plan, the Company also maintains a frozen non-qualified defined contribution Profit Sharing Restoration Plan.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Accounting for Stock-Based Awards</w:t>
      </w:r>
    </w:p>
    <w:p>
      <w:pPr>
        <w:spacing w:after="0" w:line="142" w:lineRule="exact"/>
        <w:rPr>
          <w:sz w:val="20"/>
          <w:szCs w:val="20"/>
          <w:color w:val="auto"/>
        </w:rPr>
      </w:pPr>
    </w:p>
    <w:p>
      <w:pPr>
        <w:jc w:val="both"/>
        <w:ind w:right="120" w:firstLine="324"/>
        <w:spacing w:after="0" w:line="301" w:lineRule="auto"/>
        <w:rPr>
          <w:sz w:val="20"/>
          <w:szCs w:val="20"/>
          <w:color w:val="auto"/>
        </w:rPr>
      </w:pPr>
      <w:r>
        <w:rPr>
          <w:rFonts w:ascii="Arial" w:cs="Arial" w:eastAsia="Arial" w:hAnsi="Arial"/>
          <w:sz w:val="17"/>
          <w:szCs w:val="17"/>
          <w:color w:val="auto"/>
        </w:rPr>
        <w:t>When developing NEO compensation, the Committee considers the accounting consequences (in accordance with the requirements of FASB ASC Topic 718) of the program design and award levels and structures the Company’s executive compensation program accordingly.</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Compensation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Annual Compensation Risk Assessment</w:t>
      </w:r>
    </w:p>
    <w:p>
      <w:pPr>
        <w:spacing w:after="0" w:line="16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Board reviews the Company’s compensation policies and practices to determine if risks arising from those policies and practices are reasonably likely to have a material adverse effect on the Company. All of the Company’s material incentive compensation plans are reviewed at least annually. Based on these reviews, the Board has not identified any risks arising from the compensation policies and practices that are reasonably likely to have a material adverse effect on the Company.</w:t>
      </w:r>
    </w:p>
    <w:p>
      <w:pPr>
        <w:spacing w:after="0" w:line="40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jc w:val="center"/>
        <w:ind w:right="-179"/>
        <w:spacing w:after="0"/>
        <w:rPr>
          <w:sz w:val="20"/>
          <w:szCs w:val="20"/>
          <w:color w:val="auto"/>
        </w:rPr>
      </w:pPr>
      <w:r>
        <w:rPr>
          <w:rFonts w:ascii="Arial" w:cs="Arial" w:eastAsia="Arial" w:hAnsi="Arial"/>
          <w:sz w:val="22"/>
          <w:szCs w:val="22"/>
          <w:b w:val="1"/>
          <w:bCs w:val="1"/>
          <w:color w:val="C60C35"/>
        </w:rPr>
        <w:t>Compensation Committee Report</w:t>
      </w:r>
    </w:p>
    <w:p>
      <w:pPr>
        <w:spacing w:after="0" w:line="9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Compensation and Human Resources Committee has reviewed and discussed the foregoing CD&amp;A with management. Based on this review and discussion, the Committee recommended to the Board that the CD&amp;A be included in this Proxy Statement and incorporated by reference in our Form 10-K.</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Submitted by the Compensation and Human Resources Committee of the Board:</w:t>
      </w:r>
    </w:p>
    <w:p>
      <w:pPr>
        <w:spacing w:after="0" w:line="266"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Shane D. Wall (Chair)</w:t>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Tracy A. Embree</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John W. Norris, III</w:t>
      </w:r>
    </w:p>
    <w:p>
      <w:pPr>
        <w:ind w:left="6100"/>
        <w:spacing w:after="0"/>
        <w:rPr>
          <w:sz w:val="20"/>
          <w:szCs w:val="20"/>
          <w:color w:val="auto"/>
        </w:rPr>
      </w:pPr>
      <w:r>
        <w:rPr>
          <w:rFonts w:ascii="Arial" w:cs="Arial" w:eastAsia="Arial" w:hAnsi="Arial"/>
          <w:sz w:val="18"/>
          <w:szCs w:val="18"/>
          <w:b w:val="1"/>
          <w:bCs w:val="1"/>
          <w:color w:val="C60C35"/>
        </w:rPr>
        <w:t>Jon Vander Ark</w:t>
      </w:r>
    </w:p>
    <w:p>
      <w:pPr>
        <w:spacing w:after="0" w:line="275"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C60C35"/>
        </w:rPr>
        <w:t>March 19, 2026</w:t>
      </w:r>
    </w:p>
    <w:p>
      <w:pPr>
        <w:spacing w:after="0" w:line="200" w:lineRule="exact"/>
        <w:rPr>
          <w:sz w:val="20"/>
          <w:szCs w:val="20"/>
          <w:color w:val="auto"/>
        </w:rPr>
      </w:pPr>
    </w:p>
    <w:p>
      <w:pPr>
        <w:spacing w:after="0" w:line="36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1" w:right="51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C60C35"/>
        </w:rPr>
        <w:t>2025 Summary Compensation Table</w:t>
      </w:r>
    </w:p>
    <w:p>
      <w:pPr>
        <w:spacing w:after="0" w:line="108" w:lineRule="exact"/>
        <w:rPr>
          <w:sz w:val="20"/>
          <w:szCs w:val="20"/>
          <w:color w:val="auto"/>
        </w:rPr>
      </w:pPr>
    </w:p>
    <w:p>
      <w:pPr>
        <w:ind w:right="840" w:firstLine="324"/>
        <w:spacing w:after="0" w:line="287" w:lineRule="auto"/>
        <w:rPr>
          <w:sz w:val="20"/>
          <w:szCs w:val="20"/>
          <w:color w:val="auto"/>
        </w:rPr>
      </w:pPr>
      <w:r>
        <w:rPr>
          <w:rFonts w:ascii="Arial" w:cs="Arial" w:eastAsia="Arial" w:hAnsi="Arial"/>
          <w:sz w:val="18"/>
          <w:szCs w:val="18"/>
          <w:color w:val="auto"/>
        </w:rPr>
        <w:t>The following table provides information regarding the total compensation of each of the Company’s NEOs for the years ended December 31, 2025, 2024, and 2023, as applicable.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20" w:type="dxa"/>
            <w:vAlign w:val="bottom"/>
            <w:shd w:val="clear" w:color="auto" w:fill="C60C35"/>
          </w:tcPr>
          <w:p>
            <w:pPr>
              <w:spacing w:after="0"/>
              <w:rPr>
                <w:sz w:val="16"/>
                <w:szCs w:val="16"/>
                <w:color w:val="auto"/>
              </w:rPr>
            </w:pPr>
          </w:p>
        </w:tc>
        <w:tc>
          <w:tcPr>
            <w:tcW w:w="520" w:type="dxa"/>
            <w:vAlign w:val="bottom"/>
            <w:shd w:val="clear" w:color="auto" w:fill="C60C35"/>
          </w:tcPr>
          <w:p>
            <w:pPr>
              <w:spacing w:after="0"/>
              <w:rPr>
                <w:sz w:val="16"/>
                <w:szCs w:val="16"/>
                <w:color w:val="auto"/>
              </w:rPr>
            </w:pPr>
          </w:p>
        </w:tc>
        <w:tc>
          <w:tcPr>
            <w:tcW w:w="960" w:type="dxa"/>
            <w:vAlign w:val="bottom"/>
            <w:shd w:val="clear" w:color="auto" w:fill="C60C35"/>
          </w:tcPr>
          <w:p>
            <w:pPr>
              <w:spacing w:after="0"/>
              <w:rPr>
                <w:sz w:val="16"/>
                <w:szCs w:val="16"/>
                <w:color w:val="auto"/>
              </w:rPr>
            </w:pPr>
          </w:p>
        </w:tc>
        <w:tc>
          <w:tcPr>
            <w:tcW w:w="800" w:type="dxa"/>
            <w:vAlign w:val="bottom"/>
            <w:shd w:val="clear" w:color="auto" w:fill="C60C35"/>
          </w:tcPr>
          <w:p>
            <w:pPr>
              <w:spacing w:after="0"/>
              <w:rPr>
                <w:sz w:val="16"/>
                <w:szCs w:val="16"/>
                <w:color w:val="auto"/>
              </w:rPr>
            </w:pPr>
          </w:p>
        </w:tc>
        <w:tc>
          <w:tcPr>
            <w:tcW w:w="860" w:type="dxa"/>
            <w:vAlign w:val="bottom"/>
            <w:shd w:val="clear" w:color="auto" w:fill="C60C35"/>
          </w:tcPr>
          <w:p>
            <w:pPr>
              <w:spacing w:after="0"/>
              <w:rPr>
                <w:sz w:val="16"/>
                <w:szCs w:val="16"/>
                <w:color w:val="auto"/>
              </w:rPr>
            </w:pPr>
          </w:p>
        </w:tc>
        <w:tc>
          <w:tcPr>
            <w:tcW w:w="940" w:type="dxa"/>
            <w:vAlign w:val="bottom"/>
            <w:shd w:val="clear" w:color="auto" w:fill="C60C35"/>
          </w:tcPr>
          <w:p>
            <w:pPr>
              <w:spacing w:after="0"/>
              <w:rPr>
                <w:sz w:val="16"/>
                <w:szCs w:val="16"/>
                <w:color w:val="auto"/>
              </w:rPr>
            </w:pPr>
          </w:p>
        </w:tc>
        <w:tc>
          <w:tcPr>
            <w:tcW w:w="1440" w:type="dxa"/>
            <w:vAlign w:val="bottom"/>
            <w:shd w:val="clear" w:color="auto" w:fill="C60C35"/>
          </w:tcPr>
          <w:p>
            <w:pPr>
              <w:spacing w:after="0"/>
              <w:rPr>
                <w:sz w:val="16"/>
                <w:szCs w:val="16"/>
                <w:color w:val="auto"/>
              </w:rPr>
            </w:pP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Change in</w:t>
            </w:r>
          </w:p>
        </w:tc>
        <w:tc>
          <w:tcPr>
            <w:tcW w:w="1360" w:type="dxa"/>
            <w:vAlign w:val="bottom"/>
            <w:shd w:val="clear" w:color="auto" w:fill="C60C35"/>
          </w:tcPr>
          <w:p>
            <w:pPr>
              <w:spacing w:after="0"/>
              <w:rPr>
                <w:sz w:val="16"/>
                <w:szCs w:val="16"/>
                <w:color w:val="auto"/>
              </w:rPr>
            </w:pPr>
          </w:p>
        </w:tc>
        <w:tc>
          <w:tcPr>
            <w:tcW w:w="900" w:type="dxa"/>
            <w:vAlign w:val="bottom"/>
            <w:shd w:val="clear" w:color="auto" w:fill="C60C35"/>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60C35"/>
          </w:tcPr>
          <w:p>
            <w:pPr>
              <w:spacing w:after="0"/>
              <w:rPr>
                <w:sz w:val="14"/>
                <w:szCs w:val="14"/>
                <w:color w:val="auto"/>
              </w:rPr>
            </w:pPr>
          </w:p>
        </w:tc>
        <w:tc>
          <w:tcPr>
            <w:tcW w:w="520" w:type="dxa"/>
            <w:vAlign w:val="bottom"/>
            <w:shd w:val="clear" w:color="auto" w:fill="C60C35"/>
          </w:tcPr>
          <w:p>
            <w:pPr>
              <w:spacing w:after="0"/>
              <w:rPr>
                <w:sz w:val="14"/>
                <w:szCs w:val="14"/>
                <w:color w:val="auto"/>
              </w:rPr>
            </w:pPr>
          </w:p>
        </w:tc>
        <w:tc>
          <w:tcPr>
            <w:tcW w:w="960" w:type="dxa"/>
            <w:vAlign w:val="bottom"/>
            <w:shd w:val="clear" w:color="auto" w:fill="C60C35"/>
          </w:tcPr>
          <w:p>
            <w:pPr>
              <w:spacing w:after="0"/>
              <w:rPr>
                <w:sz w:val="14"/>
                <w:szCs w:val="14"/>
                <w:color w:val="auto"/>
              </w:rPr>
            </w:pPr>
          </w:p>
        </w:tc>
        <w:tc>
          <w:tcPr>
            <w:tcW w:w="800" w:type="dxa"/>
            <w:vAlign w:val="bottom"/>
            <w:shd w:val="clear" w:color="auto" w:fill="C60C35"/>
          </w:tcPr>
          <w:p>
            <w:pPr>
              <w:spacing w:after="0"/>
              <w:rPr>
                <w:sz w:val="14"/>
                <w:szCs w:val="14"/>
                <w:color w:val="auto"/>
              </w:rPr>
            </w:pPr>
          </w:p>
        </w:tc>
        <w:tc>
          <w:tcPr>
            <w:tcW w:w="86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1440" w:type="dxa"/>
            <w:vAlign w:val="bottom"/>
            <w:shd w:val="clear" w:color="auto" w:fill="C60C35"/>
          </w:tcPr>
          <w:p>
            <w:pPr>
              <w:spacing w:after="0"/>
              <w:rPr>
                <w:sz w:val="14"/>
                <w:szCs w:val="14"/>
                <w:color w:val="auto"/>
              </w:rPr>
            </w:pP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Pension Value</w:t>
            </w:r>
          </w:p>
        </w:tc>
        <w:tc>
          <w:tcPr>
            <w:tcW w:w="1360" w:type="dxa"/>
            <w:vAlign w:val="bottom"/>
            <w:shd w:val="clear" w:color="auto" w:fill="C60C35"/>
          </w:tcPr>
          <w:p>
            <w:pPr>
              <w:spacing w:after="0"/>
              <w:rPr>
                <w:sz w:val="14"/>
                <w:szCs w:val="14"/>
                <w:color w:val="auto"/>
              </w:rPr>
            </w:pPr>
          </w:p>
        </w:tc>
        <w:tc>
          <w:tcPr>
            <w:tcW w:w="90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960" w:type="dxa"/>
            <w:vAlign w:val="bottom"/>
            <w:shd w:val="clear" w:color="auto" w:fill="C60C35"/>
          </w:tcPr>
          <w:p>
            <w:pPr>
              <w:spacing w:after="0"/>
              <w:rPr>
                <w:sz w:val="15"/>
                <w:szCs w:val="15"/>
                <w:color w:val="auto"/>
              </w:rPr>
            </w:pPr>
          </w:p>
        </w:tc>
        <w:tc>
          <w:tcPr>
            <w:tcW w:w="800" w:type="dxa"/>
            <w:vAlign w:val="bottom"/>
            <w:shd w:val="clear" w:color="auto" w:fill="C60C35"/>
          </w:tcPr>
          <w:p>
            <w:pPr>
              <w:spacing w:after="0"/>
              <w:rPr>
                <w:sz w:val="15"/>
                <w:szCs w:val="15"/>
                <w:color w:val="auto"/>
              </w:rPr>
            </w:pPr>
          </w:p>
        </w:tc>
        <w:tc>
          <w:tcPr>
            <w:tcW w:w="860" w:type="dxa"/>
            <w:vAlign w:val="bottom"/>
            <w:shd w:val="clear" w:color="auto" w:fill="C60C35"/>
          </w:tcPr>
          <w:p>
            <w:pPr>
              <w:spacing w:after="0"/>
              <w:rPr>
                <w:sz w:val="15"/>
                <w:szCs w:val="15"/>
                <w:color w:val="auto"/>
              </w:rPr>
            </w:pPr>
          </w:p>
        </w:tc>
        <w:tc>
          <w:tcPr>
            <w:tcW w:w="940" w:type="dxa"/>
            <w:vAlign w:val="bottom"/>
            <w:shd w:val="clear" w:color="auto" w:fill="C60C35"/>
          </w:tcPr>
          <w:p>
            <w:pPr>
              <w:spacing w:after="0"/>
              <w:rPr>
                <w:sz w:val="15"/>
                <w:szCs w:val="15"/>
                <w:color w:val="auto"/>
              </w:rPr>
            </w:pPr>
          </w:p>
        </w:tc>
        <w:tc>
          <w:tcPr>
            <w:tcW w:w="144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and</w:t>
            </w:r>
          </w:p>
        </w:tc>
        <w:tc>
          <w:tcPr>
            <w:tcW w:w="1360" w:type="dxa"/>
            <w:vAlign w:val="bottom"/>
            <w:shd w:val="clear" w:color="auto" w:fill="C60C35"/>
          </w:tcPr>
          <w:p>
            <w:pPr>
              <w:spacing w:after="0"/>
              <w:rPr>
                <w:sz w:val="15"/>
                <w:szCs w:val="15"/>
                <w:color w:val="auto"/>
              </w:rPr>
            </w:pPr>
          </w:p>
        </w:tc>
        <w:tc>
          <w:tcPr>
            <w:tcW w:w="90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960" w:type="dxa"/>
            <w:vAlign w:val="bottom"/>
            <w:shd w:val="clear" w:color="auto" w:fill="C60C35"/>
          </w:tcPr>
          <w:p>
            <w:pPr>
              <w:spacing w:after="0"/>
              <w:rPr>
                <w:sz w:val="15"/>
                <w:szCs w:val="15"/>
                <w:color w:val="auto"/>
              </w:rPr>
            </w:pPr>
          </w:p>
        </w:tc>
        <w:tc>
          <w:tcPr>
            <w:tcW w:w="800" w:type="dxa"/>
            <w:vAlign w:val="bottom"/>
            <w:shd w:val="clear" w:color="auto" w:fill="C60C35"/>
          </w:tcPr>
          <w:p>
            <w:pPr>
              <w:spacing w:after="0"/>
              <w:rPr>
                <w:sz w:val="15"/>
                <w:szCs w:val="15"/>
                <w:color w:val="auto"/>
              </w:rPr>
            </w:pPr>
          </w:p>
        </w:tc>
        <w:tc>
          <w:tcPr>
            <w:tcW w:w="860" w:type="dxa"/>
            <w:vAlign w:val="bottom"/>
            <w:shd w:val="clear" w:color="auto" w:fill="C60C35"/>
          </w:tcPr>
          <w:p>
            <w:pPr>
              <w:spacing w:after="0"/>
              <w:rPr>
                <w:sz w:val="15"/>
                <w:szCs w:val="15"/>
                <w:color w:val="auto"/>
              </w:rPr>
            </w:pPr>
          </w:p>
        </w:tc>
        <w:tc>
          <w:tcPr>
            <w:tcW w:w="940" w:type="dxa"/>
            <w:vAlign w:val="bottom"/>
            <w:shd w:val="clear" w:color="auto" w:fill="C60C35"/>
          </w:tcPr>
          <w:p>
            <w:pPr>
              <w:spacing w:after="0"/>
              <w:rPr>
                <w:sz w:val="15"/>
                <w:szCs w:val="15"/>
                <w:color w:val="auto"/>
              </w:rPr>
            </w:pPr>
          </w:p>
        </w:tc>
        <w:tc>
          <w:tcPr>
            <w:tcW w:w="144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Nonqualified</w:t>
            </w:r>
          </w:p>
        </w:tc>
        <w:tc>
          <w:tcPr>
            <w:tcW w:w="1360" w:type="dxa"/>
            <w:vAlign w:val="bottom"/>
            <w:shd w:val="clear" w:color="auto" w:fill="C60C35"/>
          </w:tcPr>
          <w:p>
            <w:pPr>
              <w:spacing w:after="0"/>
              <w:rPr>
                <w:sz w:val="15"/>
                <w:szCs w:val="15"/>
                <w:color w:val="auto"/>
              </w:rPr>
            </w:pPr>
          </w:p>
        </w:tc>
        <w:tc>
          <w:tcPr>
            <w:tcW w:w="90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shd w:val="clear" w:color="auto" w:fill="C60C35"/>
          </w:tcPr>
          <w:p>
            <w:pPr>
              <w:spacing w:after="0"/>
              <w:rPr>
                <w:sz w:val="15"/>
                <w:szCs w:val="15"/>
                <w:color w:val="auto"/>
              </w:rPr>
            </w:pPr>
          </w:p>
        </w:tc>
        <w:tc>
          <w:tcPr>
            <w:tcW w:w="520" w:type="dxa"/>
            <w:vAlign w:val="bottom"/>
            <w:shd w:val="clear" w:color="auto" w:fill="C60C35"/>
          </w:tcPr>
          <w:p>
            <w:pPr>
              <w:spacing w:after="0"/>
              <w:rPr>
                <w:sz w:val="15"/>
                <w:szCs w:val="15"/>
                <w:color w:val="auto"/>
              </w:rPr>
            </w:pPr>
          </w:p>
        </w:tc>
        <w:tc>
          <w:tcPr>
            <w:tcW w:w="960" w:type="dxa"/>
            <w:vAlign w:val="bottom"/>
            <w:shd w:val="clear" w:color="auto" w:fill="C60C35"/>
          </w:tcPr>
          <w:p>
            <w:pPr>
              <w:spacing w:after="0"/>
              <w:rPr>
                <w:sz w:val="15"/>
                <w:szCs w:val="15"/>
                <w:color w:val="auto"/>
              </w:rPr>
            </w:pPr>
          </w:p>
        </w:tc>
        <w:tc>
          <w:tcPr>
            <w:tcW w:w="800" w:type="dxa"/>
            <w:vAlign w:val="bottom"/>
            <w:shd w:val="clear" w:color="auto" w:fill="C60C35"/>
          </w:tcPr>
          <w:p>
            <w:pPr>
              <w:spacing w:after="0"/>
              <w:rPr>
                <w:sz w:val="15"/>
                <w:szCs w:val="15"/>
                <w:color w:val="auto"/>
              </w:rPr>
            </w:pPr>
          </w:p>
        </w:tc>
        <w:tc>
          <w:tcPr>
            <w:tcW w:w="860" w:type="dxa"/>
            <w:vAlign w:val="bottom"/>
            <w:shd w:val="clear" w:color="auto" w:fill="C60C35"/>
          </w:tcPr>
          <w:p>
            <w:pPr>
              <w:spacing w:after="0"/>
              <w:rPr>
                <w:sz w:val="15"/>
                <w:szCs w:val="15"/>
                <w:color w:val="auto"/>
              </w:rPr>
            </w:pPr>
          </w:p>
        </w:tc>
        <w:tc>
          <w:tcPr>
            <w:tcW w:w="94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175"/>
              <w:spacing w:after="0"/>
              <w:rPr>
                <w:sz w:val="20"/>
                <w:szCs w:val="20"/>
                <w:color w:val="auto"/>
              </w:rPr>
            </w:pPr>
            <w:r>
              <w:rPr>
                <w:rFonts w:ascii="Arial" w:cs="Arial" w:eastAsia="Arial" w:hAnsi="Arial"/>
                <w:sz w:val="14"/>
                <w:szCs w:val="14"/>
                <w:b w:val="1"/>
                <w:bCs w:val="1"/>
                <w:color w:val="FFFFFF"/>
              </w:rPr>
              <w:t>Non-Equity</w:t>
            </w: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Deferred</w:t>
            </w:r>
          </w:p>
        </w:tc>
        <w:tc>
          <w:tcPr>
            <w:tcW w:w="1360" w:type="dxa"/>
            <w:vAlign w:val="bottom"/>
            <w:shd w:val="clear" w:color="auto" w:fill="C60C35"/>
          </w:tcPr>
          <w:p>
            <w:pPr>
              <w:spacing w:after="0"/>
              <w:rPr>
                <w:sz w:val="15"/>
                <w:szCs w:val="15"/>
                <w:color w:val="auto"/>
              </w:rPr>
            </w:pPr>
          </w:p>
        </w:tc>
        <w:tc>
          <w:tcPr>
            <w:tcW w:w="900" w:type="dxa"/>
            <w:vAlign w:val="bottom"/>
            <w:shd w:val="clear" w:color="auto" w:fill="C60C35"/>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60C35"/>
          </w:tcPr>
          <w:p>
            <w:pPr>
              <w:spacing w:after="0"/>
              <w:rPr>
                <w:sz w:val="14"/>
                <w:szCs w:val="14"/>
                <w:color w:val="auto"/>
              </w:rPr>
            </w:pPr>
          </w:p>
        </w:tc>
        <w:tc>
          <w:tcPr>
            <w:tcW w:w="520" w:type="dxa"/>
            <w:vAlign w:val="bottom"/>
            <w:shd w:val="clear" w:color="auto" w:fill="C60C35"/>
          </w:tcPr>
          <w:p>
            <w:pPr>
              <w:spacing w:after="0"/>
              <w:rPr>
                <w:sz w:val="14"/>
                <w:szCs w:val="14"/>
                <w:color w:val="auto"/>
              </w:rPr>
            </w:pPr>
          </w:p>
        </w:tc>
        <w:tc>
          <w:tcPr>
            <w:tcW w:w="960" w:type="dxa"/>
            <w:vAlign w:val="bottom"/>
            <w:shd w:val="clear" w:color="auto" w:fill="C60C35"/>
          </w:tcPr>
          <w:p>
            <w:pPr>
              <w:spacing w:after="0"/>
              <w:rPr>
                <w:sz w:val="14"/>
                <w:szCs w:val="14"/>
                <w:color w:val="auto"/>
              </w:rPr>
            </w:pPr>
          </w:p>
        </w:tc>
        <w:tc>
          <w:tcPr>
            <w:tcW w:w="800" w:type="dxa"/>
            <w:vAlign w:val="bottom"/>
            <w:shd w:val="clear" w:color="auto" w:fill="C60C35"/>
          </w:tcPr>
          <w:p>
            <w:pPr>
              <w:spacing w:after="0"/>
              <w:rPr>
                <w:sz w:val="14"/>
                <w:szCs w:val="14"/>
                <w:color w:val="auto"/>
              </w:rPr>
            </w:pPr>
          </w:p>
        </w:tc>
        <w:tc>
          <w:tcPr>
            <w:tcW w:w="860" w:type="dxa"/>
            <w:vAlign w:val="bottom"/>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Stock</w:t>
            </w:r>
          </w:p>
        </w:tc>
        <w:tc>
          <w:tcPr>
            <w:tcW w:w="940" w:type="dxa"/>
            <w:vAlign w:val="bottom"/>
            <w:shd w:val="clear" w:color="auto" w:fill="C60C35"/>
          </w:tcPr>
          <w:p>
            <w:pPr>
              <w:jc w:val="right"/>
              <w:ind w:right="155"/>
              <w:spacing w:after="0"/>
              <w:rPr>
                <w:sz w:val="20"/>
                <w:szCs w:val="20"/>
                <w:color w:val="auto"/>
              </w:rPr>
            </w:pPr>
            <w:r>
              <w:rPr>
                <w:rFonts w:ascii="Arial" w:cs="Arial" w:eastAsia="Arial" w:hAnsi="Arial"/>
                <w:sz w:val="14"/>
                <w:szCs w:val="14"/>
                <w:b w:val="1"/>
                <w:bCs w:val="1"/>
                <w:color w:val="FFFFFF"/>
              </w:rPr>
              <w:t>Option</w:t>
            </w:r>
          </w:p>
        </w:tc>
        <w:tc>
          <w:tcPr>
            <w:tcW w:w="1440" w:type="dxa"/>
            <w:vAlign w:val="bottom"/>
            <w:shd w:val="clear" w:color="auto" w:fill="C60C35"/>
          </w:tcPr>
          <w:p>
            <w:pPr>
              <w:jc w:val="right"/>
              <w:ind w:right="175"/>
              <w:spacing w:after="0"/>
              <w:rPr>
                <w:sz w:val="20"/>
                <w:szCs w:val="20"/>
                <w:color w:val="auto"/>
              </w:rPr>
            </w:pPr>
            <w:r>
              <w:rPr>
                <w:rFonts w:ascii="Arial" w:cs="Arial" w:eastAsia="Arial" w:hAnsi="Arial"/>
                <w:sz w:val="14"/>
                <w:szCs w:val="14"/>
                <w:b w:val="1"/>
                <w:bCs w:val="1"/>
                <w:color w:val="FFFFFF"/>
              </w:rPr>
              <w:t>Incentive Plan</w:t>
            </w: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Compensation</w:t>
            </w:r>
          </w:p>
        </w:tc>
        <w:tc>
          <w:tcPr>
            <w:tcW w:w="1360" w:type="dxa"/>
            <w:vAlign w:val="bottom"/>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All Other</w:t>
            </w:r>
          </w:p>
        </w:tc>
        <w:tc>
          <w:tcPr>
            <w:tcW w:w="90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 and</w:t>
            </w:r>
          </w:p>
        </w:tc>
        <w:tc>
          <w:tcPr>
            <w:tcW w:w="520" w:type="dxa"/>
            <w:vAlign w:val="bottom"/>
            <w:shd w:val="clear" w:color="auto" w:fill="C60C35"/>
          </w:tcPr>
          <w:p>
            <w:pPr>
              <w:spacing w:after="0"/>
              <w:rPr>
                <w:sz w:val="15"/>
                <w:szCs w:val="15"/>
                <w:color w:val="auto"/>
              </w:rPr>
            </w:pPr>
          </w:p>
        </w:tc>
        <w:tc>
          <w:tcPr>
            <w:tcW w:w="960" w:type="dxa"/>
            <w:vAlign w:val="bottom"/>
            <w:shd w:val="clear" w:color="auto" w:fill="C60C35"/>
          </w:tcPr>
          <w:p>
            <w:pPr>
              <w:jc w:val="right"/>
              <w:ind w:right="116"/>
              <w:spacing w:after="0"/>
              <w:rPr>
                <w:sz w:val="20"/>
                <w:szCs w:val="20"/>
                <w:color w:val="auto"/>
              </w:rPr>
            </w:pPr>
            <w:r>
              <w:rPr>
                <w:rFonts w:ascii="Arial" w:cs="Arial" w:eastAsia="Arial" w:hAnsi="Arial"/>
                <w:sz w:val="14"/>
                <w:szCs w:val="14"/>
                <w:b w:val="1"/>
                <w:bCs w:val="1"/>
                <w:color w:val="FFFFFF"/>
              </w:rPr>
              <w:t>Salary</w:t>
            </w:r>
          </w:p>
        </w:tc>
        <w:tc>
          <w:tcPr>
            <w:tcW w:w="800" w:type="dxa"/>
            <w:vAlign w:val="bottom"/>
            <w:shd w:val="clear" w:color="auto" w:fill="C60C35"/>
          </w:tcPr>
          <w:p>
            <w:pPr>
              <w:jc w:val="right"/>
              <w:ind w:right="76"/>
              <w:spacing w:after="0"/>
              <w:rPr>
                <w:sz w:val="20"/>
                <w:szCs w:val="20"/>
                <w:color w:val="auto"/>
              </w:rPr>
            </w:pPr>
            <w:r>
              <w:rPr>
                <w:rFonts w:ascii="Arial" w:cs="Arial" w:eastAsia="Arial" w:hAnsi="Arial"/>
                <w:sz w:val="14"/>
                <w:szCs w:val="14"/>
                <w:b w:val="1"/>
                <w:bCs w:val="1"/>
                <w:color w:val="FFFFFF"/>
              </w:rPr>
              <w:t>Bonus</w:t>
            </w:r>
          </w:p>
        </w:tc>
        <w:tc>
          <w:tcPr>
            <w:tcW w:w="860" w:type="dxa"/>
            <w:vAlign w:val="bottom"/>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Awards</w:t>
            </w:r>
          </w:p>
        </w:tc>
        <w:tc>
          <w:tcPr>
            <w:tcW w:w="940" w:type="dxa"/>
            <w:vAlign w:val="bottom"/>
            <w:shd w:val="clear" w:color="auto" w:fill="C60C35"/>
          </w:tcPr>
          <w:p>
            <w:pPr>
              <w:jc w:val="right"/>
              <w:ind w:right="155"/>
              <w:spacing w:after="0"/>
              <w:rPr>
                <w:sz w:val="20"/>
                <w:szCs w:val="20"/>
                <w:color w:val="auto"/>
              </w:rPr>
            </w:pPr>
            <w:r>
              <w:rPr>
                <w:rFonts w:ascii="Arial" w:cs="Arial" w:eastAsia="Arial" w:hAnsi="Arial"/>
                <w:sz w:val="14"/>
                <w:szCs w:val="14"/>
                <w:b w:val="1"/>
                <w:bCs w:val="1"/>
                <w:color w:val="FFFFFF"/>
              </w:rPr>
              <w:t>Awards</w:t>
            </w:r>
          </w:p>
        </w:tc>
        <w:tc>
          <w:tcPr>
            <w:tcW w:w="1440" w:type="dxa"/>
            <w:vAlign w:val="bottom"/>
            <w:shd w:val="clear" w:color="auto" w:fill="C60C35"/>
          </w:tcPr>
          <w:p>
            <w:pPr>
              <w:jc w:val="right"/>
              <w:ind w:right="175"/>
              <w:spacing w:after="0"/>
              <w:rPr>
                <w:sz w:val="20"/>
                <w:szCs w:val="20"/>
                <w:color w:val="auto"/>
              </w:rPr>
            </w:pPr>
            <w:r>
              <w:rPr>
                <w:rFonts w:ascii="Arial" w:cs="Arial" w:eastAsia="Arial" w:hAnsi="Arial"/>
                <w:sz w:val="14"/>
                <w:szCs w:val="14"/>
                <w:b w:val="1"/>
                <w:bCs w:val="1"/>
                <w:color w:val="FFFFFF"/>
              </w:rPr>
              <w:t>Compensation</w:t>
            </w: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Earnings</w:t>
            </w:r>
          </w:p>
        </w:tc>
        <w:tc>
          <w:tcPr>
            <w:tcW w:w="1360" w:type="dxa"/>
            <w:vAlign w:val="bottom"/>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Compensation</w:t>
            </w:r>
          </w:p>
        </w:tc>
        <w:tc>
          <w:tcPr>
            <w:tcW w:w="900" w:type="dxa"/>
            <w:vAlign w:val="bottom"/>
            <w:shd w:val="clear" w:color="auto" w:fill="C60C35"/>
          </w:tcPr>
          <w:p>
            <w:pPr>
              <w:jc w:val="right"/>
              <w:ind w:right="96"/>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6"/>
        </w:trPr>
        <w:tc>
          <w:tcPr>
            <w:tcW w:w="20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Principal Position</w:t>
            </w:r>
          </w:p>
        </w:tc>
        <w:tc>
          <w:tcPr>
            <w:tcW w:w="52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Year</w:t>
            </w:r>
          </w:p>
        </w:tc>
        <w:tc>
          <w:tcPr>
            <w:tcW w:w="960" w:type="dxa"/>
            <w:vAlign w:val="bottom"/>
            <w:shd w:val="clear" w:color="auto" w:fill="C60C35"/>
          </w:tcPr>
          <w:p>
            <w:pPr>
              <w:jc w:val="right"/>
              <w:ind w:right="116"/>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C60C35"/>
          </w:tcPr>
          <w:p>
            <w:pPr>
              <w:jc w:val="right"/>
              <w:ind w:right="76"/>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C60C35"/>
          </w:tcPr>
          <w:p>
            <w:pPr>
              <w:jc w:val="right"/>
              <w:ind w:right="75"/>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(1)</w:t>
            </w:r>
          </w:p>
        </w:tc>
        <w:tc>
          <w:tcPr>
            <w:tcW w:w="940" w:type="dxa"/>
            <w:vAlign w:val="bottom"/>
            <w:shd w:val="clear" w:color="auto" w:fill="C60C35"/>
          </w:tcPr>
          <w:p>
            <w:pPr>
              <w:jc w:val="right"/>
              <w:ind w:right="155"/>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(2)</w:t>
            </w:r>
          </w:p>
        </w:tc>
        <w:tc>
          <w:tcPr>
            <w:tcW w:w="1440" w:type="dxa"/>
            <w:vAlign w:val="bottom"/>
            <w:shd w:val="clear" w:color="auto" w:fill="C60C35"/>
          </w:tcPr>
          <w:p>
            <w:pPr>
              <w:jc w:val="right"/>
              <w:ind w:right="175"/>
              <w:spacing w:after="0"/>
              <w:rPr>
                <w:sz w:val="20"/>
                <w:szCs w:val="20"/>
                <w:color w:val="auto"/>
              </w:rPr>
            </w:pPr>
            <w:r>
              <w:rPr>
                <w:rFonts w:ascii="Arial" w:cs="Arial" w:eastAsia="Arial" w:hAnsi="Arial"/>
                <w:sz w:val="14"/>
                <w:szCs w:val="14"/>
                <w:b w:val="1"/>
                <w:bCs w:val="1"/>
                <w:color w:val="FFFFFF"/>
              </w:rPr>
              <w:t>($)</w:t>
            </w:r>
          </w:p>
        </w:tc>
        <w:tc>
          <w:tcPr>
            <w:tcW w:w="1440" w:type="dxa"/>
            <w:vAlign w:val="bottom"/>
            <w:shd w:val="clear" w:color="auto" w:fill="C60C35"/>
          </w:tcPr>
          <w:p>
            <w:pPr>
              <w:jc w:val="right"/>
              <w:ind w:right="133"/>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(3)</w:t>
            </w:r>
          </w:p>
        </w:tc>
        <w:tc>
          <w:tcPr>
            <w:tcW w:w="1360" w:type="dxa"/>
            <w:vAlign w:val="bottom"/>
            <w:shd w:val="clear" w:color="auto" w:fill="C60C35"/>
          </w:tcPr>
          <w:p>
            <w:pPr>
              <w:jc w:val="right"/>
              <w:ind w:right="95"/>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(4)</w:t>
            </w:r>
          </w:p>
        </w:tc>
        <w:tc>
          <w:tcPr>
            <w:tcW w:w="900" w:type="dxa"/>
            <w:vAlign w:val="bottom"/>
            <w:shd w:val="clear" w:color="auto" w:fill="C60C35"/>
          </w:tcPr>
          <w:p>
            <w:pPr>
              <w:jc w:val="right"/>
              <w:ind w:right="96"/>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10"/>
        </w:trPr>
        <w:tc>
          <w:tcPr>
            <w:tcW w:w="2020" w:type="dxa"/>
            <w:vAlign w:val="bottom"/>
            <w:shd w:val="clear" w:color="auto" w:fill="C60C35"/>
          </w:tcPr>
          <w:p>
            <w:pPr>
              <w:spacing w:after="0"/>
              <w:rPr>
                <w:sz w:val="9"/>
                <w:szCs w:val="9"/>
                <w:color w:val="auto"/>
              </w:rPr>
            </w:pPr>
          </w:p>
        </w:tc>
        <w:tc>
          <w:tcPr>
            <w:tcW w:w="520" w:type="dxa"/>
            <w:vAlign w:val="bottom"/>
            <w:shd w:val="clear" w:color="auto" w:fill="C60C35"/>
          </w:tcPr>
          <w:p>
            <w:pPr>
              <w:spacing w:after="0"/>
              <w:rPr>
                <w:sz w:val="9"/>
                <w:szCs w:val="9"/>
                <w:color w:val="auto"/>
              </w:rPr>
            </w:pPr>
          </w:p>
        </w:tc>
        <w:tc>
          <w:tcPr>
            <w:tcW w:w="960" w:type="dxa"/>
            <w:vAlign w:val="bottom"/>
            <w:shd w:val="clear" w:color="auto" w:fill="C60C35"/>
          </w:tcPr>
          <w:p>
            <w:pPr>
              <w:spacing w:after="0"/>
              <w:rPr>
                <w:sz w:val="9"/>
                <w:szCs w:val="9"/>
                <w:color w:val="auto"/>
              </w:rPr>
            </w:pPr>
          </w:p>
        </w:tc>
        <w:tc>
          <w:tcPr>
            <w:tcW w:w="800" w:type="dxa"/>
            <w:vAlign w:val="bottom"/>
            <w:shd w:val="clear" w:color="auto" w:fill="C60C35"/>
          </w:tcPr>
          <w:p>
            <w:pPr>
              <w:spacing w:after="0"/>
              <w:rPr>
                <w:sz w:val="9"/>
                <w:szCs w:val="9"/>
                <w:color w:val="auto"/>
              </w:rPr>
            </w:pPr>
          </w:p>
        </w:tc>
        <w:tc>
          <w:tcPr>
            <w:tcW w:w="860" w:type="dxa"/>
            <w:vAlign w:val="bottom"/>
            <w:shd w:val="clear" w:color="auto" w:fill="C60C35"/>
          </w:tcPr>
          <w:p>
            <w:pPr>
              <w:spacing w:after="0"/>
              <w:rPr>
                <w:sz w:val="9"/>
                <w:szCs w:val="9"/>
                <w:color w:val="auto"/>
              </w:rPr>
            </w:pPr>
          </w:p>
        </w:tc>
        <w:tc>
          <w:tcPr>
            <w:tcW w:w="940" w:type="dxa"/>
            <w:vAlign w:val="bottom"/>
            <w:shd w:val="clear" w:color="auto" w:fill="C60C35"/>
          </w:tcPr>
          <w:p>
            <w:pPr>
              <w:spacing w:after="0"/>
              <w:rPr>
                <w:sz w:val="9"/>
                <w:szCs w:val="9"/>
                <w:color w:val="auto"/>
              </w:rPr>
            </w:pPr>
          </w:p>
        </w:tc>
        <w:tc>
          <w:tcPr>
            <w:tcW w:w="1440" w:type="dxa"/>
            <w:vAlign w:val="bottom"/>
            <w:shd w:val="clear" w:color="auto" w:fill="C60C35"/>
          </w:tcPr>
          <w:p>
            <w:pPr>
              <w:spacing w:after="0"/>
              <w:rPr>
                <w:sz w:val="9"/>
                <w:szCs w:val="9"/>
                <w:color w:val="auto"/>
              </w:rPr>
            </w:pPr>
          </w:p>
        </w:tc>
        <w:tc>
          <w:tcPr>
            <w:tcW w:w="1440" w:type="dxa"/>
            <w:vAlign w:val="bottom"/>
            <w:shd w:val="clear" w:color="auto" w:fill="C60C35"/>
          </w:tcPr>
          <w:p>
            <w:pPr>
              <w:spacing w:after="0"/>
              <w:rPr>
                <w:sz w:val="9"/>
                <w:szCs w:val="9"/>
                <w:color w:val="auto"/>
              </w:rPr>
            </w:pPr>
          </w:p>
        </w:tc>
        <w:tc>
          <w:tcPr>
            <w:tcW w:w="1360" w:type="dxa"/>
            <w:vAlign w:val="bottom"/>
            <w:shd w:val="clear" w:color="auto" w:fill="C60C35"/>
          </w:tcPr>
          <w:p>
            <w:pPr>
              <w:spacing w:after="0"/>
              <w:rPr>
                <w:sz w:val="9"/>
                <w:szCs w:val="9"/>
                <w:color w:val="auto"/>
              </w:rPr>
            </w:pPr>
          </w:p>
        </w:tc>
        <w:tc>
          <w:tcPr>
            <w:tcW w:w="900" w:type="dxa"/>
            <w:vAlign w:val="bottom"/>
            <w:shd w:val="clear" w:color="auto" w:fill="C60C35"/>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 Maskara</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2025</w:t>
            </w:r>
          </w:p>
        </w:tc>
        <w:tc>
          <w:tcPr>
            <w:tcW w:w="960" w:type="dxa"/>
            <w:vAlign w:val="bottom"/>
            <w:shd w:val="clear" w:color="auto" w:fill="F1F2F2"/>
          </w:tcPr>
          <w:p>
            <w:pPr>
              <w:jc w:val="right"/>
              <w:ind w:right="156"/>
              <w:spacing w:after="0"/>
              <w:rPr>
                <w:sz w:val="20"/>
                <w:szCs w:val="20"/>
                <w:color w:val="auto"/>
              </w:rPr>
            </w:pPr>
            <w:r>
              <w:rPr>
                <w:rFonts w:ascii="Arial" w:cs="Arial" w:eastAsia="Arial" w:hAnsi="Arial"/>
                <w:sz w:val="13"/>
                <w:szCs w:val="13"/>
                <w:color w:val="auto"/>
              </w:rPr>
              <w:t>1,176,250</w:t>
            </w:r>
          </w:p>
        </w:tc>
        <w:tc>
          <w:tcPr>
            <w:tcW w:w="80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ind w:right="115"/>
              <w:spacing w:after="0"/>
              <w:rPr>
                <w:sz w:val="20"/>
                <w:szCs w:val="20"/>
                <w:color w:val="auto"/>
              </w:rPr>
            </w:pPr>
            <w:r>
              <w:rPr>
                <w:rFonts w:ascii="Arial" w:cs="Arial" w:eastAsia="Arial" w:hAnsi="Arial"/>
                <w:sz w:val="13"/>
                <w:szCs w:val="13"/>
                <w:color w:val="auto"/>
              </w:rPr>
              <w:t>4,500,496</w:t>
            </w:r>
          </w:p>
        </w:tc>
        <w:tc>
          <w:tcPr>
            <w:tcW w:w="940" w:type="dxa"/>
            <w:vAlign w:val="bottom"/>
            <w:shd w:val="clear" w:color="auto" w:fill="F1F2F2"/>
          </w:tcPr>
          <w:p>
            <w:pPr>
              <w:jc w:val="right"/>
              <w:ind w:right="195"/>
              <w:spacing w:after="0"/>
              <w:rPr>
                <w:sz w:val="20"/>
                <w:szCs w:val="20"/>
                <w:color w:val="auto"/>
              </w:rPr>
            </w:pPr>
            <w:r>
              <w:rPr>
                <w:rFonts w:ascii="Arial" w:cs="Arial" w:eastAsia="Arial" w:hAnsi="Arial"/>
                <w:sz w:val="13"/>
                <w:szCs w:val="13"/>
                <w:color w:val="auto"/>
              </w:rPr>
              <w:t>1,149,880</w:t>
            </w:r>
          </w:p>
        </w:tc>
        <w:tc>
          <w:tcPr>
            <w:tcW w:w="1440" w:type="dxa"/>
            <w:vAlign w:val="bottom"/>
            <w:shd w:val="clear" w:color="auto" w:fill="F1F2F2"/>
          </w:tcPr>
          <w:p>
            <w:pPr>
              <w:jc w:val="right"/>
              <w:ind w:right="215"/>
              <w:spacing w:after="0"/>
              <w:rPr>
                <w:sz w:val="20"/>
                <w:szCs w:val="20"/>
                <w:color w:val="auto"/>
              </w:rPr>
            </w:pPr>
            <w:r>
              <w:rPr>
                <w:rFonts w:ascii="Arial" w:cs="Arial" w:eastAsia="Arial" w:hAnsi="Arial"/>
                <w:sz w:val="13"/>
                <w:szCs w:val="13"/>
                <w:color w:val="auto"/>
              </w:rPr>
              <w:t>1,329,604</w:t>
            </w:r>
          </w:p>
        </w:tc>
        <w:tc>
          <w:tcPr>
            <w:tcW w:w="1440" w:type="dxa"/>
            <w:vAlign w:val="bottom"/>
            <w:shd w:val="clear" w:color="auto" w:fill="F1F2F2"/>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shd w:val="clear" w:color="auto" w:fill="F1F2F2"/>
          </w:tcPr>
          <w:p>
            <w:pPr>
              <w:jc w:val="right"/>
              <w:ind w:right="135"/>
              <w:spacing w:after="0"/>
              <w:rPr>
                <w:sz w:val="20"/>
                <w:szCs w:val="20"/>
                <w:color w:val="auto"/>
              </w:rPr>
            </w:pPr>
            <w:r>
              <w:rPr>
                <w:rFonts w:ascii="Arial" w:cs="Arial" w:eastAsia="Arial" w:hAnsi="Arial"/>
                <w:sz w:val="13"/>
                <w:szCs w:val="13"/>
                <w:color w:val="auto"/>
              </w:rPr>
              <w:t>277,925</w:t>
            </w:r>
          </w:p>
        </w:tc>
        <w:tc>
          <w:tcPr>
            <w:tcW w:w="90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8,434,155</w:t>
            </w:r>
          </w:p>
        </w:tc>
        <w:tc>
          <w:tcPr>
            <w:tcW w:w="0" w:type="dxa"/>
            <w:vAlign w:val="bottom"/>
          </w:tcPr>
          <w:p>
            <w:pPr>
              <w:spacing w:after="0"/>
              <w:rPr>
                <w:sz w:val="1"/>
                <w:szCs w:val="1"/>
                <w:color w:val="auto"/>
              </w:rPr>
            </w:pPr>
          </w:p>
        </w:tc>
      </w:tr>
      <w:tr>
        <w:trPr>
          <w:trHeight w:val="230"/>
        </w:trPr>
        <w:tc>
          <w:tcPr>
            <w:tcW w:w="202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President and Chief Executive</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F1F2F2"/>
          </w:tcPr>
          <w:p>
            <w:pPr>
              <w:jc w:val="right"/>
              <w:ind w:right="156"/>
              <w:spacing w:after="0"/>
              <w:rPr>
                <w:sz w:val="20"/>
                <w:szCs w:val="20"/>
                <w:color w:val="auto"/>
              </w:rPr>
            </w:pPr>
            <w:r>
              <w:rPr>
                <w:rFonts w:ascii="Arial" w:cs="Arial" w:eastAsia="Arial" w:hAnsi="Arial"/>
                <w:sz w:val="13"/>
                <w:szCs w:val="13"/>
                <w:color w:val="auto"/>
              </w:rPr>
              <w:t>1,131,250</w:t>
            </w:r>
          </w:p>
        </w:tc>
        <w:tc>
          <w:tcPr>
            <w:tcW w:w="80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ind w:right="115"/>
              <w:spacing w:after="0"/>
              <w:rPr>
                <w:sz w:val="20"/>
                <w:szCs w:val="20"/>
                <w:color w:val="auto"/>
              </w:rPr>
            </w:pPr>
            <w:r>
              <w:rPr>
                <w:rFonts w:ascii="Arial" w:cs="Arial" w:eastAsia="Arial" w:hAnsi="Arial"/>
                <w:sz w:val="13"/>
                <w:szCs w:val="13"/>
                <w:color w:val="auto"/>
              </w:rPr>
              <w:t>4,429,662</w:t>
            </w:r>
          </w:p>
        </w:tc>
        <w:tc>
          <w:tcPr>
            <w:tcW w:w="940" w:type="dxa"/>
            <w:vAlign w:val="bottom"/>
            <w:shd w:val="clear" w:color="auto" w:fill="F1F2F2"/>
          </w:tcPr>
          <w:p>
            <w:pPr>
              <w:jc w:val="right"/>
              <w:ind w:right="195"/>
              <w:spacing w:after="0"/>
              <w:rPr>
                <w:sz w:val="20"/>
                <w:szCs w:val="20"/>
                <w:color w:val="auto"/>
              </w:rPr>
            </w:pPr>
            <w:r>
              <w:rPr>
                <w:rFonts w:ascii="Arial" w:cs="Arial" w:eastAsia="Arial" w:hAnsi="Arial"/>
                <w:sz w:val="13"/>
                <w:szCs w:val="13"/>
                <w:color w:val="auto"/>
              </w:rPr>
              <w:t>1,125,423</w:t>
            </w:r>
          </w:p>
        </w:tc>
        <w:tc>
          <w:tcPr>
            <w:tcW w:w="1440" w:type="dxa"/>
            <w:vAlign w:val="bottom"/>
            <w:shd w:val="clear" w:color="auto" w:fill="F1F2F2"/>
          </w:tcPr>
          <w:p>
            <w:pPr>
              <w:jc w:val="right"/>
              <w:ind w:right="215"/>
              <w:spacing w:after="0"/>
              <w:rPr>
                <w:sz w:val="20"/>
                <w:szCs w:val="20"/>
                <w:color w:val="auto"/>
              </w:rPr>
            </w:pPr>
            <w:r>
              <w:rPr>
                <w:rFonts w:ascii="Arial" w:cs="Arial" w:eastAsia="Arial" w:hAnsi="Arial"/>
                <w:sz w:val="13"/>
                <w:szCs w:val="13"/>
                <w:color w:val="auto"/>
              </w:rPr>
              <w:t>2,948,762</w:t>
            </w:r>
          </w:p>
        </w:tc>
        <w:tc>
          <w:tcPr>
            <w:tcW w:w="1440" w:type="dxa"/>
            <w:vAlign w:val="bottom"/>
            <w:shd w:val="clear" w:color="auto" w:fill="F1F2F2"/>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shd w:val="clear" w:color="auto" w:fill="F1F2F2"/>
          </w:tcPr>
          <w:p>
            <w:pPr>
              <w:jc w:val="right"/>
              <w:ind w:right="135"/>
              <w:spacing w:after="0"/>
              <w:rPr>
                <w:sz w:val="20"/>
                <w:szCs w:val="20"/>
                <w:color w:val="auto"/>
              </w:rPr>
            </w:pPr>
            <w:r>
              <w:rPr>
                <w:rFonts w:ascii="Arial" w:cs="Arial" w:eastAsia="Arial" w:hAnsi="Arial"/>
                <w:sz w:val="13"/>
                <w:szCs w:val="13"/>
                <w:color w:val="auto"/>
              </w:rPr>
              <w:t>272,814</w:t>
            </w:r>
          </w:p>
        </w:tc>
        <w:tc>
          <w:tcPr>
            <w:tcW w:w="90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9,907,911</w:t>
            </w:r>
          </w:p>
        </w:tc>
        <w:tc>
          <w:tcPr>
            <w:tcW w:w="0" w:type="dxa"/>
            <w:vAlign w:val="bottom"/>
          </w:tcPr>
          <w:p>
            <w:pPr>
              <w:spacing w:after="0"/>
              <w:rPr>
                <w:sz w:val="1"/>
                <w:szCs w:val="1"/>
                <w:color w:val="auto"/>
              </w:rPr>
            </w:pPr>
          </w:p>
        </w:tc>
      </w:tr>
      <w:tr>
        <w:trPr>
          <w:trHeight w:val="50"/>
        </w:trPr>
        <w:tc>
          <w:tcPr>
            <w:tcW w:w="2020" w:type="dxa"/>
            <w:vAlign w:val="bottom"/>
            <w:vMerge w:val="continue"/>
            <w:shd w:val="clear" w:color="auto" w:fill="F1F2F2"/>
          </w:tcPr>
          <w:p>
            <w:pPr>
              <w:spacing w:after="0"/>
              <w:rPr>
                <w:sz w:val="4"/>
                <w:szCs w:val="4"/>
                <w:color w:val="auto"/>
              </w:rPr>
            </w:pPr>
          </w:p>
        </w:tc>
        <w:tc>
          <w:tcPr>
            <w:tcW w:w="520" w:type="dxa"/>
            <w:vAlign w:val="bottom"/>
            <w:shd w:val="clear" w:color="auto" w:fill="F1F2F2"/>
          </w:tcPr>
          <w:p>
            <w:pPr>
              <w:spacing w:after="0"/>
              <w:rPr>
                <w:sz w:val="4"/>
                <w:szCs w:val="4"/>
                <w:color w:val="auto"/>
              </w:rPr>
            </w:pPr>
          </w:p>
        </w:tc>
        <w:tc>
          <w:tcPr>
            <w:tcW w:w="960" w:type="dxa"/>
            <w:vAlign w:val="bottom"/>
            <w:shd w:val="clear" w:color="auto" w:fill="F1F2F2"/>
          </w:tcPr>
          <w:p>
            <w:pPr>
              <w:spacing w:after="0"/>
              <w:rPr>
                <w:sz w:val="4"/>
                <w:szCs w:val="4"/>
                <w:color w:val="auto"/>
              </w:rPr>
            </w:pPr>
          </w:p>
        </w:tc>
        <w:tc>
          <w:tcPr>
            <w:tcW w:w="800" w:type="dxa"/>
            <w:vAlign w:val="bottom"/>
            <w:shd w:val="clear" w:color="auto" w:fill="F1F2F2"/>
          </w:tcPr>
          <w:p>
            <w:pPr>
              <w:spacing w:after="0"/>
              <w:rPr>
                <w:sz w:val="4"/>
                <w:szCs w:val="4"/>
                <w:color w:val="auto"/>
              </w:rPr>
            </w:pPr>
          </w:p>
        </w:tc>
        <w:tc>
          <w:tcPr>
            <w:tcW w:w="860" w:type="dxa"/>
            <w:vAlign w:val="bottom"/>
            <w:shd w:val="clear" w:color="auto" w:fill="F1F2F2"/>
          </w:tcPr>
          <w:p>
            <w:pPr>
              <w:spacing w:after="0"/>
              <w:rPr>
                <w:sz w:val="4"/>
                <w:szCs w:val="4"/>
                <w:color w:val="auto"/>
              </w:rPr>
            </w:pPr>
          </w:p>
        </w:tc>
        <w:tc>
          <w:tcPr>
            <w:tcW w:w="940" w:type="dxa"/>
            <w:vAlign w:val="bottom"/>
            <w:shd w:val="clear" w:color="auto" w:fill="F1F2F2"/>
          </w:tcPr>
          <w:p>
            <w:pPr>
              <w:spacing w:after="0"/>
              <w:rPr>
                <w:sz w:val="4"/>
                <w:szCs w:val="4"/>
                <w:color w:val="auto"/>
              </w:rPr>
            </w:pPr>
          </w:p>
        </w:tc>
        <w:tc>
          <w:tcPr>
            <w:tcW w:w="1440" w:type="dxa"/>
            <w:vAlign w:val="bottom"/>
            <w:shd w:val="clear" w:color="auto" w:fill="F1F2F2"/>
          </w:tcPr>
          <w:p>
            <w:pPr>
              <w:spacing w:after="0"/>
              <w:rPr>
                <w:sz w:val="4"/>
                <w:szCs w:val="4"/>
                <w:color w:val="auto"/>
              </w:rPr>
            </w:pPr>
          </w:p>
        </w:tc>
        <w:tc>
          <w:tcPr>
            <w:tcW w:w="1440" w:type="dxa"/>
            <w:vAlign w:val="bottom"/>
            <w:shd w:val="clear" w:color="auto" w:fill="F1F2F2"/>
          </w:tcPr>
          <w:p>
            <w:pPr>
              <w:spacing w:after="0"/>
              <w:rPr>
                <w:sz w:val="4"/>
                <w:szCs w:val="4"/>
                <w:color w:val="auto"/>
              </w:rPr>
            </w:pPr>
          </w:p>
        </w:tc>
        <w:tc>
          <w:tcPr>
            <w:tcW w:w="1360" w:type="dxa"/>
            <w:vAlign w:val="bottom"/>
            <w:shd w:val="clear" w:color="auto" w:fill="F1F2F2"/>
          </w:tcPr>
          <w:p>
            <w:pPr>
              <w:spacing w:after="0"/>
              <w:rPr>
                <w:sz w:val="4"/>
                <w:szCs w:val="4"/>
                <w:color w:val="auto"/>
              </w:rPr>
            </w:pPr>
          </w:p>
        </w:tc>
        <w:tc>
          <w:tcPr>
            <w:tcW w:w="90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Officer</w:t>
            </w:r>
          </w:p>
        </w:tc>
        <w:tc>
          <w:tcPr>
            <w:tcW w:w="520" w:type="dxa"/>
            <w:vAlign w:val="bottom"/>
            <w:vMerge w:val="restart"/>
            <w:shd w:val="clear" w:color="auto" w:fill="F1F2F2"/>
          </w:tcPr>
          <w:p>
            <w:pPr>
              <w:ind w:left="120"/>
              <w:spacing w:after="0"/>
              <w:rPr>
                <w:sz w:val="20"/>
                <w:szCs w:val="20"/>
                <w:color w:val="auto"/>
              </w:rPr>
            </w:pPr>
            <w:r>
              <w:rPr>
                <w:rFonts w:ascii="Arial" w:cs="Arial" w:eastAsia="Arial" w:hAnsi="Arial"/>
                <w:sz w:val="13"/>
                <w:szCs w:val="13"/>
                <w:color w:val="auto"/>
              </w:rPr>
              <w:t>2023</w:t>
            </w:r>
          </w:p>
        </w:tc>
        <w:tc>
          <w:tcPr>
            <w:tcW w:w="960" w:type="dxa"/>
            <w:vAlign w:val="bottom"/>
            <w:vMerge w:val="restart"/>
            <w:shd w:val="clear" w:color="auto" w:fill="F1F2F2"/>
          </w:tcPr>
          <w:p>
            <w:pPr>
              <w:jc w:val="right"/>
              <w:ind w:right="156"/>
              <w:spacing w:after="0"/>
              <w:rPr>
                <w:sz w:val="20"/>
                <w:szCs w:val="20"/>
                <w:color w:val="auto"/>
              </w:rPr>
            </w:pPr>
            <w:r>
              <w:rPr>
                <w:rFonts w:ascii="Arial" w:cs="Arial" w:eastAsia="Arial" w:hAnsi="Arial"/>
                <w:sz w:val="13"/>
                <w:szCs w:val="13"/>
                <w:color w:val="auto"/>
              </w:rPr>
              <w:t>1,064,750</w:t>
            </w:r>
          </w:p>
        </w:tc>
        <w:tc>
          <w:tcPr>
            <w:tcW w:w="800" w:type="dxa"/>
            <w:vAlign w:val="bottom"/>
            <w:vMerge w:val="restart"/>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1F2F2"/>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F1F2F2"/>
          </w:tcPr>
          <w:p>
            <w:pPr>
              <w:jc w:val="right"/>
              <w:ind w:right="195"/>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F1F2F2"/>
          </w:tcPr>
          <w:p>
            <w:pPr>
              <w:jc w:val="right"/>
              <w:ind w:right="215"/>
              <w:spacing w:after="0"/>
              <w:rPr>
                <w:sz w:val="20"/>
                <w:szCs w:val="20"/>
                <w:color w:val="auto"/>
              </w:rPr>
            </w:pPr>
            <w:r>
              <w:rPr>
                <w:rFonts w:ascii="Arial" w:cs="Arial" w:eastAsia="Arial" w:hAnsi="Arial"/>
                <w:sz w:val="13"/>
                <w:szCs w:val="13"/>
                <w:color w:val="auto"/>
              </w:rPr>
              <w:t>2,729,934</w:t>
            </w:r>
          </w:p>
        </w:tc>
        <w:tc>
          <w:tcPr>
            <w:tcW w:w="1440" w:type="dxa"/>
            <w:vAlign w:val="bottom"/>
            <w:vMerge w:val="restart"/>
            <w:shd w:val="clear" w:color="auto" w:fill="F1F2F2"/>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vMerge w:val="restart"/>
            <w:shd w:val="clear" w:color="auto" w:fill="F1F2F2"/>
          </w:tcPr>
          <w:p>
            <w:pPr>
              <w:jc w:val="right"/>
              <w:ind w:right="135"/>
              <w:spacing w:after="0"/>
              <w:rPr>
                <w:sz w:val="20"/>
                <w:szCs w:val="20"/>
                <w:color w:val="auto"/>
              </w:rPr>
            </w:pPr>
            <w:r>
              <w:rPr>
                <w:rFonts w:ascii="Arial" w:cs="Arial" w:eastAsia="Arial" w:hAnsi="Arial"/>
                <w:sz w:val="13"/>
                <w:szCs w:val="13"/>
                <w:color w:val="auto"/>
              </w:rPr>
              <w:t>1,188,979</w:t>
            </w:r>
          </w:p>
        </w:tc>
        <w:tc>
          <w:tcPr>
            <w:tcW w:w="900" w:type="dxa"/>
            <w:vAlign w:val="bottom"/>
            <w:vMerge w:val="restart"/>
            <w:shd w:val="clear" w:color="auto" w:fill="F1F2F2"/>
          </w:tcPr>
          <w:p>
            <w:pPr>
              <w:jc w:val="right"/>
              <w:ind w:right="136"/>
              <w:spacing w:after="0"/>
              <w:rPr>
                <w:sz w:val="20"/>
                <w:szCs w:val="20"/>
                <w:color w:val="auto"/>
              </w:rPr>
            </w:pPr>
            <w:r>
              <w:rPr>
                <w:rFonts w:ascii="Arial" w:cs="Arial" w:eastAsia="Arial" w:hAnsi="Arial"/>
                <w:sz w:val="13"/>
                <w:szCs w:val="13"/>
                <w:color w:val="auto"/>
              </w:rPr>
              <w:t>4,983,663</w:t>
            </w:r>
          </w:p>
        </w:tc>
        <w:tc>
          <w:tcPr>
            <w:tcW w:w="0" w:type="dxa"/>
            <w:vAlign w:val="bottom"/>
          </w:tcPr>
          <w:p>
            <w:pPr>
              <w:spacing w:after="0"/>
              <w:rPr>
                <w:sz w:val="1"/>
                <w:szCs w:val="1"/>
                <w:color w:val="auto"/>
              </w:rPr>
            </w:pPr>
          </w:p>
        </w:tc>
      </w:tr>
      <w:tr>
        <w:trPr>
          <w:trHeight w:val="54"/>
        </w:trPr>
        <w:tc>
          <w:tcPr>
            <w:tcW w:w="2020" w:type="dxa"/>
            <w:vAlign w:val="bottom"/>
            <w:shd w:val="clear" w:color="auto" w:fill="F1F2F2"/>
          </w:tcPr>
          <w:p>
            <w:pPr>
              <w:spacing w:after="0"/>
              <w:rPr>
                <w:sz w:val="4"/>
                <w:szCs w:val="4"/>
                <w:color w:val="auto"/>
              </w:rPr>
            </w:pPr>
          </w:p>
        </w:tc>
        <w:tc>
          <w:tcPr>
            <w:tcW w:w="520" w:type="dxa"/>
            <w:vAlign w:val="bottom"/>
            <w:vMerge w:val="continue"/>
            <w:shd w:val="clear" w:color="auto" w:fill="F1F2F2"/>
          </w:tcPr>
          <w:p>
            <w:pPr>
              <w:spacing w:after="0"/>
              <w:rPr>
                <w:sz w:val="4"/>
                <w:szCs w:val="4"/>
                <w:color w:val="auto"/>
              </w:rPr>
            </w:pPr>
          </w:p>
        </w:tc>
        <w:tc>
          <w:tcPr>
            <w:tcW w:w="960" w:type="dxa"/>
            <w:vAlign w:val="bottom"/>
            <w:vMerge w:val="continue"/>
            <w:shd w:val="clear" w:color="auto" w:fill="F1F2F2"/>
          </w:tcPr>
          <w:p>
            <w:pPr>
              <w:spacing w:after="0"/>
              <w:rPr>
                <w:sz w:val="4"/>
                <w:szCs w:val="4"/>
                <w:color w:val="auto"/>
              </w:rPr>
            </w:pPr>
          </w:p>
        </w:tc>
        <w:tc>
          <w:tcPr>
            <w:tcW w:w="800" w:type="dxa"/>
            <w:vAlign w:val="bottom"/>
            <w:vMerge w:val="continue"/>
            <w:shd w:val="clear" w:color="auto" w:fill="F1F2F2"/>
          </w:tcPr>
          <w:p>
            <w:pPr>
              <w:spacing w:after="0"/>
              <w:rPr>
                <w:sz w:val="4"/>
                <w:szCs w:val="4"/>
                <w:color w:val="auto"/>
              </w:rPr>
            </w:pPr>
          </w:p>
        </w:tc>
        <w:tc>
          <w:tcPr>
            <w:tcW w:w="860" w:type="dxa"/>
            <w:vAlign w:val="bottom"/>
            <w:vMerge w:val="continue"/>
            <w:shd w:val="clear" w:color="auto" w:fill="F1F2F2"/>
          </w:tcPr>
          <w:p>
            <w:pPr>
              <w:spacing w:after="0"/>
              <w:rPr>
                <w:sz w:val="4"/>
                <w:szCs w:val="4"/>
                <w:color w:val="auto"/>
              </w:rPr>
            </w:pPr>
          </w:p>
        </w:tc>
        <w:tc>
          <w:tcPr>
            <w:tcW w:w="940" w:type="dxa"/>
            <w:vAlign w:val="bottom"/>
            <w:vMerge w:val="continue"/>
            <w:shd w:val="clear" w:color="auto" w:fill="F1F2F2"/>
          </w:tcPr>
          <w:p>
            <w:pPr>
              <w:spacing w:after="0"/>
              <w:rPr>
                <w:sz w:val="4"/>
                <w:szCs w:val="4"/>
                <w:color w:val="auto"/>
              </w:rPr>
            </w:pPr>
          </w:p>
        </w:tc>
        <w:tc>
          <w:tcPr>
            <w:tcW w:w="1440" w:type="dxa"/>
            <w:vAlign w:val="bottom"/>
            <w:vMerge w:val="continue"/>
            <w:shd w:val="clear" w:color="auto" w:fill="F1F2F2"/>
          </w:tcPr>
          <w:p>
            <w:pPr>
              <w:spacing w:after="0"/>
              <w:rPr>
                <w:sz w:val="4"/>
                <w:szCs w:val="4"/>
                <w:color w:val="auto"/>
              </w:rPr>
            </w:pPr>
          </w:p>
        </w:tc>
        <w:tc>
          <w:tcPr>
            <w:tcW w:w="1440" w:type="dxa"/>
            <w:vAlign w:val="bottom"/>
            <w:vMerge w:val="continue"/>
            <w:shd w:val="clear" w:color="auto" w:fill="F1F2F2"/>
          </w:tcPr>
          <w:p>
            <w:pPr>
              <w:spacing w:after="0"/>
              <w:rPr>
                <w:sz w:val="4"/>
                <w:szCs w:val="4"/>
                <w:color w:val="auto"/>
              </w:rPr>
            </w:pPr>
          </w:p>
        </w:tc>
        <w:tc>
          <w:tcPr>
            <w:tcW w:w="1360" w:type="dxa"/>
            <w:vAlign w:val="bottom"/>
            <w:vMerge w:val="continue"/>
            <w:shd w:val="clear" w:color="auto" w:fill="F1F2F2"/>
          </w:tcPr>
          <w:p>
            <w:pPr>
              <w:spacing w:after="0"/>
              <w:rPr>
                <w:sz w:val="4"/>
                <w:szCs w:val="4"/>
                <w:color w:val="auto"/>
              </w:rPr>
            </w:pPr>
          </w:p>
        </w:tc>
        <w:tc>
          <w:tcPr>
            <w:tcW w:w="90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20" w:type="dxa"/>
            <w:vAlign w:val="bottom"/>
            <w:shd w:val="clear" w:color="auto" w:fill="F1F2F2"/>
          </w:tcPr>
          <w:p>
            <w:pPr>
              <w:spacing w:after="0"/>
              <w:rPr>
                <w:sz w:val="5"/>
                <w:szCs w:val="5"/>
                <w:color w:val="auto"/>
              </w:rPr>
            </w:pPr>
          </w:p>
        </w:tc>
        <w:tc>
          <w:tcPr>
            <w:tcW w:w="520" w:type="dxa"/>
            <w:vAlign w:val="bottom"/>
            <w:shd w:val="clear" w:color="auto" w:fill="F1F2F2"/>
          </w:tcPr>
          <w:p>
            <w:pPr>
              <w:spacing w:after="0"/>
              <w:rPr>
                <w:sz w:val="5"/>
                <w:szCs w:val="5"/>
                <w:color w:val="auto"/>
              </w:rPr>
            </w:pPr>
          </w:p>
        </w:tc>
        <w:tc>
          <w:tcPr>
            <w:tcW w:w="960" w:type="dxa"/>
            <w:vAlign w:val="bottom"/>
            <w:shd w:val="clear" w:color="auto" w:fill="F1F2F2"/>
          </w:tcPr>
          <w:p>
            <w:pPr>
              <w:spacing w:after="0"/>
              <w:rPr>
                <w:sz w:val="5"/>
                <w:szCs w:val="5"/>
                <w:color w:val="auto"/>
              </w:rPr>
            </w:pPr>
          </w:p>
        </w:tc>
        <w:tc>
          <w:tcPr>
            <w:tcW w:w="800" w:type="dxa"/>
            <w:vAlign w:val="bottom"/>
            <w:shd w:val="clear" w:color="auto" w:fill="F1F2F2"/>
          </w:tcPr>
          <w:p>
            <w:pPr>
              <w:spacing w:after="0"/>
              <w:rPr>
                <w:sz w:val="5"/>
                <w:szCs w:val="5"/>
                <w:color w:val="auto"/>
              </w:rPr>
            </w:pPr>
          </w:p>
        </w:tc>
        <w:tc>
          <w:tcPr>
            <w:tcW w:w="860" w:type="dxa"/>
            <w:vAlign w:val="bottom"/>
            <w:shd w:val="clear" w:color="auto" w:fill="F1F2F2"/>
          </w:tcPr>
          <w:p>
            <w:pPr>
              <w:spacing w:after="0"/>
              <w:rPr>
                <w:sz w:val="5"/>
                <w:szCs w:val="5"/>
                <w:color w:val="auto"/>
              </w:rPr>
            </w:pPr>
          </w:p>
        </w:tc>
        <w:tc>
          <w:tcPr>
            <w:tcW w:w="940" w:type="dxa"/>
            <w:vAlign w:val="bottom"/>
            <w:shd w:val="clear" w:color="auto" w:fill="F1F2F2"/>
          </w:tcPr>
          <w:p>
            <w:pPr>
              <w:spacing w:after="0"/>
              <w:rPr>
                <w:sz w:val="5"/>
                <w:szCs w:val="5"/>
                <w:color w:val="auto"/>
              </w:rPr>
            </w:pPr>
          </w:p>
        </w:tc>
        <w:tc>
          <w:tcPr>
            <w:tcW w:w="1440" w:type="dxa"/>
            <w:vAlign w:val="bottom"/>
            <w:shd w:val="clear" w:color="auto" w:fill="F1F2F2"/>
          </w:tcPr>
          <w:p>
            <w:pPr>
              <w:spacing w:after="0"/>
              <w:rPr>
                <w:sz w:val="5"/>
                <w:szCs w:val="5"/>
                <w:color w:val="auto"/>
              </w:rPr>
            </w:pPr>
          </w:p>
        </w:tc>
        <w:tc>
          <w:tcPr>
            <w:tcW w:w="1440" w:type="dxa"/>
            <w:vAlign w:val="bottom"/>
            <w:shd w:val="clear" w:color="auto" w:fill="F1F2F2"/>
          </w:tcPr>
          <w:p>
            <w:pPr>
              <w:spacing w:after="0"/>
              <w:rPr>
                <w:sz w:val="5"/>
                <w:szCs w:val="5"/>
                <w:color w:val="auto"/>
              </w:rPr>
            </w:pPr>
          </w:p>
        </w:tc>
        <w:tc>
          <w:tcPr>
            <w:tcW w:w="1360" w:type="dxa"/>
            <w:vAlign w:val="bottom"/>
            <w:shd w:val="clear" w:color="auto" w:fill="F1F2F2"/>
          </w:tcPr>
          <w:p>
            <w:pPr>
              <w:spacing w:after="0"/>
              <w:rPr>
                <w:sz w:val="5"/>
                <w:szCs w:val="5"/>
                <w:color w:val="auto"/>
              </w:rPr>
            </w:pPr>
          </w:p>
        </w:tc>
        <w:tc>
          <w:tcPr>
            <w:tcW w:w="90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100"/>
              <w:spacing w:after="0"/>
              <w:rPr>
                <w:sz w:val="20"/>
                <w:szCs w:val="20"/>
                <w:color w:val="auto"/>
              </w:rPr>
            </w:pPr>
            <w:r>
              <w:rPr>
                <w:rFonts w:ascii="Arial" w:cs="Arial" w:eastAsia="Arial" w:hAnsi="Arial"/>
                <w:sz w:val="13"/>
                <w:szCs w:val="13"/>
                <w:color w:val="auto"/>
              </w:rPr>
              <w:t>Michael P. Quenzer</w:t>
            </w:r>
          </w:p>
        </w:tc>
        <w:tc>
          <w:tcPr>
            <w:tcW w:w="520" w:type="dxa"/>
            <w:vAlign w:val="bottom"/>
          </w:tcPr>
          <w:p>
            <w:pPr>
              <w:ind w:left="120"/>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625,000</w:t>
            </w: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5"/>
              <w:spacing w:after="0"/>
              <w:rPr>
                <w:sz w:val="20"/>
                <w:szCs w:val="20"/>
                <w:color w:val="auto"/>
              </w:rPr>
            </w:pPr>
            <w:r>
              <w:rPr>
                <w:rFonts w:ascii="Arial" w:cs="Arial" w:eastAsia="Arial" w:hAnsi="Arial"/>
                <w:sz w:val="13"/>
                <w:szCs w:val="13"/>
                <w:color w:val="auto"/>
              </w:rPr>
              <w:t>934,403</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238,859</w:t>
            </w:r>
          </w:p>
        </w:tc>
        <w:tc>
          <w:tcPr>
            <w:tcW w:w="1440" w:type="dxa"/>
            <w:vAlign w:val="bottom"/>
          </w:tcPr>
          <w:p>
            <w:pPr>
              <w:jc w:val="right"/>
              <w:ind w:right="215"/>
              <w:spacing w:after="0"/>
              <w:rPr>
                <w:sz w:val="20"/>
                <w:szCs w:val="20"/>
                <w:color w:val="auto"/>
              </w:rPr>
            </w:pPr>
            <w:r>
              <w:rPr>
                <w:rFonts w:ascii="Arial" w:cs="Arial" w:eastAsia="Arial" w:hAnsi="Arial"/>
                <w:sz w:val="13"/>
                <w:szCs w:val="13"/>
                <w:color w:val="auto"/>
              </w:rPr>
              <w:t>423,891</w:t>
            </w:r>
          </w:p>
        </w:tc>
        <w:tc>
          <w:tcPr>
            <w:tcW w:w="14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5"/>
              <w:spacing w:after="0"/>
              <w:rPr>
                <w:sz w:val="20"/>
                <w:szCs w:val="20"/>
                <w:color w:val="auto"/>
              </w:rPr>
            </w:pPr>
            <w:r>
              <w:rPr>
                <w:rFonts w:ascii="Arial" w:cs="Arial" w:eastAsia="Arial" w:hAnsi="Arial"/>
                <w:sz w:val="13"/>
                <w:szCs w:val="13"/>
                <w:color w:val="auto"/>
              </w:rPr>
              <w:t>123,916</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2,346,069</w:t>
            </w:r>
          </w:p>
        </w:tc>
        <w:tc>
          <w:tcPr>
            <w:tcW w:w="0" w:type="dxa"/>
            <w:vAlign w:val="bottom"/>
          </w:tcPr>
          <w:p>
            <w:pPr>
              <w:spacing w:after="0"/>
              <w:rPr>
                <w:sz w:val="1"/>
                <w:szCs w:val="1"/>
                <w:color w:val="auto"/>
              </w:rPr>
            </w:pPr>
          </w:p>
        </w:tc>
      </w:tr>
      <w:tr>
        <w:trPr>
          <w:trHeight w:val="230"/>
        </w:trPr>
        <w:tc>
          <w:tcPr>
            <w:tcW w:w="2020" w:type="dxa"/>
            <w:vAlign w:val="bottom"/>
            <w:vMerge w:val="restart"/>
          </w:tcPr>
          <w:p>
            <w:pPr>
              <w:ind w:left="100"/>
              <w:spacing w:after="0"/>
              <w:rPr>
                <w:sz w:val="20"/>
                <w:szCs w:val="20"/>
                <w:color w:val="auto"/>
              </w:rPr>
            </w:pPr>
            <w:r>
              <w:rPr>
                <w:rFonts w:ascii="Arial" w:cs="Arial" w:eastAsia="Arial" w:hAnsi="Arial"/>
                <w:sz w:val="13"/>
                <w:szCs w:val="13"/>
                <w:color w:val="auto"/>
              </w:rPr>
              <w:t>Executive Vice President, Chief</w:t>
            </w:r>
          </w:p>
        </w:tc>
        <w:tc>
          <w:tcPr>
            <w:tcW w:w="520" w:type="dxa"/>
            <w:vAlign w:val="bottom"/>
          </w:tcPr>
          <w:p>
            <w:pPr>
              <w:ind w:left="120"/>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550,000</w:t>
            </w: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5"/>
              <w:spacing w:after="0"/>
              <w:rPr>
                <w:sz w:val="20"/>
                <w:szCs w:val="20"/>
                <w:color w:val="auto"/>
              </w:rPr>
            </w:pPr>
            <w:r>
              <w:rPr>
                <w:rFonts w:ascii="Arial" w:cs="Arial" w:eastAsia="Arial" w:hAnsi="Arial"/>
                <w:sz w:val="13"/>
                <w:szCs w:val="13"/>
                <w:color w:val="auto"/>
              </w:rPr>
              <w:t>776,931</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197,488</w:t>
            </w:r>
          </w:p>
        </w:tc>
        <w:tc>
          <w:tcPr>
            <w:tcW w:w="1440" w:type="dxa"/>
            <w:vAlign w:val="bottom"/>
          </w:tcPr>
          <w:p>
            <w:pPr>
              <w:jc w:val="right"/>
              <w:ind w:right="215"/>
              <w:spacing w:after="0"/>
              <w:rPr>
                <w:sz w:val="20"/>
                <w:szCs w:val="20"/>
                <w:color w:val="auto"/>
              </w:rPr>
            </w:pPr>
            <w:r>
              <w:rPr>
                <w:rFonts w:ascii="Arial" w:cs="Arial" w:eastAsia="Arial" w:hAnsi="Arial"/>
                <w:sz w:val="13"/>
                <w:szCs w:val="13"/>
                <w:color w:val="auto"/>
              </w:rPr>
              <w:t>896,033</w:t>
            </w:r>
          </w:p>
        </w:tc>
        <w:tc>
          <w:tcPr>
            <w:tcW w:w="14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5"/>
              <w:spacing w:after="0"/>
              <w:rPr>
                <w:sz w:val="20"/>
                <w:szCs w:val="20"/>
                <w:color w:val="auto"/>
              </w:rPr>
            </w:pPr>
            <w:r>
              <w:rPr>
                <w:rFonts w:ascii="Arial" w:cs="Arial" w:eastAsia="Arial" w:hAnsi="Arial"/>
                <w:sz w:val="13"/>
                <w:szCs w:val="13"/>
                <w:color w:val="auto"/>
              </w:rPr>
              <w:t>83,876</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2,504,328</w:t>
            </w:r>
          </w:p>
        </w:tc>
        <w:tc>
          <w:tcPr>
            <w:tcW w:w="0" w:type="dxa"/>
            <w:vAlign w:val="bottom"/>
          </w:tcPr>
          <w:p>
            <w:pPr>
              <w:spacing w:after="0"/>
              <w:rPr>
                <w:sz w:val="1"/>
                <w:szCs w:val="1"/>
                <w:color w:val="auto"/>
              </w:rPr>
            </w:pPr>
          </w:p>
        </w:tc>
      </w:tr>
      <w:tr>
        <w:trPr>
          <w:trHeight w:val="50"/>
        </w:trPr>
        <w:tc>
          <w:tcPr>
            <w:tcW w:w="20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20" w:type="dxa"/>
            <w:vAlign w:val="bottom"/>
          </w:tcPr>
          <w:p>
            <w:pPr>
              <w:ind w:left="100"/>
              <w:spacing w:after="0"/>
              <w:rPr>
                <w:sz w:val="20"/>
                <w:szCs w:val="20"/>
                <w:color w:val="auto"/>
              </w:rPr>
            </w:pPr>
            <w:r>
              <w:rPr>
                <w:rFonts w:ascii="Arial" w:cs="Arial" w:eastAsia="Arial" w:hAnsi="Arial"/>
                <w:sz w:val="13"/>
                <w:szCs w:val="13"/>
                <w:color w:val="auto"/>
              </w:rPr>
              <w:t>Financial Officer</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Sarah R. Martin</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2025</w:t>
            </w:r>
          </w:p>
        </w:tc>
        <w:tc>
          <w:tcPr>
            <w:tcW w:w="960" w:type="dxa"/>
            <w:vAlign w:val="bottom"/>
            <w:shd w:val="clear" w:color="auto" w:fill="F1F2F2"/>
          </w:tcPr>
          <w:p>
            <w:pPr>
              <w:jc w:val="right"/>
              <w:ind w:right="156"/>
              <w:spacing w:after="0"/>
              <w:rPr>
                <w:sz w:val="20"/>
                <w:szCs w:val="20"/>
                <w:color w:val="auto"/>
              </w:rPr>
            </w:pPr>
            <w:r>
              <w:rPr>
                <w:rFonts w:ascii="Arial" w:cs="Arial" w:eastAsia="Arial" w:hAnsi="Arial"/>
                <w:sz w:val="13"/>
                <w:szCs w:val="13"/>
                <w:color w:val="auto"/>
              </w:rPr>
              <w:t>406,818</w:t>
            </w:r>
          </w:p>
        </w:tc>
        <w:tc>
          <w:tcPr>
            <w:tcW w:w="80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500,000</w:t>
            </w:r>
          </w:p>
        </w:tc>
        <w:tc>
          <w:tcPr>
            <w:tcW w:w="860" w:type="dxa"/>
            <w:vAlign w:val="bottom"/>
            <w:shd w:val="clear" w:color="auto" w:fill="F1F2F2"/>
          </w:tcPr>
          <w:p>
            <w:pPr>
              <w:jc w:val="right"/>
              <w:ind w:right="115"/>
              <w:spacing w:after="0"/>
              <w:rPr>
                <w:sz w:val="20"/>
                <w:szCs w:val="20"/>
                <w:color w:val="auto"/>
              </w:rPr>
            </w:pPr>
            <w:r>
              <w:rPr>
                <w:rFonts w:ascii="Arial" w:cs="Arial" w:eastAsia="Arial" w:hAnsi="Arial"/>
                <w:sz w:val="13"/>
                <w:szCs w:val="13"/>
                <w:color w:val="auto"/>
              </w:rPr>
              <w:t>1,213,184</w:t>
            </w:r>
          </w:p>
        </w:tc>
        <w:tc>
          <w:tcPr>
            <w:tcW w:w="940" w:type="dxa"/>
            <w:vAlign w:val="bottom"/>
            <w:shd w:val="clear" w:color="auto" w:fill="F1F2F2"/>
          </w:tcPr>
          <w:p>
            <w:pPr>
              <w:jc w:val="right"/>
              <w:ind w:right="195"/>
              <w:spacing w:after="0"/>
              <w:rPr>
                <w:sz w:val="20"/>
                <w:szCs w:val="20"/>
                <w:color w:val="auto"/>
              </w:rPr>
            </w:pPr>
            <w:r>
              <w:rPr>
                <w:rFonts w:ascii="Arial" w:cs="Arial" w:eastAsia="Arial" w:hAnsi="Arial"/>
                <w:sz w:val="13"/>
                <w:szCs w:val="13"/>
                <w:color w:val="auto"/>
              </w:rPr>
              <w:t>—</w:t>
            </w:r>
          </w:p>
        </w:tc>
        <w:tc>
          <w:tcPr>
            <w:tcW w:w="1440" w:type="dxa"/>
            <w:vAlign w:val="bottom"/>
            <w:shd w:val="clear" w:color="auto" w:fill="F1F2F2"/>
          </w:tcPr>
          <w:p>
            <w:pPr>
              <w:jc w:val="right"/>
              <w:ind w:right="215"/>
              <w:spacing w:after="0"/>
              <w:rPr>
                <w:sz w:val="20"/>
                <w:szCs w:val="20"/>
                <w:color w:val="auto"/>
              </w:rPr>
            </w:pPr>
            <w:r>
              <w:rPr>
                <w:rFonts w:ascii="Arial" w:cs="Arial" w:eastAsia="Arial" w:hAnsi="Arial"/>
                <w:sz w:val="13"/>
                <w:szCs w:val="13"/>
                <w:color w:val="auto"/>
              </w:rPr>
              <w:t>244,884</w:t>
            </w:r>
          </w:p>
        </w:tc>
        <w:tc>
          <w:tcPr>
            <w:tcW w:w="1440" w:type="dxa"/>
            <w:vAlign w:val="bottom"/>
            <w:shd w:val="clear" w:color="auto" w:fill="F1F2F2"/>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shd w:val="clear" w:color="auto" w:fill="F1F2F2"/>
          </w:tcPr>
          <w:p>
            <w:pPr>
              <w:jc w:val="right"/>
              <w:ind w:right="135"/>
              <w:spacing w:after="0"/>
              <w:rPr>
                <w:sz w:val="20"/>
                <w:szCs w:val="20"/>
                <w:color w:val="auto"/>
              </w:rPr>
            </w:pPr>
            <w:r>
              <w:rPr>
                <w:rFonts w:ascii="Arial" w:cs="Arial" w:eastAsia="Arial" w:hAnsi="Arial"/>
                <w:sz w:val="13"/>
                <w:szCs w:val="13"/>
                <w:color w:val="auto"/>
              </w:rPr>
              <w:t>24,040</w:t>
            </w:r>
          </w:p>
        </w:tc>
        <w:tc>
          <w:tcPr>
            <w:tcW w:w="90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2,388,926</w:t>
            </w:r>
          </w:p>
        </w:tc>
        <w:tc>
          <w:tcPr>
            <w:tcW w:w="0" w:type="dxa"/>
            <w:vAlign w:val="bottom"/>
          </w:tcPr>
          <w:p>
            <w:pPr>
              <w:spacing w:after="0"/>
              <w:rPr>
                <w:sz w:val="1"/>
                <w:szCs w:val="1"/>
                <w:color w:val="auto"/>
              </w:rPr>
            </w:pPr>
          </w:p>
        </w:tc>
      </w:tr>
      <w:tr>
        <w:trPr>
          <w:trHeight w:val="199"/>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Executive Vice President and</w:t>
            </w:r>
          </w:p>
        </w:tc>
        <w:tc>
          <w:tcPr>
            <w:tcW w:w="520" w:type="dxa"/>
            <w:vAlign w:val="bottom"/>
            <w:shd w:val="clear" w:color="auto" w:fill="F1F2F2"/>
          </w:tcPr>
          <w:p>
            <w:pPr>
              <w:spacing w:after="0"/>
              <w:rPr>
                <w:sz w:val="17"/>
                <w:szCs w:val="17"/>
                <w:color w:val="auto"/>
              </w:rPr>
            </w:pPr>
          </w:p>
        </w:tc>
        <w:tc>
          <w:tcPr>
            <w:tcW w:w="96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940" w:type="dxa"/>
            <w:vAlign w:val="bottom"/>
            <w:shd w:val="clear" w:color="auto" w:fill="F1F2F2"/>
          </w:tcPr>
          <w:p>
            <w:pPr>
              <w:spacing w:after="0"/>
              <w:rPr>
                <w:sz w:val="17"/>
                <w:szCs w:val="17"/>
                <w:color w:val="auto"/>
              </w:rPr>
            </w:pPr>
          </w:p>
        </w:tc>
        <w:tc>
          <w:tcPr>
            <w:tcW w:w="1440" w:type="dxa"/>
            <w:vAlign w:val="bottom"/>
            <w:shd w:val="clear" w:color="auto" w:fill="F1F2F2"/>
          </w:tcPr>
          <w:p>
            <w:pPr>
              <w:spacing w:after="0"/>
              <w:rPr>
                <w:sz w:val="17"/>
                <w:szCs w:val="17"/>
                <w:color w:val="auto"/>
              </w:rPr>
            </w:pPr>
          </w:p>
        </w:tc>
        <w:tc>
          <w:tcPr>
            <w:tcW w:w="1440" w:type="dxa"/>
            <w:vAlign w:val="bottom"/>
            <w:shd w:val="clear" w:color="auto" w:fill="F1F2F2"/>
          </w:tcPr>
          <w:p>
            <w:pPr>
              <w:spacing w:after="0"/>
              <w:rPr>
                <w:sz w:val="17"/>
                <w:szCs w:val="17"/>
                <w:color w:val="auto"/>
              </w:rPr>
            </w:pPr>
          </w:p>
        </w:tc>
        <w:tc>
          <w:tcPr>
            <w:tcW w:w="1360" w:type="dxa"/>
            <w:vAlign w:val="bottom"/>
            <w:shd w:val="clear" w:color="auto" w:fill="F1F2F2"/>
          </w:tcPr>
          <w:p>
            <w:pPr>
              <w:spacing w:after="0"/>
              <w:rPr>
                <w:sz w:val="17"/>
                <w:szCs w:val="17"/>
                <w:color w:val="auto"/>
              </w:rPr>
            </w:pPr>
          </w:p>
        </w:tc>
        <w:tc>
          <w:tcPr>
            <w:tcW w:w="9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President, Home Comfort</w:t>
            </w:r>
          </w:p>
        </w:tc>
        <w:tc>
          <w:tcPr>
            <w:tcW w:w="520" w:type="dxa"/>
            <w:vAlign w:val="bottom"/>
            <w:shd w:val="clear" w:color="auto" w:fill="F1F2F2"/>
          </w:tcPr>
          <w:p>
            <w:pPr>
              <w:spacing w:after="0"/>
              <w:rPr>
                <w:sz w:val="12"/>
                <w:szCs w:val="12"/>
                <w:color w:val="auto"/>
              </w:rPr>
            </w:pPr>
          </w:p>
        </w:tc>
        <w:tc>
          <w:tcPr>
            <w:tcW w:w="960" w:type="dxa"/>
            <w:vAlign w:val="bottom"/>
            <w:shd w:val="clear" w:color="auto" w:fill="F1F2F2"/>
          </w:tcPr>
          <w:p>
            <w:pPr>
              <w:spacing w:after="0"/>
              <w:rPr>
                <w:sz w:val="12"/>
                <w:szCs w:val="12"/>
                <w:color w:val="auto"/>
              </w:rPr>
            </w:pPr>
          </w:p>
        </w:tc>
        <w:tc>
          <w:tcPr>
            <w:tcW w:w="800" w:type="dxa"/>
            <w:vAlign w:val="bottom"/>
            <w:shd w:val="clear" w:color="auto" w:fill="F1F2F2"/>
          </w:tcPr>
          <w:p>
            <w:pPr>
              <w:spacing w:after="0"/>
              <w:rPr>
                <w:sz w:val="12"/>
                <w:szCs w:val="12"/>
                <w:color w:val="auto"/>
              </w:rPr>
            </w:pPr>
          </w:p>
        </w:tc>
        <w:tc>
          <w:tcPr>
            <w:tcW w:w="860" w:type="dxa"/>
            <w:vAlign w:val="bottom"/>
            <w:shd w:val="clear" w:color="auto" w:fill="F1F2F2"/>
          </w:tcPr>
          <w:p>
            <w:pPr>
              <w:spacing w:after="0"/>
              <w:rPr>
                <w:sz w:val="12"/>
                <w:szCs w:val="12"/>
                <w:color w:val="auto"/>
              </w:rPr>
            </w:pPr>
          </w:p>
        </w:tc>
        <w:tc>
          <w:tcPr>
            <w:tcW w:w="940" w:type="dxa"/>
            <w:vAlign w:val="bottom"/>
            <w:shd w:val="clear" w:color="auto" w:fill="F1F2F2"/>
          </w:tcPr>
          <w:p>
            <w:pPr>
              <w:spacing w:after="0"/>
              <w:rPr>
                <w:sz w:val="12"/>
                <w:szCs w:val="12"/>
                <w:color w:val="auto"/>
              </w:rPr>
            </w:pPr>
          </w:p>
        </w:tc>
        <w:tc>
          <w:tcPr>
            <w:tcW w:w="1440" w:type="dxa"/>
            <w:vAlign w:val="bottom"/>
            <w:shd w:val="clear" w:color="auto" w:fill="F1F2F2"/>
          </w:tcPr>
          <w:p>
            <w:pPr>
              <w:spacing w:after="0"/>
              <w:rPr>
                <w:sz w:val="12"/>
                <w:szCs w:val="12"/>
                <w:color w:val="auto"/>
              </w:rPr>
            </w:pPr>
          </w:p>
        </w:tc>
        <w:tc>
          <w:tcPr>
            <w:tcW w:w="1440" w:type="dxa"/>
            <w:vAlign w:val="bottom"/>
            <w:shd w:val="clear" w:color="auto" w:fill="F1F2F2"/>
          </w:tcPr>
          <w:p>
            <w:pPr>
              <w:spacing w:after="0"/>
              <w:rPr>
                <w:sz w:val="12"/>
                <w:szCs w:val="12"/>
                <w:color w:val="auto"/>
              </w:rPr>
            </w:pPr>
          </w:p>
        </w:tc>
        <w:tc>
          <w:tcPr>
            <w:tcW w:w="1360" w:type="dxa"/>
            <w:vAlign w:val="bottom"/>
            <w:shd w:val="clear" w:color="auto" w:fill="F1F2F2"/>
          </w:tcPr>
          <w:p>
            <w:pPr>
              <w:spacing w:after="0"/>
              <w:rPr>
                <w:sz w:val="12"/>
                <w:szCs w:val="12"/>
                <w:color w:val="auto"/>
              </w:rPr>
            </w:pPr>
          </w:p>
        </w:tc>
        <w:tc>
          <w:tcPr>
            <w:tcW w:w="900" w:type="dxa"/>
            <w:vAlign w:val="bottom"/>
            <w:shd w:val="clear" w:color="auto" w:fill="F1F2F2"/>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Solutions</w:t>
            </w:r>
          </w:p>
        </w:tc>
        <w:tc>
          <w:tcPr>
            <w:tcW w:w="520" w:type="dxa"/>
            <w:vAlign w:val="bottom"/>
            <w:tcBorders>
              <w:bottom w:val="single" w:sz="8" w:color="F1F2F2"/>
            </w:tcBorders>
            <w:shd w:val="clear" w:color="auto" w:fill="F1F2F2"/>
          </w:tcPr>
          <w:p>
            <w:pPr>
              <w:spacing w:after="0"/>
              <w:rPr>
                <w:sz w:val="17"/>
                <w:szCs w:val="17"/>
                <w:color w:val="auto"/>
              </w:rPr>
            </w:pPr>
          </w:p>
        </w:tc>
        <w:tc>
          <w:tcPr>
            <w:tcW w:w="960" w:type="dxa"/>
            <w:vAlign w:val="bottom"/>
            <w:tcBorders>
              <w:bottom w:val="single" w:sz="8" w:color="F1F2F2"/>
            </w:tcBorders>
            <w:shd w:val="clear" w:color="auto" w:fill="F1F2F2"/>
          </w:tcPr>
          <w:p>
            <w:pPr>
              <w:spacing w:after="0"/>
              <w:rPr>
                <w:sz w:val="17"/>
                <w:szCs w:val="17"/>
                <w:color w:val="auto"/>
              </w:rPr>
            </w:pPr>
          </w:p>
        </w:tc>
        <w:tc>
          <w:tcPr>
            <w:tcW w:w="800" w:type="dxa"/>
            <w:vAlign w:val="bottom"/>
            <w:tcBorders>
              <w:bottom w:val="single" w:sz="8" w:color="F1F2F2"/>
            </w:tcBorders>
            <w:shd w:val="clear" w:color="auto" w:fill="F1F2F2"/>
          </w:tcPr>
          <w:p>
            <w:pPr>
              <w:spacing w:after="0"/>
              <w:rPr>
                <w:sz w:val="17"/>
                <w:szCs w:val="17"/>
                <w:color w:val="auto"/>
              </w:rPr>
            </w:pPr>
          </w:p>
        </w:tc>
        <w:tc>
          <w:tcPr>
            <w:tcW w:w="860" w:type="dxa"/>
            <w:vAlign w:val="bottom"/>
            <w:tcBorders>
              <w:bottom w:val="single" w:sz="8" w:color="F1F2F2"/>
            </w:tcBorders>
            <w:shd w:val="clear" w:color="auto" w:fill="F1F2F2"/>
          </w:tcPr>
          <w:p>
            <w:pPr>
              <w:spacing w:after="0"/>
              <w:rPr>
                <w:sz w:val="17"/>
                <w:szCs w:val="17"/>
                <w:color w:val="auto"/>
              </w:rPr>
            </w:pPr>
          </w:p>
        </w:tc>
        <w:tc>
          <w:tcPr>
            <w:tcW w:w="940" w:type="dxa"/>
            <w:vAlign w:val="bottom"/>
            <w:tcBorders>
              <w:bottom w:val="single" w:sz="8" w:color="F1F2F2"/>
            </w:tcBorders>
            <w:shd w:val="clear" w:color="auto" w:fill="F1F2F2"/>
          </w:tcPr>
          <w:p>
            <w:pPr>
              <w:spacing w:after="0"/>
              <w:rPr>
                <w:sz w:val="17"/>
                <w:szCs w:val="17"/>
                <w:color w:val="auto"/>
              </w:rPr>
            </w:pPr>
          </w:p>
        </w:tc>
        <w:tc>
          <w:tcPr>
            <w:tcW w:w="1440" w:type="dxa"/>
            <w:vAlign w:val="bottom"/>
            <w:tcBorders>
              <w:bottom w:val="single" w:sz="8" w:color="F1F2F2"/>
            </w:tcBorders>
            <w:shd w:val="clear" w:color="auto" w:fill="F1F2F2"/>
          </w:tcPr>
          <w:p>
            <w:pPr>
              <w:spacing w:after="0"/>
              <w:rPr>
                <w:sz w:val="17"/>
                <w:szCs w:val="17"/>
                <w:color w:val="auto"/>
              </w:rPr>
            </w:pPr>
          </w:p>
        </w:tc>
        <w:tc>
          <w:tcPr>
            <w:tcW w:w="1440" w:type="dxa"/>
            <w:vAlign w:val="bottom"/>
            <w:tcBorders>
              <w:bottom w:val="single" w:sz="8" w:color="F1F2F2"/>
            </w:tcBorders>
            <w:shd w:val="clear" w:color="auto" w:fill="F1F2F2"/>
          </w:tcPr>
          <w:p>
            <w:pPr>
              <w:spacing w:after="0"/>
              <w:rPr>
                <w:sz w:val="17"/>
                <w:szCs w:val="17"/>
                <w:color w:val="auto"/>
              </w:rPr>
            </w:pPr>
          </w:p>
        </w:tc>
        <w:tc>
          <w:tcPr>
            <w:tcW w:w="1360" w:type="dxa"/>
            <w:vAlign w:val="bottom"/>
            <w:tcBorders>
              <w:bottom w:val="single" w:sz="8" w:color="F1F2F2"/>
            </w:tcBorders>
            <w:shd w:val="clear" w:color="auto" w:fill="F1F2F2"/>
          </w:tcPr>
          <w:p>
            <w:pPr>
              <w:spacing w:after="0"/>
              <w:rPr>
                <w:sz w:val="17"/>
                <w:szCs w:val="17"/>
                <w:color w:val="auto"/>
              </w:rPr>
            </w:pPr>
          </w:p>
        </w:tc>
        <w:tc>
          <w:tcPr>
            <w:tcW w:w="900" w:type="dxa"/>
            <w:vAlign w:val="bottom"/>
            <w:tcBorders>
              <w:bottom w:val="single" w:sz="8" w:color="F1F2F2"/>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20" w:type="dxa"/>
            <w:vAlign w:val="bottom"/>
          </w:tcPr>
          <w:p>
            <w:pPr>
              <w:ind w:left="100"/>
              <w:spacing w:after="0"/>
              <w:rPr>
                <w:sz w:val="20"/>
                <w:szCs w:val="20"/>
                <w:color w:val="auto"/>
              </w:rPr>
            </w:pPr>
            <w:r>
              <w:rPr>
                <w:rFonts w:ascii="Arial" w:cs="Arial" w:eastAsia="Arial" w:hAnsi="Arial"/>
                <w:sz w:val="13"/>
                <w:szCs w:val="13"/>
                <w:color w:val="auto"/>
              </w:rPr>
              <w:t>Joseph F. Nassab</w:t>
            </w:r>
          </w:p>
        </w:tc>
        <w:tc>
          <w:tcPr>
            <w:tcW w:w="520" w:type="dxa"/>
            <w:vAlign w:val="bottom"/>
          </w:tcPr>
          <w:p>
            <w:pPr>
              <w:ind w:left="120"/>
              <w:spacing w:after="0"/>
              <w:rPr>
                <w:sz w:val="20"/>
                <w:szCs w:val="20"/>
                <w:color w:val="auto"/>
              </w:rPr>
            </w:pPr>
            <w:r>
              <w:rPr>
                <w:rFonts w:ascii="Arial" w:cs="Arial" w:eastAsia="Arial" w:hAnsi="Arial"/>
                <w:sz w:val="13"/>
                <w:szCs w:val="13"/>
                <w:color w:val="auto"/>
              </w:rPr>
              <w:t>2025</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592,500</w:t>
            </w: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5"/>
              <w:spacing w:after="0"/>
              <w:rPr>
                <w:sz w:val="20"/>
                <w:szCs w:val="20"/>
                <w:color w:val="auto"/>
              </w:rPr>
            </w:pPr>
            <w:r>
              <w:rPr>
                <w:rFonts w:ascii="Arial" w:cs="Arial" w:eastAsia="Arial" w:hAnsi="Arial"/>
                <w:sz w:val="13"/>
                <w:szCs w:val="13"/>
                <w:color w:val="auto"/>
              </w:rPr>
              <w:t>900,211</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229,976</w:t>
            </w:r>
          </w:p>
        </w:tc>
        <w:tc>
          <w:tcPr>
            <w:tcW w:w="1440" w:type="dxa"/>
            <w:vAlign w:val="bottom"/>
          </w:tcPr>
          <w:p>
            <w:pPr>
              <w:jc w:val="right"/>
              <w:ind w:right="215"/>
              <w:spacing w:after="0"/>
              <w:rPr>
                <w:sz w:val="20"/>
                <w:szCs w:val="20"/>
                <w:color w:val="auto"/>
              </w:rPr>
            </w:pPr>
            <w:r>
              <w:rPr>
                <w:rFonts w:ascii="Arial" w:cs="Arial" w:eastAsia="Arial" w:hAnsi="Arial"/>
                <w:sz w:val="13"/>
                <w:szCs w:val="13"/>
                <w:color w:val="auto"/>
              </w:rPr>
              <w:t>396,071</w:t>
            </w:r>
          </w:p>
        </w:tc>
        <w:tc>
          <w:tcPr>
            <w:tcW w:w="14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5"/>
              <w:spacing w:after="0"/>
              <w:rPr>
                <w:sz w:val="20"/>
                <w:szCs w:val="20"/>
                <w:color w:val="auto"/>
              </w:rPr>
            </w:pPr>
            <w:r>
              <w:rPr>
                <w:rFonts w:ascii="Arial" w:cs="Arial" w:eastAsia="Arial" w:hAnsi="Arial"/>
                <w:sz w:val="13"/>
                <w:szCs w:val="13"/>
                <w:color w:val="auto"/>
              </w:rPr>
              <w:t>118,679</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2,237,437</w:t>
            </w:r>
          </w:p>
        </w:tc>
        <w:tc>
          <w:tcPr>
            <w:tcW w:w="0" w:type="dxa"/>
            <w:vAlign w:val="bottom"/>
          </w:tcPr>
          <w:p>
            <w:pPr>
              <w:spacing w:after="0"/>
              <w:rPr>
                <w:sz w:val="1"/>
                <w:szCs w:val="1"/>
                <w:color w:val="auto"/>
              </w:rPr>
            </w:pPr>
          </w:p>
        </w:tc>
      </w:tr>
      <w:tr>
        <w:trPr>
          <w:trHeight w:val="199"/>
        </w:trPr>
        <w:tc>
          <w:tcPr>
            <w:tcW w:w="2020" w:type="dxa"/>
            <w:vAlign w:val="bottom"/>
          </w:tcPr>
          <w:p>
            <w:pPr>
              <w:ind w:left="100"/>
              <w:spacing w:after="0"/>
              <w:rPr>
                <w:sz w:val="20"/>
                <w:szCs w:val="20"/>
                <w:color w:val="auto"/>
              </w:rPr>
            </w:pPr>
            <w:r>
              <w:rPr>
                <w:rFonts w:ascii="Arial" w:cs="Arial" w:eastAsia="Arial" w:hAnsi="Arial"/>
                <w:sz w:val="13"/>
                <w:szCs w:val="13"/>
                <w:color w:val="auto"/>
              </w:rPr>
              <w:t>Executive Vice President and</w:t>
            </w:r>
          </w:p>
        </w:tc>
        <w:tc>
          <w:tcPr>
            <w:tcW w:w="520" w:type="dxa"/>
            <w:vAlign w:val="bottom"/>
          </w:tcPr>
          <w:p>
            <w:pPr>
              <w:ind w:left="120"/>
              <w:spacing w:after="0"/>
              <w:rPr>
                <w:sz w:val="20"/>
                <w:szCs w:val="20"/>
                <w:color w:val="auto"/>
              </w:rPr>
            </w:pPr>
            <w:r>
              <w:rPr>
                <w:rFonts w:ascii="Arial" w:cs="Arial" w:eastAsia="Arial" w:hAnsi="Arial"/>
                <w:sz w:val="13"/>
                <w:szCs w:val="13"/>
                <w:color w:val="auto"/>
              </w:rPr>
              <w:t>2024</w:t>
            </w:r>
          </w:p>
        </w:tc>
        <w:tc>
          <w:tcPr>
            <w:tcW w:w="960" w:type="dxa"/>
            <w:vAlign w:val="bottom"/>
          </w:tcPr>
          <w:p>
            <w:pPr>
              <w:jc w:val="right"/>
              <w:ind w:right="156"/>
              <w:spacing w:after="0"/>
              <w:rPr>
                <w:sz w:val="20"/>
                <w:szCs w:val="20"/>
                <w:color w:val="auto"/>
              </w:rPr>
            </w:pPr>
            <w:r>
              <w:rPr>
                <w:rFonts w:ascii="Arial" w:cs="Arial" w:eastAsia="Arial" w:hAnsi="Arial"/>
                <w:sz w:val="13"/>
                <w:szCs w:val="13"/>
                <w:color w:val="auto"/>
              </w:rPr>
              <w:t>561,250</w:t>
            </w:r>
          </w:p>
        </w:tc>
        <w:tc>
          <w:tcPr>
            <w:tcW w:w="80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15"/>
              <w:spacing w:after="0"/>
              <w:rPr>
                <w:sz w:val="20"/>
                <w:szCs w:val="20"/>
                <w:color w:val="auto"/>
              </w:rPr>
            </w:pPr>
            <w:r>
              <w:rPr>
                <w:rFonts w:ascii="Arial" w:cs="Arial" w:eastAsia="Arial" w:hAnsi="Arial"/>
                <w:sz w:val="13"/>
                <w:szCs w:val="13"/>
                <w:color w:val="auto"/>
              </w:rPr>
              <w:t>932,830</w:t>
            </w:r>
          </w:p>
        </w:tc>
        <w:tc>
          <w:tcPr>
            <w:tcW w:w="940" w:type="dxa"/>
            <w:vAlign w:val="bottom"/>
          </w:tcPr>
          <w:p>
            <w:pPr>
              <w:jc w:val="right"/>
              <w:ind w:right="195"/>
              <w:spacing w:after="0"/>
              <w:rPr>
                <w:sz w:val="20"/>
                <w:szCs w:val="20"/>
                <w:color w:val="auto"/>
              </w:rPr>
            </w:pPr>
            <w:r>
              <w:rPr>
                <w:rFonts w:ascii="Arial" w:cs="Arial" w:eastAsia="Arial" w:hAnsi="Arial"/>
                <w:sz w:val="13"/>
                <w:szCs w:val="13"/>
                <w:color w:val="auto"/>
              </w:rPr>
              <w:t>236,931</w:t>
            </w:r>
          </w:p>
        </w:tc>
        <w:tc>
          <w:tcPr>
            <w:tcW w:w="1440" w:type="dxa"/>
            <w:vAlign w:val="bottom"/>
          </w:tcPr>
          <w:p>
            <w:pPr>
              <w:jc w:val="right"/>
              <w:ind w:right="215"/>
              <w:spacing w:after="0"/>
              <w:rPr>
                <w:sz w:val="20"/>
                <w:szCs w:val="20"/>
                <w:color w:val="auto"/>
              </w:rPr>
            </w:pPr>
            <w:r>
              <w:rPr>
                <w:rFonts w:ascii="Arial" w:cs="Arial" w:eastAsia="Arial" w:hAnsi="Arial"/>
                <w:sz w:val="13"/>
                <w:szCs w:val="13"/>
                <w:color w:val="auto"/>
              </w:rPr>
              <w:t>855,766</w:t>
            </w:r>
          </w:p>
        </w:tc>
        <w:tc>
          <w:tcPr>
            <w:tcW w:w="14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135"/>
              <w:spacing w:after="0"/>
              <w:rPr>
                <w:sz w:val="20"/>
                <w:szCs w:val="20"/>
                <w:color w:val="auto"/>
              </w:rPr>
            </w:pPr>
            <w:r>
              <w:rPr>
                <w:rFonts w:ascii="Arial" w:cs="Arial" w:eastAsia="Arial" w:hAnsi="Arial"/>
                <w:sz w:val="13"/>
                <w:szCs w:val="13"/>
                <w:color w:val="auto"/>
              </w:rPr>
              <w:t>116,191</w:t>
            </w:r>
          </w:p>
        </w:tc>
        <w:tc>
          <w:tcPr>
            <w:tcW w:w="900" w:type="dxa"/>
            <w:vAlign w:val="bottom"/>
          </w:tcPr>
          <w:p>
            <w:pPr>
              <w:jc w:val="right"/>
              <w:ind w:right="136"/>
              <w:spacing w:after="0"/>
              <w:rPr>
                <w:sz w:val="20"/>
                <w:szCs w:val="20"/>
                <w:color w:val="auto"/>
              </w:rPr>
            </w:pPr>
            <w:r>
              <w:rPr>
                <w:rFonts w:ascii="Arial" w:cs="Arial" w:eastAsia="Arial" w:hAnsi="Arial"/>
                <w:sz w:val="13"/>
                <w:szCs w:val="13"/>
                <w:color w:val="auto"/>
              </w:rPr>
              <w:t>2,702,968</w:t>
            </w:r>
          </w:p>
        </w:tc>
        <w:tc>
          <w:tcPr>
            <w:tcW w:w="0" w:type="dxa"/>
            <w:vAlign w:val="bottom"/>
          </w:tcPr>
          <w:p>
            <w:pPr>
              <w:spacing w:after="0"/>
              <w:rPr>
                <w:sz w:val="1"/>
                <w:szCs w:val="1"/>
                <w:color w:val="auto"/>
              </w:rPr>
            </w:pPr>
          </w:p>
        </w:tc>
      </w:tr>
      <w:tr>
        <w:trPr>
          <w:trHeight w:val="148"/>
        </w:trPr>
        <w:tc>
          <w:tcPr>
            <w:tcW w:w="2020" w:type="dxa"/>
            <w:vAlign w:val="bottom"/>
          </w:tcPr>
          <w:p>
            <w:pPr>
              <w:ind w:left="100"/>
              <w:spacing w:after="0"/>
              <w:rPr>
                <w:sz w:val="20"/>
                <w:szCs w:val="20"/>
                <w:color w:val="auto"/>
              </w:rPr>
            </w:pPr>
            <w:r>
              <w:rPr>
                <w:rFonts w:ascii="Arial" w:cs="Arial" w:eastAsia="Arial" w:hAnsi="Arial"/>
                <w:sz w:val="13"/>
                <w:szCs w:val="13"/>
                <w:color w:val="auto"/>
              </w:rPr>
              <w:t>President, Building Climate</w:t>
            </w:r>
          </w:p>
        </w:tc>
        <w:tc>
          <w:tcPr>
            <w:tcW w:w="520" w:type="dxa"/>
            <w:vAlign w:val="bottom"/>
            <w:vMerge w:val="restart"/>
          </w:tcPr>
          <w:p>
            <w:pPr>
              <w:ind w:left="120"/>
              <w:spacing w:after="0"/>
              <w:rPr>
                <w:sz w:val="20"/>
                <w:szCs w:val="20"/>
                <w:color w:val="auto"/>
              </w:rPr>
            </w:pPr>
            <w:r>
              <w:rPr>
                <w:rFonts w:ascii="Arial" w:cs="Arial" w:eastAsia="Arial" w:hAnsi="Arial"/>
                <w:sz w:val="13"/>
                <w:szCs w:val="13"/>
                <w:color w:val="auto"/>
              </w:rPr>
              <w:t>2023</w:t>
            </w:r>
          </w:p>
        </w:tc>
        <w:tc>
          <w:tcPr>
            <w:tcW w:w="960" w:type="dxa"/>
            <w:vAlign w:val="bottom"/>
            <w:vMerge w:val="restart"/>
          </w:tcPr>
          <w:p>
            <w:pPr>
              <w:jc w:val="right"/>
              <w:ind w:right="156"/>
              <w:spacing w:after="0"/>
              <w:rPr>
                <w:sz w:val="20"/>
                <w:szCs w:val="20"/>
                <w:color w:val="auto"/>
              </w:rPr>
            </w:pPr>
            <w:r>
              <w:rPr>
                <w:rFonts w:ascii="Arial" w:cs="Arial" w:eastAsia="Arial" w:hAnsi="Arial"/>
                <w:sz w:val="13"/>
                <w:szCs w:val="13"/>
                <w:color w:val="auto"/>
              </w:rPr>
              <w:t>531,250</w:t>
            </w:r>
          </w:p>
        </w:tc>
        <w:tc>
          <w:tcPr>
            <w:tcW w:w="800" w:type="dxa"/>
            <w:vAlign w:val="bottom"/>
            <w:vMerge w:val="restart"/>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vMerge w:val="restart"/>
          </w:tcPr>
          <w:p>
            <w:pPr>
              <w:jc w:val="right"/>
              <w:ind w:right="195"/>
              <w:spacing w:after="0"/>
              <w:rPr>
                <w:sz w:val="20"/>
                <w:szCs w:val="20"/>
                <w:color w:val="auto"/>
              </w:rPr>
            </w:pPr>
            <w:r>
              <w:rPr>
                <w:rFonts w:ascii="Arial" w:cs="Arial" w:eastAsia="Arial" w:hAnsi="Arial"/>
                <w:sz w:val="13"/>
                <w:szCs w:val="13"/>
                <w:color w:val="auto"/>
              </w:rPr>
              <w:t>—</w:t>
            </w:r>
          </w:p>
        </w:tc>
        <w:tc>
          <w:tcPr>
            <w:tcW w:w="1440" w:type="dxa"/>
            <w:vAlign w:val="bottom"/>
            <w:vMerge w:val="restart"/>
          </w:tcPr>
          <w:p>
            <w:pPr>
              <w:jc w:val="right"/>
              <w:ind w:right="215"/>
              <w:spacing w:after="0"/>
              <w:rPr>
                <w:sz w:val="20"/>
                <w:szCs w:val="20"/>
                <w:color w:val="auto"/>
              </w:rPr>
            </w:pPr>
            <w:r>
              <w:rPr>
                <w:rFonts w:ascii="Arial" w:cs="Arial" w:eastAsia="Arial" w:hAnsi="Arial"/>
                <w:sz w:val="13"/>
                <w:szCs w:val="13"/>
                <w:color w:val="auto"/>
              </w:rPr>
              <w:t>873,893</w:t>
            </w:r>
          </w:p>
        </w:tc>
        <w:tc>
          <w:tcPr>
            <w:tcW w:w="144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1360" w:type="dxa"/>
            <w:vAlign w:val="bottom"/>
            <w:vMerge w:val="restart"/>
          </w:tcPr>
          <w:p>
            <w:pPr>
              <w:jc w:val="right"/>
              <w:ind w:right="135"/>
              <w:spacing w:after="0"/>
              <w:rPr>
                <w:sz w:val="20"/>
                <w:szCs w:val="20"/>
                <w:color w:val="auto"/>
              </w:rPr>
            </w:pPr>
            <w:r>
              <w:rPr>
                <w:rFonts w:ascii="Arial" w:cs="Arial" w:eastAsia="Arial" w:hAnsi="Arial"/>
                <w:sz w:val="13"/>
                <w:szCs w:val="13"/>
                <w:color w:val="auto"/>
              </w:rPr>
              <w:t>184,994</w:t>
            </w:r>
          </w:p>
        </w:tc>
        <w:tc>
          <w:tcPr>
            <w:tcW w:w="900" w:type="dxa"/>
            <w:vAlign w:val="bottom"/>
            <w:vMerge w:val="restart"/>
          </w:tcPr>
          <w:p>
            <w:pPr>
              <w:jc w:val="right"/>
              <w:ind w:right="136"/>
              <w:spacing w:after="0"/>
              <w:rPr>
                <w:sz w:val="20"/>
                <w:szCs w:val="20"/>
                <w:color w:val="auto"/>
              </w:rPr>
            </w:pPr>
            <w:r>
              <w:rPr>
                <w:rFonts w:ascii="Arial" w:cs="Arial" w:eastAsia="Arial" w:hAnsi="Arial"/>
                <w:sz w:val="13"/>
                <w:szCs w:val="13"/>
                <w:color w:val="auto"/>
              </w:rPr>
              <w:t>1,590,137</w:t>
            </w:r>
          </w:p>
        </w:tc>
        <w:tc>
          <w:tcPr>
            <w:tcW w:w="0" w:type="dxa"/>
            <w:vAlign w:val="bottom"/>
          </w:tcPr>
          <w:p>
            <w:pPr>
              <w:spacing w:after="0"/>
              <w:rPr>
                <w:sz w:val="1"/>
                <w:szCs w:val="1"/>
                <w:color w:val="auto"/>
              </w:rPr>
            </w:pPr>
          </w:p>
        </w:tc>
      </w:tr>
      <w:tr>
        <w:trPr>
          <w:trHeight w:val="166"/>
        </w:trPr>
        <w:tc>
          <w:tcPr>
            <w:tcW w:w="2020" w:type="dxa"/>
            <w:vAlign w:val="bottom"/>
          </w:tcPr>
          <w:p>
            <w:pPr>
              <w:ind w:left="100"/>
              <w:spacing w:after="0"/>
              <w:rPr>
                <w:sz w:val="20"/>
                <w:szCs w:val="20"/>
                <w:color w:val="auto"/>
              </w:rPr>
            </w:pPr>
            <w:r>
              <w:rPr>
                <w:rFonts w:ascii="Arial" w:cs="Arial" w:eastAsia="Arial" w:hAnsi="Arial"/>
                <w:sz w:val="13"/>
                <w:szCs w:val="13"/>
                <w:color w:val="auto"/>
              </w:rPr>
              <w:t>Solutions</w:t>
            </w:r>
          </w:p>
        </w:tc>
        <w:tc>
          <w:tcPr>
            <w:tcW w:w="5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Daniel M. Sessa</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2025</w:t>
            </w:r>
          </w:p>
        </w:tc>
        <w:tc>
          <w:tcPr>
            <w:tcW w:w="960" w:type="dxa"/>
            <w:vAlign w:val="bottom"/>
            <w:shd w:val="clear" w:color="auto" w:fill="F1F2F2"/>
          </w:tcPr>
          <w:p>
            <w:pPr>
              <w:jc w:val="right"/>
              <w:ind w:right="156"/>
              <w:spacing w:after="0"/>
              <w:rPr>
                <w:sz w:val="20"/>
                <w:szCs w:val="20"/>
                <w:color w:val="auto"/>
              </w:rPr>
            </w:pPr>
            <w:r>
              <w:rPr>
                <w:rFonts w:ascii="Arial" w:cs="Arial" w:eastAsia="Arial" w:hAnsi="Arial"/>
                <w:sz w:val="13"/>
                <w:szCs w:val="13"/>
                <w:color w:val="auto"/>
              </w:rPr>
              <w:t>608,750</w:t>
            </w:r>
          </w:p>
        </w:tc>
        <w:tc>
          <w:tcPr>
            <w:tcW w:w="80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ind w:right="115"/>
              <w:spacing w:after="0"/>
              <w:rPr>
                <w:sz w:val="20"/>
                <w:szCs w:val="20"/>
                <w:color w:val="auto"/>
              </w:rPr>
            </w:pPr>
            <w:r>
              <w:rPr>
                <w:rFonts w:ascii="Arial" w:cs="Arial" w:eastAsia="Arial" w:hAnsi="Arial"/>
                <w:sz w:val="13"/>
                <w:szCs w:val="13"/>
                <w:color w:val="auto"/>
              </w:rPr>
              <w:t>865,458</w:t>
            </w:r>
          </w:p>
        </w:tc>
        <w:tc>
          <w:tcPr>
            <w:tcW w:w="940" w:type="dxa"/>
            <w:vAlign w:val="bottom"/>
            <w:shd w:val="clear" w:color="auto" w:fill="F1F2F2"/>
          </w:tcPr>
          <w:p>
            <w:pPr>
              <w:jc w:val="right"/>
              <w:ind w:right="195"/>
              <w:spacing w:after="0"/>
              <w:rPr>
                <w:sz w:val="20"/>
                <w:szCs w:val="20"/>
                <w:color w:val="auto"/>
              </w:rPr>
            </w:pPr>
            <w:r>
              <w:rPr>
                <w:rFonts w:ascii="Arial" w:cs="Arial" w:eastAsia="Arial" w:hAnsi="Arial"/>
                <w:sz w:val="13"/>
                <w:szCs w:val="13"/>
                <w:color w:val="auto"/>
              </w:rPr>
              <w:t>221,094</w:t>
            </w:r>
          </w:p>
        </w:tc>
        <w:tc>
          <w:tcPr>
            <w:tcW w:w="1440" w:type="dxa"/>
            <w:vAlign w:val="bottom"/>
            <w:shd w:val="clear" w:color="auto" w:fill="F1F2F2"/>
          </w:tcPr>
          <w:p>
            <w:pPr>
              <w:jc w:val="right"/>
              <w:ind w:right="215"/>
              <w:spacing w:after="0"/>
              <w:rPr>
                <w:sz w:val="20"/>
                <w:szCs w:val="20"/>
                <w:color w:val="auto"/>
              </w:rPr>
            </w:pPr>
            <w:r>
              <w:rPr>
                <w:rFonts w:ascii="Arial" w:cs="Arial" w:eastAsia="Arial" w:hAnsi="Arial"/>
                <w:sz w:val="13"/>
                <w:szCs w:val="13"/>
                <w:color w:val="auto"/>
              </w:rPr>
              <w:t>412,869</w:t>
            </w:r>
          </w:p>
        </w:tc>
        <w:tc>
          <w:tcPr>
            <w:tcW w:w="1440" w:type="dxa"/>
            <w:vAlign w:val="bottom"/>
            <w:shd w:val="clear" w:color="auto" w:fill="F1F2F2"/>
          </w:tcPr>
          <w:p>
            <w:pPr>
              <w:jc w:val="right"/>
              <w:ind w:right="173"/>
              <w:spacing w:after="0"/>
              <w:rPr>
                <w:sz w:val="20"/>
                <w:szCs w:val="20"/>
                <w:color w:val="auto"/>
              </w:rPr>
            </w:pPr>
            <w:r>
              <w:rPr>
                <w:rFonts w:ascii="Arial" w:cs="Arial" w:eastAsia="Arial" w:hAnsi="Arial"/>
                <w:sz w:val="13"/>
                <w:szCs w:val="13"/>
                <w:color w:val="auto"/>
              </w:rPr>
              <w:t>1,480,469</w:t>
            </w:r>
          </w:p>
        </w:tc>
        <w:tc>
          <w:tcPr>
            <w:tcW w:w="1360" w:type="dxa"/>
            <w:vAlign w:val="bottom"/>
            <w:shd w:val="clear" w:color="auto" w:fill="F1F2F2"/>
          </w:tcPr>
          <w:p>
            <w:pPr>
              <w:jc w:val="right"/>
              <w:ind w:right="135"/>
              <w:spacing w:after="0"/>
              <w:rPr>
                <w:sz w:val="20"/>
                <w:szCs w:val="20"/>
                <w:color w:val="auto"/>
              </w:rPr>
            </w:pPr>
            <w:r>
              <w:rPr>
                <w:rFonts w:ascii="Arial" w:cs="Arial" w:eastAsia="Arial" w:hAnsi="Arial"/>
                <w:sz w:val="13"/>
                <w:szCs w:val="13"/>
                <w:color w:val="auto"/>
              </w:rPr>
              <w:t>51,023</w:t>
            </w:r>
          </w:p>
        </w:tc>
        <w:tc>
          <w:tcPr>
            <w:tcW w:w="90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3,639,663</w:t>
            </w:r>
          </w:p>
        </w:tc>
        <w:tc>
          <w:tcPr>
            <w:tcW w:w="0" w:type="dxa"/>
            <w:vAlign w:val="bottom"/>
          </w:tcPr>
          <w:p>
            <w:pPr>
              <w:spacing w:after="0"/>
              <w:rPr>
                <w:sz w:val="1"/>
                <w:szCs w:val="1"/>
                <w:color w:val="auto"/>
              </w:rPr>
            </w:pPr>
          </w:p>
        </w:tc>
      </w:tr>
      <w:tr>
        <w:trPr>
          <w:trHeight w:val="230"/>
        </w:trPr>
        <w:tc>
          <w:tcPr>
            <w:tcW w:w="2020" w:type="dxa"/>
            <w:vAlign w:val="bottom"/>
            <w:vMerge w:val="restart"/>
            <w:shd w:val="clear" w:color="auto" w:fill="F1F2F2"/>
          </w:tcPr>
          <w:p>
            <w:pPr>
              <w:ind w:left="100"/>
              <w:spacing w:after="0"/>
              <w:rPr>
                <w:sz w:val="20"/>
                <w:szCs w:val="20"/>
                <w:color w:val="auto"/>
              </w:rPr>
            </w:pPr>
            <w:r>
              <w:rPr>
                <w:rFonts w:ascii="Arial" w:cs="Arial" w:eastAsia="Arial" w:hAnsi="Arial"/>
                <w:sz w:val="13"/>
                <w:szCs w:val="13"/>
                <w:color w:val="auto"/>
              </w:rPr>
              <w:t>Executive Vice President, Chief</w:t>
            </w:r>
          </w:p>
        </w:tc>
        <w:tc>
          <w:tcPr>
            <w:tcW w:w="520" w:type="dxa"/>
            <w:vAlign w:val="bottom"/>
            <w:shd w:val="clear" w:color="auto" w:fill="F1F2F2"/>
          </w:tcPr>
          <w:p>
            <w:pPr>
              <w:ind w:left="120"/>
              <w:spacing w:after="0"/>
              <w:rPr>
                <w:sz w:val="20"/>
                <w:szCs w:val="20"/>
                <w:color w:val="auto"/>
              </w:rPr>
            </w:pPr>
            <w:r>
              <w:rPr>
                <w:rFonts w:ascii="Arial" w:cs="Arial" w:eastAsia="Arial" w:hAnsi="Arial"/>
                <w:sz w:val="13"/>
                <w:szCs w:val="13"/>
                <w:color w:val="auto"/>
              </w:rPr>
              <w:t>2024</w:t>
            </w:r>
          </w:p>
        </w:tc>
        <w:tc>
          <w:tcPr>
            <w:tcW w:w="960" w:type="dxa"/>
            <w:vAlign w:val="bottom"/>
            <w:shd w:val="clear" w:color="auto" w:fill="F1F2F2"/>
          </w:tcPr>
          <w:p>
            <w:pPr>
              <w:jc w:val="right"/>
              <w:ind w:right="156"/>
              <w:spacing w:after="0"/>
              <w:rPr>
                <w:sz w:val="20"/>
                <w:szCs w:val="20"/>
                <w:color w:val="auto"/>
              </w:rPr>
            </w:pPr>
            <w:r>
              <w:rPr>
                <w:rFonts w:ascii="Arial" w:cs="Arial" w:eastAsia="Arial" w:hAnsi="Arial"/>
                <w:sz w:val="13"/>
                <w:szCs w:val="13"/>
                <w:color w:val="auto"/>
              </w:rPr>
              <w:t>585,000</w:t>
            </w:r>
          </w:p>
        </w:tc>
        <w:tc>
          <w:tcPr>
            <w:tcW w:w="800" w:type="dxa"/>
            <w:vAlign w:val="bottom"/>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shd w:val="clear" w:color="auto" w:fill="F1F2F2"/>
          </w:tcPr>
          <w:p>
            <w:pPr>
              <w:jc w:val="right"/>
              <w:ind w:right="115"/>
              <w:spacing w:after="0"/>
              <w:rPr>
                <w:sz w:val="20"/>
                <w:szCs w:val="20"/>
                <w:color w:val="auto"/>
              </w:rPr>
            </w:pPr>
            <w:r>
              <w:rPr>
                <w:rFonts w:ascii="Arial" w:cs="Arial" w:eastAsia="Arial" w:hAnsi="Arial"/>
                <w:sz w:val="13"/>
                <w:szCs w:val="13"/>
                <w:color w:val="auto"/>
              </w:rPr>
              <w:t>932,830</w:t>
            </w:r>
          </w:p>
        </w:tc>
        <w:tc>
          <w:tcPr>
            <w:tcW w:w="940" w:type="dxa"/>
            <w:vAlign w:val="bottom"/>
            <w:shd w:val="clear" w:color="auto" w:fill="F1F2F2"/>
          </w:tcPr>
          <w:p>
            <w:pPr>
              <w:jc w:val="right"/>
              <w:ind w:right="195"/>
              <w:spacing w:after="0"/>
              <w:rPr>
                <w:sz w:val="20"/>
                <w:szCs w:val="20"/>
                <w:color w:val="auto"/>
              </w:rPr>
            </w:pPr>
            <w:r>
              <w:rPr>
                <w:rFonts w:ascii="Arial" w:cs="Arial" w:eastAsia="Arial" w:hAnsi="Arial"/>
                <w:sz w:val="13"/>
                <w:szCs w:val="13"/>
                <w:color w:val="auto"/>
              </w:rPr>
              <w:t>236,931</w:t>
            </w:r>
          </w:p>
        </w:tc>
        <w:tc>
          <w:tcPr>
            <w:tcW w:w="1440" w:type="dxa"/>
            <w:vAlign w:val="bottom"/>
            <w:shd w:val="clear" w:color="auto" w:fill="F1F2F2"/>
          </w:tcPr>
          <w:p>
            <w:pPr>
              <w:jc w:val="right"/>
              <w:ind w:right="215"/>
              <w:spacing w:after="0"/>
              <w:rPr>
                <w:sz w:val="20"/>
                <w:szCs w:val="20"/>
                <w:color w:val="auto"/>
              </w:rPr>
            </w:pPr>
            <w:r>
              <w:rPr>
                <w:rFonts w:ascii="Arial" w:cs="Arial" w:eastAsia="Arial" w:hAnsi="Arial"/>
                <w:sz w:val="13"/>
                <w:szCs w:val="13"/>
                <w:color w:val="auto"/>
              </w:rPr>
              <w:t>953,053</w:t>
            </w:r>
          </w:p>
        </w:tc>
        <w:tc>
          <w:tcPr>
            <w:tcW w:w="1440" w:type="dxa"/>
            <w:vAlign w:val="bottom"/>
            <w:shd w:val="clear" w:color="auto" w:fill="F1F2F2"/>
          </w:tcPr>
          <w:p>
            <w:pPr>
              <w:jc w:val="right"/>
              <w:ind w:right="173"/>
              <w:spacing w:after="0"/>
              <w:rPr>
                <w:sz w:val="20"/>
                <w:szCs w:val="20"/>
                <w:color w:val="auto"/>
              </w:rPr>
            </w:pPr>
            <w:r>
              <w:rPr>
                <w:rFonts w:ascii="Arial" w:cs="Arial" w:eastAsia="Arial" w:hAnsi="Arial"/>
                <w:sz w:val="13"/>
                <w:szCs w:val="13"/>
                <w:color w:val="auto"/>
              </w:rPr>
              <w:t>867,150</w:t>
            </w:r>
          </w:p>
        </w:tc>
        <w:tc>
          <w:tcPr>
            <w:tcW w:w="1360" w:type="dxa"/>
            <w:vAlign w:val="bottom"/>
            <w:shd w:val="clear" w:color="auto" w:fill="F1F2F2"/>
          </w:tcPr>
          <w:p>
            <w:pPr>
              <w:jc w:val="right"/>
              <w:ind w:right="135"/>
              <w:spacing w:after="0"/>
              <w:rPr>
                <w:sz w:val="20"/>
                <w:szCs w:val="20"/>
                <w:color w:val="auto"/>
              </w:rPr>
            </w:pPr>
            <w:r>
              <w:rPr>
                <w:rFonts w:ascii="Arial" w:cs="Arial" w:eastAsia="Arial" w:hAnsi="Arial"/>
                <w:sz w:val="13"/>
                <w:szCs w:val="13"/>
                <w:color w:val="auto"/>
              </w:rPr>
              <w:t>50,768</w:t>
            </w:r>
          </w:p>
        </w:tc>
        <w:tc>
          <w:tcPr>
            <w:tcW w:w="900" w:type="dxa"/>
            <w:vAlign w:val="bottom"/>
            <w:shd w:val="clear" w:color="auto" w:fill="F1F2F2"/>
          </w:tcPr>
          <w:p>
            <w:pPr>
              <w:jc w:val="right"/>
              <w:ind w:right="136"/>
              <w:spacing w:after="0"/>
              <w:rPr>
                <w:sz w:val="20"/>
                <w:szCs w:val="20"/>
                <w:color w:val="auto"/>
              </w:rPr>
            </w:pPr>
            <w:r>
              <w:rPr>
                <w:rFonts w:ascii="Arial" w:cs="Arial" w:eastAsia="Arial" w:hAnsi="Arial"/>
                <w:sz w:val="13"/>
                <w:szCs w:val="13"/>
                <w:color w:val="auto"/>
              </w:rPr>
              <w:t>3,625,732</w:t>
            </w:r>
          </w:p>
        </w:tc>
        <w:tc>
          <w:tcPr>
            <w:tcW w:w="0" w:type="dxa"/>
            <w:vAlign w:val="bottom"/>
          </w:tcPr>
          <w:p>
            <w:pPr>
              <w:spacing w:after="0"/>
              <w:rPr>
                <w:sz w:val="1"/>
                <w:szCs w:val="1"/>
                <w:color w:val="auto"/>
              </w:rPr>
            </w:pPr>
          </w:p>
        </w:tc>
      </w:tr>
      <w:tr>
        <w:trPr>
          <w:trHeight w:val="50"/>
        </w:trPr>
        <w:tc>
          <w:tcPr>
            <w:tcW w:w="2020" w:type="dxa"/>
            <w:vAlign w:val="bottom"/>
            <w:vMerge w:val="continue"/>
            <w:shd w:val="clear" w:color="auto" w:fill="F1F2F2"/>
          </w:tcPr>
          <w:p>
            <w:pPr>
              <w:spacing w:after="0"/>
              <w:rPr>
                <w:sz w:val="4"/>
                <w:szCs w:val="4"/>
                <w:color w:val="auto"/>
              </w:rPr>
            </w:pPr>
          </w:p>
        </w:tc>
        <w:tc>
          <w:tcPr>
            <w:tcW w:w="520" w:type="dxa"/>
            <w:vAlign w:val="bottom"/>
            <w:shd w:val="clear" w:color="auto" w:fill="F1F2F2"/>
          </w:tcPr>
          <w:p>
            <w:pPr>
              <w:spacing w:after="0"/>
              <w:rPr>
                <w:sz w:val="4"/>
                <w:szCs w:val="4"/>
                <w:color w:val="auto"/>
              </w:rPr>
            </w:pPr>
          </w:p>
        </w:tc>
        <w:tc>
          <w:tcPr>
            <w:tcW w:w="960" w:type="dxa"/>
            <w:vAlign w:val="bottom"/>
            <w:shd w:val="clear" w:color="auto" w:fill="F1F2F2"/>
          </w:tcPr>
          <w:p>
            <w:pPr>
              <w:spacing w:after="0"/>
              <w:rPr>
                <w:sz w:val="4"/>
                <w:szCs w:val="4"/>
                <w:color w:val="auto"/>
              </w:rPr>
            </w:pPr>
          </w:p>
        </w:tc>
        <w:tc>
          <w:tcPr>
            <w:tcW w:w="800" w:type="dxa"/>
            <w:vAlign w:val="bottom"/>
            <w:shd w:val="clear" w:color="auto" w:fill="F1F2F2"/>
          </w:tcPr>
          <w:p>
            <w:pPr>
              <w:spacing w:after="0"/>
              <w:rPr>
                <w:sz w:val="4"/>
                <w:szCs w:val="4"/>
                <w:color w:val="auto"/>
              </w:rPr>
            </w:pPr>
          </w:p>
        </w:tc>
        <w:tc>
          <w:tcPr>
            <w:tcW w:w="860" w:type="dxa"/>
            <w:vAlign w:val="bottom"/>
            <w:shd w:val="clear" w:color="auto" w:fill="F1F2F2"/>
          </w:tcPr>
          <w:p>
            <w:pPr>
              <w:spacing w:after="0"/>
              <w:rPr>
                <w:sz w:val="4"/>
                <w:szCs w:val="4"/>
                <w:color w:val="auto"/>
              </w:rPr>
            </w:pPr>
          </w:p>
        </w:tc>
        <w:tc>
          <w:tcPr>
            <w:tcW w:w="940" w:type="dxa"/>
            <w:vAlign w:val="bottom"/>
            <w:shd w:val="clear" w:color="auto" w:fill="F1F2F2"/>
          </w:tcPr>
          <w:p>
            <w:pPr>
              <w:spacing w:after="0"/>
              <w:rPr>
                <w:sz w:val="4"/>
                <w:szCs w:val="4"/>
                <w:color w:val="auto"/>
              </w:rPr>
            </w:pPr>
          </w:p>
        </w:tc>
        <w:tc>
          <w:tcPr>
            <w:tcW w:w="1440" w:type="dxa"/>
            <w:vAlign w:val="bottom"/>
            <w:shd w:val="clear" w:color="auto" w:fill="F1F2F2"/>
          </w:tcPr>
          <w:p>
            <w:pPr>
              <w:spacing w:after="0"/>
              <w:rPr>
                <w:sz w:val="4"/>
                <w:szCs w:val="4"/>
                <w:color w:val="auto"/>
              </w:rPr>
            </w:pPr>
          </w:p>
        </w:tc>
        <w:tc>
          <w:tcPr>
            <w:tcW w:w="1440" w:type="dxa"/>
            <w:vAlign w:val="bottom"/>
            <w:shd w:val="clear" w:color="auto" w:fill="F1F2F2"/>
          </w:tcPr>
          <w:p>
            <w:pPr>
              <w:spacing w:after="0"/>
              <w:rPr>
                <w:sz w:val="4"/>
                <w:szCs w:val="4"/>
                <w:color w:val="auto"/>
              </w:rPr>
            </w:pPr>
          </w:p>
        </w:tc>
        <w:tc>
          <w:tcPr>
            <w:tcW w:w="1360" w:type="dxa"/>
            <w:vAlign w:val="bottom"/>
            <w:shd w:val="clear" w:color="auto" w:fill="F1F2F2"/>
          </w:tcPr>
          <w:p>
            <w:pPr>
              <w:spacing w:after="0"/>
              <w:rPr>
                <w:sz w:val="4"/>
                <w:szCs w:val="4"/>
                <w:color w:val="auto"/>
              </w:rPr>
            </w:pPr>
          </w:p>
        </w:tc>
        <w:tc>
          <w:tcPr>
            <w:tcW w:w="900" w:type="dxa"/>
            <w:vAlign w:val="bottom"/>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Human Resources Officer</w:t>
            </w:r>
          </w:p>
        </w:tc>
        <w:tc>
          <w:tcPr>
            <w:tcW w:w="520" w:type="dxa"/>
            <w:vAlign w:val="bottom"/>
            <w:vMerge w:val="restart"/>
            <w:shd w:val="clear" w:color="auto" w:fill="F1F2F2"/>
          </w:tcPr>
          <w:p>
            <w:pPr>
              <w:ind w:left="120"/>
              <w:spacing w:after="0"/>
              <w:rPr>
                <w:sz w:val="20"/>
                <w:szCs w:val="20"/>
                <w:color w:val="auto"/>
              </w:rPr>
            </w:pPr>
            <w:r>
              <w:rPr>
                <w:rFonts w:ascii="Arial" w:cs="Arial" w:eastAsia="Arial" w:hAnsi="Arial"/>
                <w:sz w:val="13"/>
                <w:szCs w:val="13"/>
                <w:color w:val="auto"/>
              </w:rPr>
              <w:t>2023</w:t>
            </w:r>
          </w:p>
        </w:tc>
        <w:tc>
          <w:tcPr>
            <w:tcW w:w="960" w:type="dxa"/>
            <w:vAlign w:val="bottom"/>
            <w:vMerge w:val="restart"/>
            <w:shd w:val="clear" w:color="auto" w:fill="F1F2F2"/>
          </w:tcPr>
          <w:p>
            <w:pPr>
              <w:jc w:val="right"/>
              <w:ind w:right="156"/>
              <w:spacing w:after="0"/>
              <w:rPr>
                <w:sz w:val="20"/>
                <w:szCs w:val="20"/>
                <w:color w:val="auto"/>
              </w:rPr>
            </w:pPr>
            <w:r>
              <w:rPr>
                <w:rFonts w:ascii="Arial" w:cs="Arial" w:eastAsia="Arial" w:hAnsi="Arial"/>
                <w:sz w:val="13"/>
                <w:szCs w:val="13"/>
                <w:color w:val="auto"/>
              </w:rPr>
              <w:t>566,250</w:t>
            </w:r>
          </w:p>
        </w:tc>
        <w:tc>
          <w:tcPr>
            <w:tcW w:w="800" w:type="dxa"/>
            <w:vAlign w:val="bottom"/>
            <w:vMerge w:val="restart"/>
            <w:shd w:val="clear" w:color="auto" w:fill="F1F2F2"/>
          </w:tcPr>
          <w:p>
            <w:pPr>
              <w:jc w:val="right"/>
              <w:ind w:right="116"/>
              <w:spacing w:after="0"/>
              <w:rPr>
                <w:sz w:val="20"/>
                <w:szCs w:val="20"/>
                <w:color w:val="auto"/>
              </w:rPr>
            </w:pPr>
            <w:r>
              <w:rPr>
                <w:rFonts w:ascii="Arial" w:cs="Arial" w:eastAsia="Arial" w:hAnsi="Arial"/>
                <w:sz w:val="13"/>
                <w:szCs w:val="13"/>
                <w:color w:val="auto"/>
              </w:rPr>
              <w:t>—</w:t>
            </w:r>
          </w:p>
        </w:tc>
        <w:tc>
          <w:tcPr>
            <w:tcW w:w="860" w:type="dxa"/>
            <w:vAlign w:val="bottom"/>
            <w:vMerge w:val="restart"/>
            <w:shd w:val="clear" w:color="auto" w:fill="F1F2F2"/>
          </w:tcPr>
          <w:p>
            <w:pPr>
              <w:jc w:val="right"/>
              <w:ind w:right="115"/>
              <w:spacing w:after="0"/>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F1F2F2"/>
          </w:tcPr>
          <w:p>
            <w:pPr>
              <w:jc w:val="right"/>
              <w:ind w:right="195"/>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F1F2F2"/>
          </w:tcPr>
          <w:p>
            <w:pPr>
              <w:jc w:val="right"/>
              <w:ind w:right="215"/>
              <w:spacing w:after="0"/>
              <w:rPr>
                <w:sz w:val="20"/>
                <w:szCs w:val="20"/>
                <w:color w:val="auto"/>
              </w:rPr>
            </w:pPr>
            <w:r>
              <w:rPr>
                <w:rFonts w:ascii="Arial" w:cs="Arial" w:eastAsia="Arial" w:hAnsi="Arial"/>
                <w:sz w:val="13"/>
                <w:szCs w:val="13"/>
                <w:color w:val="auto"/>
              </w:rPr>
              <w:t>907,387</w:t>
            </w:r>
          </w:p>
        </w:tc>
        <w:tc>
          <w:tcPr>
            <w:tcW w:w="1440" w:type="dxa"/>
            <w:vAlign w:val="bottom"/>
            <w:vMerge w:val="restart"/>
            <w:shd w:val="clear" w:color="auto" w:fill="F1F2F2"/>
          </w:tcPr>
          <w:p>
            <w:pPr>
              <w:jc w:val="right"/>
              <w:ind w:right="173"/>
              <w:spacing w:after="0"/>
              <w:rPr>
                <w:sz w:val="20"/>
                <w:szCs w:val="20"/>
                <w:color w:val="auto"/>
              </w:rPr>
            </w:pPr>
            <w:r>
              <w:rPr>
                <w:rFonts w:ascii="Arial" w:cs="Arial" w:eastAsia="Arial" w:hAnsi="Arial"/>
                <w:sz w:val="13"/>
                <w:szCs w:val="13"/>
                <w:color w:val="auto"/>
              </w:rPr>
              <w:t>253,146</w:t>
            </w:r>
          </w:p>
        </w:tc>
        <w:tc>
          <w:tcPr>
            <w:tcW w:w="1360" w:type="dxa"/>
            <w:vAlign w:val="bottom"/>
            <w:vMerge w:val="restart"/>
            <w:shd w:val="clear" w:color="auto" w:fill="F1F2F2"/>
          </w:tcPr>
          <w:p>
            <w:pPr>
              <w:jc w:val="right"/>
              <w:ind w:right="135"/>
              <w:spacing w:after="0"/>
              <w:rPr>
                <w:sz w:val="20"/>
                <w:szCs w:val="20"/>
                <w:color w:val="auto"/>
              </w:rPr>
            </w:pPr>
            <w:r>
              <w:rPr>
                <w:rFonts w:ascii="Arial" w:cs="Arial" w:eastAsia="Arial" w:hAnsi="Arial"/>
                <w:sz w:val="13"/>
                <w:szCs w:val="13"/>
                <w:color w:val="auto"/>
              </w:rPr>
              <w:t>49,800</w:t>
            </w:r>
          </w:p>
        </w:tc>
        <w:tc>
          <w:tcPr>
            <w:tcW w:w="900" w:type="dxa"/>
            <w:vAlign w:val="bottom"/>
            <w:vMerge w:val="restart"/>
            <w:shd w:val="clear" w:color="auto" w:fill="F1F2F2"/>
          </w:tcPr>
          <w:p>
            <w:pPr>
              <w:jc w:val="right"/>
              <w:ind w:right="136"/>
              <w:spacing w:after="0"/>
              <w:rPr>
                <w:sz w:val="20"/>
                <w:szCs w:val="20"/>
                <w:color w:val="auto"/>
              </w:rPr>
            </w:pPr>
            <w:r>
              <w:rPr>
                <w:rFonts w:ascii="Arial" w:cs="Arial" w:eastAsia="Arial" w:hAnsi="Arial"/>
                <w:sz w:val="13"/>
                <w:szCs w:val="13"/>
                <w:color w:val="auto"/>
              </w:rPr>
              <w:t>1,776,583</w:t>
            </w:r>
          </w:p>
        </w:tc>
        <w:tc>
          <w:tcPr>
            <w:tcW w:w="0" w:type="dxa"/>
            <w:vAlign w:val="bottom"/>
          </w:tcPr>
          <w:p>
            <w:pPr>
              <w:spacing w:after="0"/>
              <w:rPr>
                <w:sz w:val="1"/>
                <w:szCs w:val="1"/>
                <w:color w:val="auto"/>
              </w:rPr>
            </w:pPr>
          </w:p>
        </w:tc>
      </w:tr>
      <w:tr>
        <w:trPr>
          <w:trHeight w:val="54"/>
        </w:trPr>
        <w:tc>
          <w:tcPr>
            <w:tcW w:w="2020" w:type="dxa"/>
            <w:vAlign w:val="bottom"/>
            <w:shd w:val="clear" w:color="auto" w:fill="F1F2F2"/>
          </w:tcPr>
          <w:p>
            <w:pPr>
              <w:spacing w:after="0"/>
              <w:rPr>
                <w:sz w:val="4"/>
                <w:szCs w:val="4"/>
                <w:color w:val="auto"/>
              </w:rPr>
            </w:pPr>
          </w:p>
        </w:tc>
        <w:tc>
          <w:tcPr>
            <w:tcW w:w="520" w:type="dxa"/>
            <w:vAlign w:val="bottom"/>
            <w:vMerge w:val="continue"/>
            <w:shd w:val="clear" w:color="auto" w:fill="F1F2F2"/>
          </w:tcPr>
          <w:p>
            <w:pPr>
              <w:spacing w:after="0"/>
              <w:rPr>
                <w:sz w:val="4"/>
                <w:szCs w:val="4"/>
                <w:color w:val="auto"/>
              </w:rPr>
            </w:pPr>
          </w:p>
        </w:tc>
        <w:tc>
          <w:tcPr>
            <w:tcW w:w="960" w:type="dxa"/>
            <w:vAlign w:val="bottom"/>
            <w:vMerge w:val="continue"/>
            <w:shd w:val="clear" w:color="auto" w:fill="F1F2F2"/>
          </w:tcPr>
          <w:p>
            <w:pPr>
              <w:spacing w:after="0"/>
              <w:rPr>
                <w:sz w:val="4"/>
                <w:szCs w:val="4"/>
                <w:color w:val="auto"/>
              </w:rPr>
            </w:pPr>
          </w:p>
        </w:tc>
        <w:tc>
          <w:tcPr>
            <w:tcW w:w="800" w:type="dxa"/>
            <w:vAlign w:val="bottom"/>
            <w:vMerge w:val="continue"/>
            <w:shd w:val="clear" w:color="auto" w:fill="F1F2F2"/>
          </w:tcPr>
          <w:p>
            <w:pPr>
              <w:spacing w:after="0"/>
              <w:rPr>
                <w:sz w:val="4"/>
                <w:szCs w:val="4"/>
                <w:color w:val="auto"/>
              </w:rPr>
            </w:pPr>
          </w:p>
        </w:tc>
        <w:tc>
          <w:tcPr>
            <w:tcW w:w="860" w:type="dxa"/>
            <w:vAlign w:val="bottom"/>
            <w:vMerge w:val="continue"/>
            <w:shd w:val="clear" w:color="auto" w:fill="F1F2F2"/>
          </w:tcPr>
          <w:p>
            <w:pPr>
              <w:spacing w:after="0"/>
              <w:rPr>
                <w:sz w:val="4"/>
                <w:szCs w:val="4"/>
                <w:color w:val="auto"/>
              </w:rPr>
            </w:pPr>
          </w:p>
        </w:tc>
        <w:tc>
          <w:tcPr>
            <w:tcW w:w="940" w:type="dxa"/>
            <w:vAlign w:val="bottom"/>
            <w:vMerge w:val="continue"/>
            <w:shd w:val="clear" w:color="auto" w:fill="F1F2F2"/>
          </w:tcPr>
          <w:p>
            <w:pPr>
              <w:spacing w:after="0"/>
              <w:rPr>
                <w:sz w:val="4"/>
                <w:szCs w:val="4"/>
                <w:color w:val="auto"/>
              </w:rPr>
            </w:pPr>
          </w:p>
        </w:tc>
        <w:tc>
          <w:tcPr>
            <w:tcW w:w="1440" w:type="dxa"/>
            <w:vAlign w:val="bottom"/>
            <w:vMerge w:val="continue"/>
            <w:shd w:val="clear" w:color="auto" w:fill="F1F2F2"/>
          </w:tcPr>
          <w:p>
            <w:pPr>
              <w:spacing w:after="0"/>
              <w:rPr>
                <w:sz w:val="4"/>
                <w:szCs w:val="4"/>
                <w:color w:val="auto"/>
              </w:rPr>
            </w:pPr>
          </w:p>
        </w:tc>
        <w:tc>
          <w:tcPr>
            <w:tcW w:w="1440" w:type="dxa"/>
            <w:vAlign w:val="bottom"/>
            <w:vMerge w:val="continue"/>
            <w:shd w:val="clear" w:color="auto" w:fill="F1F2F2"/>
          </w:tcPr>
          <w:p>
            <w:pPr>
              <w:spacing w:after="0"/>
              <w:rPr>
                <w:sz w:val="4"/>
                <w:szCs w:val="4"/>
                <w:color w:val="auto"/>
              </w:rPr>
            </w:pPr>
          </w:p>
        </w:tc>
        <w:tc>
          <w:tcPr>
            <w:tcW w:w="1360" w:type="dxa"/>
            <w:vAlign w:val="bottom"/>
            <w:vMerge w:val="continue"/>
            <w:shd w:val="clear" w:color="auto" w:fill="F1F2F2"/>
          </w:tcPr>
          <w:p>
            <w:pPr>
              <w:spacing w:after="0"/>
              <w:rPr>
                <w:sz w:val="4"/>
                <w:szCs w:val="4"/>
                <w:color w:val="auto"/>
              </w:rPr>
            </w:pPr>
          </w:p>
        </w:tc>
        <w:tc>
          <w:tcPr>
            <w:tcW w:w="90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20" w:type="dxa"/>
            <w:vAlign w:val="bottom"/>
            <w:shd w:val="clear" w:color="auto" w:fill="F1F2F2"/>
          </w:tcPr>
          <w:p>
            <w:pPr>
              <w:spacing w:after="0"/>
              <w:rPr>
                <w:sz w:val="5"/>
                <w:szCs w:val="5"/>
                <w:color w:val="auto"/>
              </w:rPr>
            </w:pPr>
          </w:p>
        </w:tc>
        <w:tc>
          <w:tcPr>
            <w:tcW w:w="520" w:type="dxa"/>
            <w:vAlign w:val="bottom"/>
            <w:shd w:val="clear" w:color="auto" w:fill="F1F2F2"/>
          </w:tcPr>
          <w:p>
            <w:pPr>
              <w:spacing w:after="0"/>
              <w:rPr>
                <w:sz w:val="5"/>
                <w:szCs w:val="5"/>
                <w:color w:val="auto"/>
              </w:rPr>
            </w:pPr>
          </w:p>
        </w:tc>
        <w:tc>
          <w:tcPr>
            <w:tcW w:w="960" w:type="dxa"/>
            <w:vAlign w:val="bottom"/>
            <w:shd w:val="clear" w:color="auto" w:fill="F1F2F2"/>
          </w:tcPr>
          <w:p>
            <w:pPr>
              <w:spacing w:after="0"/>
              <w:rPr>
                <w:sz w:val="5"/>
                <w:szCs w:val="5"/>
                <w:color w:val="auto"/>
              </w:rPr>
            </w:pPr>
          </w:p>
        </w:tc>
        <w:tc>
          <w:tcPr>
            <w:tcW w:w="800" w:type="dxa"/>
            <w:vAlign w:val="bottom"/>
            <w:shd w:val="clear" w:color="auto" w:fill="F1F2F2"/>
          </w:tcPr>
          <w:p>
            <w:pPr>
              <w:spacing w:after="0"/>
              <w:rPr>
                <w:sz w:val="5"/>
                <w:szCs w:val="5"/>
                <w:color w:val="auto"/>
              </w:rPr>
            </w:pPr>
          </w:p>
        </w:tc>
        <w:tc>
          <w:tcPr>
            <w:tcW w:w="860" w:type="dxa"/>
            <w:vAlign w:val="bottom"/>
            <w:shd w:val="clear" w:color="auto" w:fill="F1F2F2"/>
          </w:tcPr>
          <w:p>
            <w:pPr>
              <w:spacing w:after="0"/>
              <w:rPr>
                <w:sz w:val="5"/>
                <w:szCs w:val="5"/>
                <w:color w:val="auto"/>
              </w:rPr>
            </w:pPr>
          </w:p>
        </w:tc>
        <w:tc>
          <w:tcPr>
            <w:tcW w:w="940" w:type="dxa"/>
            <w:vAlign w:val="bottom"/>
            <w:shd w:val="clear" w:color="auto" w:fill="F1F2F2"/>
          </w:tcPr>
          <w:p>
            <w:pPr>
              <w:spacing w:after="0"/>
              <w:rPr>
                <w:sz w:val="5"/>
                <w:szCs w:val="5"/>
                <w:color w:val="auto"/>
              </w:rPr>
            </w:pPr>
          </w:p>
        </w:tc>
        <w:tc>
          <w:tcPr>
            <w:tcW w:w="1440" w:type="dxa"/>
            <w:vAlign w:val="bottom"/>
            <w:shd w:val="clear" w:color="auto" w:fill="F1F2F2"/>
          </w:tcPr>
          <w:p>
            <w:pPr>
              <w:spacing w:after="0"/>
              <w:rPr>
                <w:sz w:val="5"/>
                <w:szCs w:val="5"/>
                <w:color w:val="auto"/>
              </w:rPr>
            </w:pPr>
          </w:p>
        </w:tc>
        <w:tc>
          <w:tcPr>
            <w:tcW w:w="1440" w:type="dxa"/>
            <w:vAlign w:val="bottom"/>
            <w:shd w:val="clear" w:color="auto" w:fill="F1F2F2"/>
          </w:tcPr>
          <w:p>
            <w:pPr>
              <w:spacing w:after="0"/>
              <w:rPr>
                <w:sz w:val="5"/>
                <w:szCs w:val="5"/>
                <w:color w:val="auto"/>
              </w:rPr>
            </w:pPr>
          </w:p>
        </w:tc>
        <w:tc>
          <w:tcPr>
            <w:tcW w:w="1360" w:type="dxa"/>
            <w:vAlign w:val="bottom"/>
            <w:shd w:val="clear" w:color="auto" w:fill="F1F2F2"/>
          </w:tcPr>
          <w:p>
            <w:pPr>
              <w:spacing w:after="0"/>
              <w:rPr>
                <w:sz w:val="5"/>
                <w:szCs w:val="5"/>
                <w:color w:val="auto"/>
              </w:rPr>
            </w:pPr>
          </w:p>
        </w:tc>
        <w:tc>
          <w:tcPr>
            <w:tcW w:w="900" w:type="dxa"/>
            <w:vAlign w:val="bottom"/>
            <w:shd w:val="clear" w:color="auto" w:fill="F1F2F2"/>
          </w:tcPr>
          <w:p>
            <w:pPr>
              <w:spacing w:after="0"/>
              <w:rPr>
                <w:sz w:val="5"/>
                <w:szCs w:val="5"/>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120" w:hanging="332"/>
        <w:spacing w:after="0" w:line="267"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of the aggregate amount of all stock awards for each year, in accordance with FASB ASC Topic 718, in connection with RSUs and PSUs granted under the 2019 Equity and Incentive Compensation Plan. Assumptions used in calculating these amounts are described in Note 15 of the Consolidated Financial Statements for the fiscal year ended December 31, 2025, included in our Form 10-K. Amounts for 2025 PSUs reflect the probable outcome for the awards on the grant date, valued at the date of grant in accordance with FASB ASC Topic 718. If the PSUs were valued at maximum performance levels, the total PSU value at grant would be as follows: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800" w:type="dxa"/>
            <w:vAlign w:val="bottom"/>
            <w:shd w:val="clear" w:color="auto" w:fill="C60C35"/>
          </w:tcPr>
          <w:p>
            <w:pPr>
              <w:spacing w:after="0"/>
              <w:rPr>
                <w:sz w:val="16"/>
                <w:szCs w:val="16"/>
                <w:color w:val="auto"/>
              </w:rPr>
            </w:pPr>
          </w:p>
        </w:tc>
        <w:tc>
          <w:tcPr>
            <w:tcW w:w="3820" w:type="dxa"/>
            <w:vAlign w:val="bottom"/>
            <w:gridSpan w:val="2"/>
            <w:shd w:val="clear" w:color="auto" w:fill="C60C35"/>
          </w:tcPr>
          <w:p>
            <w:pPr>
              <w:ind w:left="880"/>
              <w:spacing w:after="0"/>
              <w:rPr>
                <w:sz w:val="20"/>
                <w:szCs w:val="20"/>
                <w:color w:val="auto"/>
              </w:rPr>
            </w:pPr>
            <w:r>
              <w:rPr>
                <w:rFonts w:ascii="Arial" w:cs="Arial" w:eastAsia="Arial" w:hAnsi="Arial"/>
                <w:sz w:val="13"/>
                <w:szCs w:val="13"/>
                <w:b w:val="1"/>
                <w:bCs w:val="1"/>
                <w:color w:val="FFFFFF"/>
              </w:rPr>
              <w:t>PSU Value at Maximum Performance Levels ($)</w:t>
            </w:r>
          </w:p>
        </w:tc>
        <w:tc>
          <w:tcPr>
            <w:tcW w:w="880" w:type="dxa"/>
            <w:vAlign w:val="bottom"/>
            <w:shd w:val="clear" w:color="auto" w:fill="C60C35"/>
          </w:tcPr>
          <w:p>
            <w:pPr>
              <w:spacing w:after="0"/>
              <w:rPr>
                <w:sz w:val="16"/>
                <w:szCs w:val="16"/>
                <w:color w:val="auto"/>
              </w:rPr>
            </w:pPr>
          </w:p>
        </w:tc>
      </w:tr>
      <w:tr>
        <w:trPr>
          <w:trHeight w:val="259"/>
        </w:trPr>
        <w:tc>
          <w:tcPr>
            <w:tcW w:w="5800" w:type="dxa"/>
            <w:vAlign w:val="bottom"/>
            <w:shd w:val="clear" w:color="auto" w:fill="C60C35"/>
          </w:tcPr>
          <w:p>
            <w:pPr>
              <w:ind w:left="100"/>
              <w:spacing w:after="0"/>
              <w:rPr>
                <w:sz w:val="20"/>
                <w:szCs w:val="20"/>
                <w:color w:val="auto"/>
              </w:rPr>
            </w:pPr>
            <w:r>
              <w:rPr>
                <w:rFonts w:ascii="Arial" w:cs="Arial" w:eastAsia="Arial" w:hAnsi="Arial"/>
                <w:sz w:val="13"/>
                <w:szCs w:val="13"/>
                <w:b w:val="1"/>
                <w:bCs w:val="1"/>
                <w:color w:val="FFFFFF"/>
              </w:rPr>
              <w:t>Name</w:t>
            </w:r>
          </w:p>
        </w:tc>
        <w:tc>
          <w:tcPr>
            <w:tcW w:w="1520" w:type="dxa"/>
            <w:vAlign w:val="bottom"/>
            <w:shd w:val="clear" w:color="auto" w:fill="C60C35"/>
          </w:tcPr>
          <w:p>
            <w:pPr>
              <w:ind w:left="1140"/>
              <w:spacing w:after="0"/>
              <w:rPr>
                <w:sz w:val="20"/>
                <w:szCs w:val="20"/>
                <w:color w:val="auto"/>
              </w:rPr>
            </w:pPr>
            <w:r>
              <w:rPr>
                <w:rFonts w:ascii="Arial" w:cs="Arial" w:eastAsia="Arial" w:hAnsi="Arial"/>
                <w:sz w:val="13"/>
                <w:szCs w:val="13"/>
                <w:b w:val="1"/>
                <w:bCs w:val="1"/>
                <w:color w:val="FFFFFF"/>
              </w:rPr>
              <w:t>2023</w:t>
            </w:r>
          </w:p>
        </w:tc>
        <w:tc>
          <w:tcPr>
            <w:tcW w:w="2300" w:type="dxa"/>
            <w:vAlign w:val="bottom"/>
            <w:shd w:val="clear" w:color="auto" w:fill="C60C35"/>
          </w:tcPr>
          <w:p>
            <w:pPr>
              <w:jc w:val="right"/>
              <w:ind w:right="817"/>
              <w:spacing w:after="0"/>
              <w:rPr>
                <w:sz w:val="20"/>
                <w:szCs w:val="20"/>
                <w:color w:val="auto"/>
              </w:rPr>
            </w:pPr>
            <w:r>
              <w:rPr>
                <w:rFonts w:ascii="Arial" w:cs="Arial" w:eastAsia="Arial" w:hAnsi="Arial"/>
                <w:sz w:val="13"/>
                <w:szCs w:val="13"/>
                <w:b w:val="1"/>
                <w:bCs w:val="1"/>
                <w:color w:val="FFFFFF"/>
              </w:rPr>
              <w:t>2024</w:t>
            </w:r>
          </w:p>
        </w:tc>
        <w:tc>
          <w:tcPr>
            <w:tcW w:w="880" w:type="dxa"/>
            <w:vAlign w:val="bottom"/>
            <w:shd w:val="clear" w:color="auto" w:fill="C60C35"/>
          </w:tcPr>
          <w:p>
            <w:pPr>
              <w:jc w:val="right"/>
              <w:ind w:right="157"/>
              <w:spacing w:after="0"/>
              <w:rPr>
                <w:sz w:val="20"/>
                <w:szCs w:val="20"/>
                <w:color w:val="auto"/>
              </w:rPr>
            </w:pPr>
            <w:r>
              <w:rPr>
                <w:rFonts w:ascii="Arial" w:cs="Arial" w:eastAsia="Arial" w:hAnsi="Arial"/>
                <w:sz w:val="13"/>
                <w:szCs w:val="13"/>
                <w:b w:val="1"/>
                <w:bCs w:val="1"/>
                <w:color w:val="FFFFFF"/>
              </w:rPr>
              <w:t>2025</w:t>
            </w:r>
          </w:p>
        </w:tc>
      </w:tr>
      <w:tr>
        <w:trPr>
          <w:trHeight w:val="76"/>
        </w:trPr>
        <w:tc>
          <w:tcPr>
            <w:tcW w:w="5800" w:type="dxa"/>
            <w:vAlign w:val="bottom"/>
            <w:shd w:val="clear" w:color="auto" w:fill="C60C35"/>
          </w:tcPr>
          <w:p>
            <w:pPr>
              <w:spacing w:after="0"/>
              <w:rPr>
                <w:sz w:val="6"/>
                <w:szCs w:val="6"/>
                <w:color w:val="auto"/>
              </w:rPr>
            </w:pPr>
          </w:p>
        </w:tc>
        <w:tc>
          <w:tcPr>
            <w:tcW w:w="1520" w:type="dxa"/>
            <w:vAlign w:val="bottom"/>
            <w:shd w:val="clear" w:color="auto" w:fill="C60C35"/>
          </w:tcPr>
          <w:p>
            <w:pPr>
              <w:spacing w:after="0"/>
              <w:rPr>
                <w:sz w:val="6"/>
                <w:szCs w:val="6"/>
                <w:color w:val="auto"/>
              </w:rPr>
            </w:pPr>
          </w:p>
        </w:tc>
        <w:tc>
          <w:tcPr>
            <w:tcW w:w="2300" w:type="dxa"/>
            <w:vAlign w:val="bottom"/>
            <w:shd w:val="clear" w:color="auto" w:fill="C60C35"/>
          </w:tcPr>
          <w:p>
            <w:pPr>
              <w:spacing w:after="0"/>
              <w:rPr>
                <w:sz w:val="6"/>
                <w:szCs w:val="6"/>
                <w:color w:val="auto"/>
              </w:rPr>
            </w:pPr>
          </w:p>
        </w:tc>
        <w:tc>
          <w:tcPr>
            <w:tcW w:w="880" w:type="dxa"/>
            <w:vAlign w:val="bottom"/>
            <w:shd w:val="clear" w:color="auto" w:fill="C60C35"/>
          </w:tcPr>
          <w:p>
            <w:pPr>
              <w:spacing w:after="0"/>
              <w:rPr>
                <w:sz w:val="6"/>
                <w:szCs w:val="6"/>
                <w:color w:val="auto"/>
              </w:rPr>
            </w:pPr>
          </w:p>
        </w:tc>
      </w:tr>
      <w:tr>
        <w:trPr>
          <w:trHeight w:val="175"/>
        </w:trPr>
        <w:tc>
          <w:tcPr>
            <w:tcW w:w="5800" w:type="dxa"/>
            <w:vAlign w:val="bottom"/>
            <w:shd w:val="clear" w:color="auto" w:fill="F1F2F2"/>
          </w:tcPr>
          <w:p>
            <w:pPr>
              <w:ind w:left="20"/>
              <w:spacing w:after="0"/>
              <w:rPr>
                <w:sz w:val="20"/>
                <w:szCs w:val="20"/>
                <w:color w:val="auto"/>
              </w:rPr>
            </w:pPr>
            <w:r>
              <w:rPr>
                <w:rFonts w:ascii="Arial" w:cs="Arial" w:eastAsia="Arial" w:hAnsi="Arial"/>
                <w:sz w:val="13"/>
                <w:szCs w:val="13"/>
                <w:color w:val="auto"/>
              </w:rPr>
              <w:t>Alok Maskara</w:t>
            </w:r>
          </w:p>
        </w:tc>
        <w:tc>
          <w:tcPr>
            <w:tcW w:w="1520" w:type="dxa"/>
            <w:vAlign w:val="bottom"/>
            <w:shd w:val="clear" w:color="auto" w:fill="F1F2F2"/>
          </w:tcPr>
          <w:p>
            <w:pPr>
              <w:ind w:left="1320"/>
              <w:spacing w:after="0"/>
              <w:rPr>
                <w:sz w:val="20"/>
                <w:szCs w:val="20"/>
                <w:color w:val="auto"/>
              </w:rPr>
            </w:pPr>
            <w:r>
              <w:rPr>
                <w:rFonts w:ascii="Arial" w:cs="Arial" w:eastAsia="Arial" w:hAnsi="Arial"/>
                <w:sz w:val="13"/>
                <w:szCs w:val="13"/>
                <w:color w:val="auto"/>
                <w:w w:val="99"/>
              </w:rPr>
              <w:t>n/a</w:t>
            </w:r>
          </w:p>
        </w:tc>
        <w:tc>
          <w:tcPr>
            <w:tcW w:w="2300" w:type="dxa"/>
            <w:vAlign w:val="bottom"/>
            <w:shd w:val="clear" w:color="auto" w:fill="F1F2F2"/>
          </w:tcPr>
          <w:p>
            <w:pPr>
              <w:jc w:val="right"/>
              <w:ind w:right="777"/>
              <w:spacing w:after="0"/>
              <w:rPr>
                <w:sz w:val="20"/>
                <w:szCs w:val="20"/>
                <w:color w:val="auto"/>
              </w:rPr>
            </w:pPr>
            <w:r>
              <w:rPr>
                <w:rFonts w:ascii="Arial" w:cs="Arial" w:eastAsia="Arial" w:hAnsi="Arial"/>
                <w:sz w:val="13"/>
                <w:szCs w:val="13"/>
                <w:color w:val="auto"/>
              </w:rPr>
              <w:t>5,537,184</w:t>
            </w:r>
          </w:p>
        </w:tc>
        <w:tc>
          <w:tcPr>
            <w:tcW w:w="88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5,625,479</w:t>
            </w:r>
          </w:p>
        </w:tc>
      </w:tr>
      <w:tr>
        <w:trPr>
          <w:trHeight w:val="171"/>
        </w:trPr>
        <w:tc>
          <w:tcPr>
            <w:tcW w:w="5800" w:type="dxa"/>
            <w:vAlign w:val="bottom"/>
          </w:tcPr>
          <w:p>
            <w:pPr>
              <w:ind w:left="20"/>
              <w:spacing w:after="0"/>
              <w:rPr>
                <w:sz w:val="20"/>
                <w:szCs w:val="20"/>
                <w:color w:val="auto"/>
              </w:rPr>
            </w:pPr>
            <w:r>
              <w:rPr>
                <w:rFonts w:ascii="Arial" w:cs="Arial" w:eastAsia="Arial" w:hAnsi="Arial"/>
                <w:sz w:val="13"/>
                <w:szCs w:val="13"/>
                <w:color w:val="auto"/>
              </w:rPr>
              <w:t>Michael P. Quenzer</w:t>
            </w:r>
          </w:p>
        </w:tc>
        <w:tc>
          <w:tcPr>
            <w:tcW w:w="1520" w:type="dxa"/>
            <w:vAlign w:val="bottom"/>
          </w:tcPr>
          <w:p>
            <w:pPr>
              <w:ind w:left="1320"/>
              <w:spacing w:after="0"/>
              <w:rPr>
                <w:sz w:val="20"/>
                <w:szCs w:val="20"/>
                <w:color w:val="auto"/>
              </w:rPr>
            </w:pPr>
            <w:r>
              <w:rPr>
                <w:rFonts w:ascii="Arial" w:cs="Arial" w:eastAsia="Arial" w:hAnsi="Arial"/>
                <w:sz w:val="13"/>
                <w:szCs w:val="13"/>
                <w:color w:val="auto"/>
                <w:w w:val="99"/>
              </w:rPr>
              <w:t>n/a</w:t>
            </w:r>
          </w:p>
        </w:tc>
        <w:tc>
          <w:tcPr>
            <w:tcW w:w="2300" w:type="dxa"/>
            <w:vAlign w:val="bottom"/>
          </w:tcPr>
          <w:p>
            <w:pPr>
              <w:jc w:val="right"/>
              <w:ind w:right="777"/>
              <w:spacing w:after="0"/>
              <w:rPr>
                <w:sz w:val="20"/>
                <w:szCs w:val="20"/>
                <w:color w:val="auto"/>
              </w:rPr>
            </w:pPr>
            <w:r>
              <w:rPr>
                <w:rFonts w:ascii="Arial" w:cs="Arial" w:eastAsia="Arial" w:hAnsi="Arial"/>
                <w:sz w:val="13"/>
                <w:szCs w:val="13"/>
                <w:color w:val="auto"/>
              </w:rPr>
              <w:t>971,271</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1,168,145</w:t>
            </w:r>
          </w:p>
        </w:tc>
      </w:tr>
      <w:tr>
        <w:trPr>
          <w:trHeight w:val="180"/>
        </w:trPr>
        <w:tc>
          <w:tcPr>
            <w:tcW w:w="5800" w:type="dxa"/>
            <w:vAlign w:val="bottom"/>
            <w:shd w:val="clear" w:color="auto" w:fill="F1F2F2"/>
          </w:tcPr>
          <w:p>
            <w:pPr>
              <w:ind w:left="20"/>
              <w:spacing w:after="0"/>
              <w:rPr>
                <w:sz w:val="20"/>
                <w:szCs w:val="20"/>
                <w:color w:val="auto"/>
              </w:rPr>
            </w:pPr>
            <w:r>
              <w:rPr>
                <w:rFonts w:ascii="Arial" w:cs="Arial" w:eastAsia="Arial" w:hAnsi="Arial"/>
                <w:sz w:val="13"/>
                <w:szCs w:val="13"/>
                <w:color w:val="auto"/>
              </w:rPr>
              <w:t>Sarah R. Martin</w:t>
            </w:r>
          </w:p>
        </w:tc>
        <w:tc>
          <w:tcPr>
            <w:tcW w:w="1520" w:type="dxa"/>
            <w:vAlign w:val="bottom"/>
            <w:shd w:val="clear" w:color="auto" w:fill="F1F2F2"/>
          </w:tcPr>
          <w:p>
            <w:pPr>
              <w:ind w:left="1320"/>
              <w:spacing w:after="0"/>
              <w:rPr>
                <w:sz w:val="20"/>
                <w:szCs w:val="20"/>
                <w:color w:val="auto"/>
              </w:rPr>
            </w:pPr>
            <w:r>
              <w:rPr>
                <w:rFonts w:ascii="Arial" w:cs="Arial" w:eastAsia="Arial" w:hAnsi="Arial"/>
                <w:sz w:val="13"/>
                <w:szCs w:val="13"/>
                <w:color w:val="auto"/>
                <w:w w:val="99"/>
              </w:rPr>
              <w:t>n/a</w:t>
            </w:r>
          </w:p>
        </w:tc>
        <w:tc>
          <w:tcPr>
            <w:tcW w:w="2300" w:type="dxa"/>
            <w:vAlign w:val="bottom"/>
            <w:shd w:val="clear" w:color="auto" w:fill="F1F2F2"/>
          </w:tcPr>
          <w:p>
            <w:pPr>
              <w:jc w:val="right"/>
              <w:ind w:right="717"/>
              <w:spacing w:after="0"/>
              <w:rPr>
                <w:sz w:val="20"/>
                <w:szCs w:val="20"/>
                <w:color w:val="auto"/>
              </w:rPr>
            </w:pPr>
            <w:r>
              <w:rPr>
                <w:rFonts w:ascii="Arial" w:cs="Arial" w:eastAsia="Arial" w:hAnsi="Arial"/>
                <w:sz w:val="13"/>
                <w:szCs w:val="13"/>
                <w:color w:val="auto"/>
              </w:rPr>
              <w:t>n/a</w:t>
            </w:r>
          </w:p>
        </w:tc>
        <w:tc>
          <w:tcPr>
            <w:tcW w:w="88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728,013</w:t>
            </w:r>
          </w:p>
        </w:tc>
      </w:tr>
      <w:tr>
        <w:trPr>
          <w:trHeight w:val="171"/>
        </w:trPr>
        <w:tc>
          <w:tcPr>
            <w:tcW w:w="5800" w:type="dxa"/>
            <w:vAlign w:val="bottom"/>
          </w:tcPr>
          <w:p>
            <w:pPr>
              <w:ind w:left="20"/>
              <w:spacing w:after="0"/>
              <w:rPr>
                <w:sz w:val="20"/>
                <w:szCs w:val="20"/>
                <w:color w:val="auto"/>
              </w:rPr>
            </w:pPr>
            <w:r>
              <w:rPr>
                <w:rFonts w:ascii="Arial" w:cs="Arial" w:eastAsia="Arial" w:hAnsi="Arial"/>
                <w:sz w:val="13"/>
                <w:szCs w:val="13"/>
                <w:color w:val="auto"/>
              </w:rPr>
              <w:t>Joseph F. Nassab</w:t>
            </w:r>
          </w:p>
        </w:tc>
        <w:tc>
          <w:tcPr>
            <w:tcW w:w="1520" w:type="dxa"/>
            <w:vAlign w:val="bottom"/>
          </w:tcPr>
          <w:p>
            <w:pPr>
              <w:ind w:left="1320"/>
              <w:spacing w:after="0"/>
              <w:rPr>
                <w:sz w:val="20"/>
                <w:szCs w:val="20"/>
                <w:color w:val="auto"/>
              </w:rPr>
            </w:pPr>
            <w:r>
              <w:rPr>
                <w:rFonts w:ascii="Arial" w:cs="Arial" w:eastAsia="Arial" w:hAnsi="Arial"/>
                <w:sz w:val="13"/>
                <w:szCs w:val="13"/>
                <w:color w:val="auto"/>
                <w:w w:val="99"/>
              </w:rPr>
              <w:t>n/a</w:t>
            </w:r>
          </w:p>
        </w:tc>
        <w:tc>
          <w:tcPr>
            <w:tcW w:w="2300" w:type="dxa"/>
            <w:vAlign w:val="bottom"/>
          </w:tcPr>
          <w:p>
            <w:pPr>
              <w:jc w:val="right"/>
              <w:ind w:right="777"/>
              <w:spacing w:after="0"/>
              <w:rPr>
                <w:sz w:val="20"/>
                <w:szCs w:val="20"/>
                <w:color w:val="auto"/>
              </w:rPr>
            </w:pPr>
            <w:r>
              <w:rPr>
                <w:rFonts w:ascii="Arial" w:cs="Arial" w:eastAsia="Arial" w:hAnsi="Arial"/>
                <w:sz w:val="13"/>
                <w:szCs w:val="13"/>
                <w:color w:val="auto"/>
              </w:rPr>
              <w:t>1,166,038</w:t>
            </w:r>
          </w:p>
        </w:tc>
        <w:tc>
          <w:tcPr>
            <w:tcW w:w="880" w:type="dxa"/>
            <w:vAlign w:val="bottom"/>
          </w:tcPr>
          <w:p>
            <w:pPr>
              <w:jc w:val="right"/>
              <w:ind w:right="117"/>
              <w:spacing w:after="0"/>
              <w:rPr>
                <w:sz w:val="20"/>
                <w:szCs w:val="20"/>
                <w:color w:val="auto"/>
              </w:rPr>
            </w:pPr>
            <w:r>
              <w:rPr>
                <w:rFonts w:ascii="Arial" w:cs="Arial" w:eastAsia="Arial" w:hAnsi="Arial"/>
                <w:sz w:val="13"/>
                <w:szCs w:val="13"/>
                <w:color w:val="auto"/>
              </w:rPr>
              <w:t>1,125,544</w:t>
            </w:r>
          </w:p>
        </w:tc>
      </w:tr>
      <w:tr>
        <w:trPr>
          <w:trHeight w:val="180"/>
        </w:trPr>
        <w:tc>
          <w:tcPr>
            <w:tcW w:w="5800" w:type="dxa"/>
            <w:vAlign w:val="bottom"/>
            <w:shd w:val="clear" w:color="auto" w:fill="F1F2F2"/>
          </w:tcPr>
          <w:p>
            <w:pPr>
              <w:ind w:left="20"/>
              <w:spacing w:after="0"/>
              <w:rPr>
                <w:sz w:val="20"/>
                <w:szCs w:val="20"/>
                <w:color w:val="auto"/>
              </w:rPr>
            </w:pPr>
            <w:r>
              <w:rPr>
                <w:rFonts w:ascii="Arial" w:cs="Arial" w:eastAsia="Arial" w:hAnsi="Arial"/>
                <w:sz w:val="13"/>
                <w:szCs w:val="13"/>
                <w:color w:val="auto"/>
              </w:rPr>
              <w:t>Daniel M. Sessa</w:t>
            </w:r>
          </w:p>
        </w:tc>
        <w:tc>
          <w:tcPr>
            <w:tcW w:w="1520" w:type="dxa"/>
            <w:vAlign w:val="bottom"/>
            <w:shd w:val="clear" w:color="auto" w:fill="F1F2F2"/>
          </w:tcPr>
          <w:p>
            <w:pPr>
              <w:ind w:left="1320"/>
              <w:spacing w:after="0"/>
              <w:rPr>
                <w:sz w:val="20"/>
                <w:szCs w:val="20"/>
                <w:color w:val="auto"/>
              </w:rPr>
            </w:pPr>
            <w:r>
              <w:rPr>
                <w:rFonts w:ascii="Arial" w:cs="Arial" w:eastAsia="Arial" w:hAnsi="Arial"/>
                <w:sz w:val="13"/>
                <w:szCs w:val="13"/>
                <w:color w:val="auto"/>
                <w:w w:val="99"/>
              </w:rPr>
              <w:t>n/a</w:t>
            </w:r>
          </w:p>
        </w:tc>
        <w:tc>
          <w:tcPr>
            <w:tcW w:w="2300" w:type="dxa"/>
            <w:vAlign w:val="bottom"/>
            <w:shd w:val="clear" w:color="auto" w:fill="F1F2F2"/>
          </w:tcPr>
          <w:p>
            <w:pPr>
              <w:jc w:val="right"/>
              <w:ind w:right="777"/>
              <w:spacing w:after="0"/>
              <w:rPr>
                <w:sz w:val="20"/>
                <w:szCs w:val="20"/>
                <w:color w:val="auto"/>
              </w:rPr>
            </w:pPr>
            <w:r>
              <w:rPr>
                <w:rFonts w:ascii="Arial" w:cs="Arial" w:eastAsia="Arial" w:hAnsi="Arial"/>
                <w:sz w:val="13"/>
                <w:szCs w:val="13"/>
                <w:color w:val="auto"/>
              </w:rPr>
              <w:t>1,166,038</w:t>
            </w:r>
          </w:p>
        </w:tc>
        <w:tc>
          <w:tcPr>
            <w:tcW w:w="88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1,081,823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-727710</wp:posOffset>
            </wp:positionV>
            <wp:extent cx="29057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73" w:lineRule="exact"/>
        <w:rPr>
          <w:sz w:val="20"/>
          <w:szCs w:val="20"/>
          <w:color w:val="auto"/>
        </w:rPr>
      </w:pPr>
    </w:p>
    <w:p>
      <w:pPr>
        <w:jc w:val="both"/>
        <w:ind w:left="340" w:right="160" w:hanging="332"/>
        <w:spacing w:after="0" w:line="283"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 of the aggregate amount of all SAR awards for each year, in accordance with FASB ASC Topic 718, in connection with SARs granted under the 2019 Equity and Incentive Compensation Plan. Assumptions used in calculating these amounts are included in Note 15 of the Consolidated Financial Statements for the fiscal year ended December 31, 2025, included in our Form 10-K.</w:t>
      </w:r>
    </w:p>
    <w:p>
      <w:pPr>
        <w:spacing w:after="0" w:line="64" w:lineRule="exact"/>
        <w:rPr>
          <w:rFonts w:ascii="Arial" w:cs="Arial" w:eastAsia="Arial" w:hAnsi="Arial"/>
          <w:sz w:val="14"/>
          <w:szCs w:val="14"/>
          <w:color w:val="auto"/>
        </w:rPr>
      </w:pPr>
    </w:p>
    <w:p>
      <w:pPr>
        <w:ind w:left="340" w:right="240" w:hanging="332"/>
        <w:spacing w:after="0" w:line="269"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amounts shown represent the aggregate change in the actuarial present value of accumulated pension benefits that accrued during the applicable year under our closed defined benefit Supplemental Retirement Plan and frozen Consolidated Pension Plan, each as discussed under “Retirement Plans,” as a result of changes in the valuation discount rate, changes in compensation, and an additional one year of service, as applicable. Mr. Maskara, Mr. Quenzer, Ms. Martin, and Mr. Nassab do not participate in the Supplemental Retirement Plan or Consolidated Pension Plan. No above-market interest on nonqualified deferred compensation was earned.</w:t>
      </w: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1" w:name="page52"/>
    <w:bookmarkEnd w:id="51"/>
    <w:p>
      <w:pPr>
        <w:ind w:left="332" w:right="700" w:hanging="332"/>
        <w:spacing w:after="0" w:line="305" w:lineRule="auto"/>
        <w:tabs>
          <w:tab w:leader="none" w:pos="319"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amounts shown include perquisites and other compensation. The following table identifies the amounts attributable to each category of perquisites and other compensation in 2025 for each NEO.</w:t>
      </w:r>
    </w:p>
    <w:p>
      <w:pPr>
        <w:spacing w:after="0" w:line="86" w:lineRule="exact"/>
        <w:rPr>
          <w:sz w:val="20"/>
          <w:szCs w:val="20"/>
          <w:color w:val="auto"/>
        </w:rPr>
      </w:pPr>
    </w:p>
    <w:tbl>
      <w:tblPr>
        <w:tblLayout w:type="fixed"/>
        <w:tblInd w:w="332" w:type="dxa"/>
        <w:tblCellMar>
          <w:top w:w="0" w:type="dxa"/>
          <w:left w:w="0" w:type="dxa"/>
          <w:bottom w:w="0" w:type="dxa"/>
          <w:right w:w="0" w:type="dxa"/>
        </w:tblCellMar>
      </w:tblPr>
      <w:tr>
        <w:trPr>
          <w:trHeight w:val="192"/>
        </w:trPr>
        <w:tc>
          <w:tcPr>
            <w:tcW w:w="1640" w:type="dxa"/>
            <w:vAlign w:val="bottom"/>
            <w:shd w:val="clear" w:color="auto" w:fill="C60C35"/>
          </w:tcPr>
          <w:p>
            <w:pPr>
              <w:spacing w:after="0"/>
              <w:rPr>
                <w:sz w:val="16"/>
                <w:szCs w:val="16"/>
                <w:color w:val="auto"/>
              </w:rPr>
            </w:pPr>
          </w:p>
        </w:tc>
        <w:tc>
          <w:tcPr>
            <w:tcW w:w="1100" w:type="dxa"/>
            <w:vAlign w:val="bottom"/>
            <w:shd w:val="clear" w:color="auto" w:fill="C60C35"/>
          </w:tcPr>
          <w:p>
            <w:pPr>
              <w:spacing w:after="0"/>
              <w:rPr>
                <w:sz w:val="16"/>
                <w:szCs w:val="16"/>
                <w:color w:val="auto"/>
              </w:rPr>
            </w:pPr>
          </w:p>
        </w:tc>
        <w:tc>
          <w:tcPr>
            <w:tcW w:w="1900" w:type="dxa"/>
            <w:vAlign w:val="bottom"/>
            <w:shd w:val="clear" w:color="auto" w:fill="C60C35"/>
          </w:tcPr>
          <w:p>
            <w:pPr>
              <w:jc w:val="right"/>
              <w:ind w:right="37"/>
              <w:spacing w:after="0"/>
              <w:rPr>
                <w:sz w:val="20"/>
                <w:szCs w:val="20"/>
                <w:color w:val="auto"/>
              </w:rPr>
            </w:pPr>
            <w:r>
              <w:rPr>
                <w:rFonts w:ascii="Arial" w:cs="Arial" w:eastAsia="Arial" w:hAnsi="Arial"/>
                <w:sz w:val="13"/>
                <w:szCs w:val="13"/>
                <w:b w:val="1"/>
                <w:bCs w:val="1"/>
                <w:color w:val="FFFFFF"/>
              </w:rPr>
              <w:t>Perquisites</w:t>
            </w:r>
          </w:p>
        </w:tc>
        <w:tc>
          <w:tcPr>
            <w:tcW w:w="1340" w:type="dxa"/>
            <w:vAlign w:val="bottom"/>
            <w:shd w:val="clear" w:color="auto" w:fill="C60C35"/>
          </w:tcPr>
          <w:p>
            <w:pPr>
              <w:spacing w:after="0"/>
              <w:rPr>
                <w:sz w:val="16"/>
                <w:szCs w:val="16"/>
                <w:color w:val="auto"/>
              </w:rPr>
            </w:pPr>
          </w:p>
        </w:tc>
        <w:tc>
          <w:tcPr>
            <w:tcW w:w="780" w:type="dxa"/>
            <w:vAlign w:val="bottom"/>
            <w:shd w:val="clear" w:color="auto" w:fill="C60C35"/>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2"/>
            <w:shd w:val="clear" w:color="auto" w:fill="C60C35"/>
          </w:tcPr>
          <w:p>
            <w:pPr>
              <w:jc w:val="right"/>
              <w:ind w:right="537"/>
              <w:spacing w:after="0"/>
              <w:rPr>
                <w:sz w:val="20"/>
                <w:szCs w:val="20"/>
                <w:color w:val="auto"/>
              </w:rPr>
            </w:pPr>
            <w:r>
              <w:rPr>
                <w:rFonts w:ascii="Arial" w:cs="Arial" w:eastAsia="Arial" w:hAnsi="Arial"/>
                <w:sz w:val="13"/>
                <w:szCs w:val="13"/>
                <w:b w:val="1"/>
                <w:bCs w:val="1"/>
                <w:color w:val="FFFFFF"/>
              </w:rPr>
              <w:t>Other Compensation</w:t>
            </w:r>
          </w:p>
        </w:tc>
        <w:tc>
          <w:tcPr>
            <w:tcW w:w="1200" w:type="dxa"/>
            <w:vAlign w:val="bottom"/>
            <w:shd w:val="clear" w:color="auto" w:fill="C60C35"/>
          </w:tcPr>
          <w:p>
            <w:pPr>
              <w:spacing w:after="0"/>
              <w:rPr>
                <w:sz w:val="16"/>
                <w:szCs w:val="16"/>
                <w:color w:val="auto"/>
              </w:rPr>
            </w:pPr>
          </w:p>
        </w:tc>
      </w:tr>
      <w:tr>
        <w:trPr>
          <w:trHeight w:val="236"/>
        </w:trPr>
        <w:tc>
          <w:tcPr>
            <w:tcW w:w="1640" w:type="dxa"/>
            <w:vAlign w:val="bottom"/>
            <w:shd w:val="clear" w:color="auto" w:fill="C60C35"/>
          </w:tcPr>
          <w:p>
            <w:pPr>
              <w:spacing w:after="0"/>
              <w:rPr>
                <w:sz w:val="20"/>
                <w:szCs w:val="20"/>
                <w:color w:val="auto"/>
              </w:rPr>
            </w:pPr>
          </w:p>
        </w:tc>
        <w:tc>
          <w:tcPr>
            <w:tcW w:w="1100" w:type="dxa"/>
            <w:vAlign w:val="bottom"/>
            <w:shd w:val="clear" w:color="auto" w:fill="C60C35"/>
          </w:tcPr>
          <w:p>
            <w:pPr>
              <w:spacing w:after="0"/>
              <w:rPr>
                <w:sz w:val="20"/>
                <w:szCs w:val="20"/>
                <w:color w:val="auto"/>
              </w:rPr>
            </w:pPr>
          </w:p>
        </w:tc>
        <w:tc>
          <w:tcPr>
            <w:tcW w:w="1900" w:type="dxa"/>
            <w:vAlign w:val="bottom"/>
            <w:shd w:val="clear" w:color="auto" w:fill="C60C35"/>
          </w:tcPr>
          <w:p>
            <w:pPr>
              <w:jc w:val="right"/>
              <w:ind w:right="517"/>
              <w:spacing w:after="0"/>
              <w:rPr>
                <w:sz w:val="20"/>
                <w:szCs w:val="20"/>
                <w:color w:val="auto"/>
              </w:rPr>
            </w:pPr>
            <w:r>
              <w:rPr>
                <w:rFonts w:ascii="Arial" w:cs="Arial" w:eastAsia="Arial" w:hAnsi="Arial"/>
                <w:sz w:val="13"/>
                <w:szCs w:val="13"/>
                <w:b w:val="1"/>
                <w:bCs w:val="1"/>
                <w:color w:val="FFFFFF"/>
              </w:rPr>
              <w:t>Company</w:t>
            </w:r>
          </w:p>
        </w:tc>
        <w:tc>
          <w:tcPr>
            <w:tcW w:w="1340" w:type="dxa"/>
            <w:vAlign w:val="bottom"/>
            <w:shd w:val="clear" w:color="auto" w:fill="C60C35"/>
          </w:tcPr>
          <w:p>
            <w:pPr>
              <w:jc w:val="right"/>
              <w:ind w:right="377"/>
              <w:spacing w:after="0"/>
              <w:rPr>
                <w:sz w:val="20"/>
                <w:szCs w:val="20"/>
                <w:color w:val="auto"/>
              </w:rPr>
            </w:pPr>
            <w:r>
              <w:rPr>
                <w:rFonts w:ascii="Arial" w:cs="Arial" w:eastAsia="Arial" w:hAnsi="Arial"/>
                <w:sz w:val="13"/>
                <w:szCs w:val="13"/>
                <w:b w:val="1"/>
                <w:bCs w:val="1"/>
                <w:color w:val="FFFFFF"/>
              </w:rPr>
              <w:t>Matching</w:t>
            </w:r>
          </w:p>
        </w:tc>
        <w:tc>
          <w:tcPr>
            <w:tcW w:w="780" w:type="dxa"/>
            <w:vAlign w:val="bottom"/>
            <w:shd w:val="clear" w:color="auto" w:fill="C60C35"/>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Term Life</w:t>
            </w:r>
          </w:p>
        </w:tc>
        <w:tc>
          <w:tcPr>
            <w:tcW w:w="1220" w:type="dxa"/>
            <w:vAlign w:val="bottom"/>
            <w:shd w:val="clear" w:color="auto" w:fill="C60C35"/>
          </w:tcPr>
          <w:p>
            <w:pPr>
              <w:spacing w:after="0"/>
              <w:rPr>
                <w:sz w:val="20"/>
                <w:szCs w:val="20"/>
                <w:color w:val="auto"/>
              </w:rPr>
            </w:pPr>
          </w:p>
        </w:tc>
        <w:tc>
          <w:tcPr>
            <w:tcW w:w="1200" w:type="dxa"/>
            <w:vAlign w:val="bottom"/>
            <w:shd w:val="clear" w:color="auto" w:fill="C60C35"/>
          </w:tcPr>
          <w:p>
            <w:pPr>
              <w:spacing w:after="0"/>
              <w:rPr>
                <w:sz w:val="20"/>
                <w:szCs w:val="20"/>
                <w:color w:val="auto"/>
              </w:rPr>
            </w:pPr>
          </w:p>
        </w:tc>
      </w:tr>
      <w:tr>
        <w:trPr>
          <w:trHeight w:val="149"/>
        </w:trPr>
        <w:tc>
          <w:tcPr>
            <w:tcW w:w="1640" w:type="dxa"/>
            <w:vAlign w:val="bottom"/>
            <w:shd w:val="clear" w:color="auto" w:fill="C60C35"/>
          </w:tcPr>
          <w:p>
            <w:pPr>
              <w:spacing w:after="0"/>
              <w:rPr>
                <w:sz w:val="12"/>
                <w:szCs w:val="12"/>
                <w:color w:val="auto"/>
              </w:rPr>
            </w:pPr>
          </w:p>
        </w:tc>
        <w:tc>
          <w:tcPr>
            <w:tcW w:w="11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Cash</w:t>
            </w:r>
          </w:p>
        </w:tc>
        <w:tc>
          <w:tcPr>
            <w:tcW w:w="1900" w:type="dxa"/>
            <w:vAlign w:val="bottom"/>
            <w:shd w:val="clear" w:color="auto" w:fill="C60C35"/>
          </w:tcPr>
          <w:p>
            <w:pPr>
              <w:jc w:val="right"/>
              <w:ind w:right="517"/>
              <w:spacing w:after="0"/>
              <w:rPr>
                <w:sz w:val="20"/>
                <w:szCs w:val="20"/>
                <w:color w:val="auto"/>
              </w:rPr>
            </w:pPr>
            <w:r>
              <w:rPr>
                <w:rFonts w:ascii="Arial" w:cs="Arial" w:eastAsia="Arial" w:hAnsi="Arial"/>
                <w:sz w:val="13"/>
                <w:szCs w:val="13"/>
                <w:b w:val="1"/>
                <w:bCs w:val="1"/>
                <w:color w:val="FFFFFF"/>
              </w:rPr>
              <w:t>Equipment and</w:t>
            </w:r>
          </w:p>
        </w:tc>
        <w:tc>
          <w:tcPr>
            <w:tcW w:w="1340" w:type="dxa"/>
            <w:vAlign w:val="bottom"/>
            <w:shd w:val="clear" w:color="auto" w:fill="C60C35"/>
          </w:tcPr>
          <w:p>
            <w:pPr>
              <w:jc w:val="right"/>
              <w:ind w:right="377"/>
              <w:spacing w:after="0"/>
              <w:rPr>
                <w:sz w:val="20"/>
                <w:szCs w:val="20"/>
                <w:color w:val="auto"/>
              </w:rPr>
            </w:pPr>
            <w:r>
              <w:rPr>
                <w:rFonts w:ascii="Arial" w:cs="Arial" w:eastAsia="Arial" w:hAnsi="Arial"/>
                <w:sz w:val="13"/>
                <w:szCs w:val="13"/>
                <w:b w:val="1"/>
                <w:bCs w:val="1"/>
                <w:color w:val="FFFFFF"/>
              </w:rPr>
              <w:t>Charitable</w:t>
            </w:r>
          </w:p>
        </w:tc>
        <w:tc>
          <w:tcPr>
            <w:tcW w:w="78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Insurance</w:t>
            </w:r>
          </w:p>
        </w:tc>
        <w:tc>
          <w:tcPr>
            <w:tcW w:w="12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Retirement</w:t>
            </w:r>
          </w:p>
        </w:tc>
        <w:tc>
          <w:tcPr>
            <w:tcW w:w="1200" w:type="dxa"/>
            <w:vAlign w:val="bottom"/>
            <w:shd w:val="clear" w:color="auto" w:fill="C60C35"/>
          </w:tcPr>
          <w:p>
            <w:pPr>
              <w:spacing w:after="0"/>
              <w:rPr>
                <w:sz w:val="12"/>
                <w:szCs w:val="12"/>
                <w:color w:val="auto"/>
              </w:rPr>
            </w:pPr>
          </w:p>
        </w:tc>
      </w:tr>
      <w:tr>
        <w:trPr>
          <w:trHeight w:val="148"/>
        </w:trPr>
        <w:tc>
          <w:tcPr>
            <w:tcW w:w="1640" w:type="dxa"/>
            <w:vAlign w:val="bottom"/>
            <w:shd w:val="clear" w:color="auto" w:fill="C60C35"/>
          </w:tcPr>
          <w:p>
            <w:pPr>
              <w:spacing w:after="0"/>
              <w:rPr>
                <w:sz w:val="12"/>
                <w:szCs w:val="12"/>
                <w:color w:val="auto"/>
              </w:rPr>
            </w:pPr>
          </w:p>
        </w:tc>
        <w:tc>
          <w:tcPr>
            <w:tcW w:w="1100" w:type="dxa"/>
            <w:vAlign w:val="bottom"/>
            <w:shd w:val="clear" w:color="auto" w:fill="C60C35"/>
          </w:tcPr>
          <w:p>
            <w:pPr>
              <w:jc w:val="center"/>
              <w:ind w:left="537"/>
              <w:spacing w:after="0"/>
              <w:rPr>
                <w:sz w:val="20"/>
                <w:szCs w:val="20"/>
                <w:color w:val="auto"/>
              </w:rPr>
            </w:pPr>
            <w:r>
              <w:rPr>
                <w:rFonts w:ascii="Arial" w:cs="Arial" w:eastAsia="Arial" w:hAnsi="Arial"/>
                <w:sz w:val="13"/>
                <w:szCs w:val="13"/>
                <w:b w:val="1"/>
                <w:bCs w:val="1"/>
                <w:color w:val="FFFFFF"/>
                <w:w w:val="96"/>
              </w:rPr>
              <w:t>Stipend</w:t>
            </w:r>
          </w:p>
        </w:tc>
        <w:tc>
          <w:tcPr>
            <w:tcW w:w="1900" w:type="dxa"/>
            <w:vAlign w:val="bottom"/>
            <w:shd w:val="clear" w:color="auto" w:fill="C60C35"/>
          </w:tcPr>
          <w:p>
            <w:pPr>
              <w:jc w:val="right"/>
              <w:ind w:right="517"/>
              <w:spacing w:after="0"/>
              <w:rPr>
                <w:sz w:val="20"/>
                <w:szCs w:val="20"/>
                <w:color w:val="auto"/>
              </w:rPr>
            </w:pPr>
            <w:r>
              <w:rPr>
                <w:rFonts w:ascii="Arial" w:cs="Arial" w:eastAsia="Arial" w:hAnsi="Arial"/>
                <w:sz w:val="13"/>
                <w:szCs w:val="13"/>
                <w:b w:val="1"/>
                <w:bCs w:val="1"/>
                <w:color w:val="FFFFFF"/>
              </w:rPr>
              <w:t>Installation</w:t>
            </w:r>
          </w:p>
        </w:tc>
        <w:tc>
          <w:tcPr>
            <w:tcW w:w="1340" w:type="dxa"/>
            <w:vAlign w:val="bottom"/>
            <w:shd w:val="clear" w:color="auto" w:fill="C60C35"/>
          </w:tcPr>
          <w:p>
            <w:pPr>
              <w:jc w:val="right"/>
              <w:ind w:right="377"/>
              <w:spacing w:after="0"/>
              <w:rPr>
                <w:sz w:val="20"/>
                <w:szCs w:val="20"/>
                <w:color w:val="auto"/>
              </w:rPr>
            </w:pPr>
            <w:r>
              <w:rPr>
                <w:rFonts w:ascii="Arial" w:cs="Arial" w:eastAsia="Arial" w:hAnsi="Arial"/>
                <w:sz w:val="13"/>
                <w:szCs w:val="13"/>
                <w:b w:val="1"/>
                <w:bCs w:val="1"/>
                <w:color w:val="FFFFFF"/>
              </w:rPr>
              <w:t>Contributions</w:t>
            </w:r>
          </w:p>
        </w:tc>
        <w:tc>
          <w:tcPr>
            <w:tcW w:w="780" w:type="dxa"/>
            <w:vAlign w:val="bottom"/>
            <w:shd w:val="clear" w:color="auto" w:fill="C60C35"/>
          </w:tcPr>
          <w:p>
            <w:pPr>
              <w:ind w:left="420"/>
              <w:spacing w:after="0"/>
              <w:rPr>
                <w:sz w:val="20"/>
                <w:szCs w:val="20"/>
                <w:color w:val="auto"/>
              </w:rPr>
            </w:pPr>
            <w:r>
              <w:rPr>
                <w:rFonts w:ascii="Arial" w:cs="Arial" w:eastAsia="Arial" w:hAnsi="Arial"/>
                <w:sz w:val="13"/>
                <w:szCs w:val="13"/>
                <w:b w:val="1"/>
                <w:bCs w:val="1"/>
                <w:color w:val="FFFFFF"/>
                <w:w w:val="97"/>
              </w:rPr>
              <w:t>Other</w:t>
            </w:r>
          </w:p>
        </w:tc>
        <w:tc>
          <w:tcPr>
            <w:tcW w:w="80" w:type="dxa"/>
            <w:vAlign w:val="bottom"/>
          </w:tcPr>
          <w:p>
            <w:pPr>
              <w:spacing w:after="0"/>
              <w:rPr>
                <w:sz w:val="12"/>
                <w:szCs w:val="12"/>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Premium</w:t>
            </w:r>
          </w:p>
        </w:tc>
        <w:tc>
          <w:tcPr>
            <w:tcW w:w="12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Contributions</w:t>
            </w:r>
          </w:p>
        </w:tc>
        <w:tc>
          <w:tcPr>
            <w:tcW w:w="120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Total</w:t>
            </w:r>
          </w:p>
        </w:tc>
      </w:tr>
      <w:tr>
        <w:trPr>
          <w:trHeight w:val="185"/>
        </w:trPr>
        <w:tc>
          <w:tcPr>
            <w:tcW w:w="1640" w:type="dxa"/>
            <w:vAlign w:val="bottom"/>
            <w:shd w:val="clear" w:color="auto" w:fill="C60C35"/>
          </w:tcPr>
          <w:p>
            <w:pPr>
              <w:ind w:left="100"/>
              <w:spacing w:after="0"/>
              <w:rPr>
                <w:sz w:val="20"/>
                <w:szCs w:val="20"/>
                <w:color w:val="auto"/>
              </w:rPr>
            </w:pPr>
            <w:r>
              <w:rPr>
                <w:rFonts w:ascii="Arial" w:cs="Arial" w:eastAsia="Arial" w:hAnsi="Arial"/>
                <w:sz w:val="13"/>
                <w:szCs w:val="13"/>
                <w:b w:val="1"/>
                <w:bCs w:val="1"/>
                <w:color w:val="FFFFFF"/>
              </w:rPr>
              <w:t>Name</w:t>
            </w:r>
          </w:p>
        </w:tc>
        <w:tc>
          <w:tcPr>
            <w:tcW w:w="11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900" w:type="dxa"/>
            <w:vAlign w:val="bottom"/>
            <w:shd w:val="clear" w:color="auto" w:fill="C60C35"/>
          </w:tcPr>
          <w:p>
            <w:pPr>
              <w:jc w:val="right"/>
              <w:ind w:right="517"/>
              <w:spacing w:after="0"/>
              <w:rPr>
                <w:sz w:val="20"/>
                <w:szCs w:val="20"/>
                <w:color w:val="auto"/>
              </w:rPr>
            </w:pPr>
            <w:r>
              <w:rPr>
                <w:rFonts w:ascii="Arial" w:cs="Arial" w:eastAsia="Arial" w:hAnsi="Arial"/>
                <w:sz w:val="13"/>
                <w:szCs w:val="13"/>
                <w:b w:val="1"/>
                <w:bCs w:val="1"/>
                <w:color w:val="FFFFFF"/>
              </w:rPr>
              <w:t>($)</w:t>
            </w:r>
          </w:p>
        </w:tc>
        <w:tc>
          <w:tcPr>
            <w:tcW w:w="1340" w:type="dxa"/>
            <w:vAlign w:val="bottom"/>
            <w:shd w:val="clear" w:color="auto" w:fill="C60C35"/>
          </w:tcPr>
          <w:p>
            <w:pPr>
              <w:jc w:val="right"/>
              <w:ind w:right="377"/>
              <w:spacing w:after="0"/>
              <w:rPr>
                <w:sz w:val="20"/>
                <w:szCs w:val="20"/>
                <w:color w:val="auto"/>
              </w:rPr>
            </w:pPr>
            <w:r>
              <w:rPr>
                <w:rFonts w:ascii="Arial" w:cs="Arial" w:eastAsia="Arial" w:hAnsi="Arial"/>
                <w:sz w:val="13"/>
                <w:szCs w:val="13"/>
                <w:b w:val="1"/>
                <w:bCs w:val="1"/>
                <w:color w:val="FFFFFF"/>
              </w:rPr>
              <w:t>($)</w:t>
            </w:r>
          </w:p>
        </w:tc>
        <w:tc>
          <w:tcPr>
            <w:tcW w:w="780" w:type="dxa"/>
            <w:vAlign w:val="bottom"/>
            <w:shd w:val="clear" w:color="auto" w:fill="C60C35"/>
          </w:tcPr>
          <w:p>
            <w:pPr>
              <w:ind w:left="600"/>
              <w:spacing w:after="0"/>
              <w:rPr>
                <w:sz w:val="20"/>
                <w:szCs w:val="20"/>
                <w:color w:val="auto"/>
              </w:rPr>
            </w:pPr>
            <w:r>
              <w:rPr>
                <w:rFonts w:ascii="Arial" w:cs="Arial" w:eastAsia="Arial" w:hAnsi="Arial"/>
                <w:sz w:val="13"/>
                <w:szCs w:val="13"/>
                <w:b w:val="1"/>
                <w:bCs w:val="1"/>
                <w:color w:val="FFFFFF"/>
              </w:rPr>
              <w:t>($)</w:t>
            </w:r>
          </w:p>
        </w:tc>
        <w:tc>
          <w:tcPr>
            <w:tcW w:w="80" w:type="dxa"/>
            <w:vAlign w:val="bottom"/>
          </w:tcPr>
          <w:p>
            <w:pPr>
              <w:spacing w:after="0"/>
              <w:rPr>
                <w:sz w:val="16"/>
                <w:szCs w:val="16"/>
                <w:color w:val="auto"/>
              </w:rPr>
            </w:pPr>
          </w:p>
        </w:tc>
        <w:tc>
          <w:tcPr>
            <w:tcW w:w="12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2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20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w:t>
            </w:r>
          </w:p>
        </w:tc>
      </w:tr>
      <w:tr>
        <w:trPr>
          <w:trHeight w:val="76"/>
        </w:trPr>
        <w:tc>
          <w:tcPr>
            <w:tcW w:w="1640" w:type="dxa"/>
            <w:vAlign w:val="bottom"/>
            <w:shd w:val="clear" w:color="auto" w:fill="C60C35"/>
          </w:tcPr>
          <w:p>
            <w:pPr>
              <w:spacing w:after="0"/>
              <w:rPr>
                <w:sz w:val="6"/>
                <w:szCs w:val="6"/>
                <w:color w:val="auto"/>
              </w:rPr>
            </w:pPr>
          </w:p>
        </w:tc>
        <w:tc>
          <w:tcPr>
            <w:tcW w:w="1100" w:type="dxa"/>
            <w:vAlign w:val="bottom"/>
            <w:shd w:val="clear" w:color="auto" w:fill="C60C35"/>
          </w:tcPr>
          <w:p>
            <w:pPr>
              <w:spacing w:after="0"/>
              <w:rPr>
                <w:sz w:val="6"/>
                <w:szCs w:val="6"/>
                <w:color w:val="auto"/>
              </w:rPr>
            </w:pPr>
          </w:p>
        </w:tc>
        <w:tc>
          <w:tcPr>
            <w:tcW w:w="190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780" w:type="dxa"/>
            <w:vAlign w:val="bottom"/>
            <w:shd w:val="clear" w:color="auto" w:fill="C60C35"/>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shd w:val="clear" w:color="auto" w:fill="C60C35"/>
          </w:tcPr>
          <w:p>
            <w:pPr>
              <w:spacing w:after="0"/>
              <w:rPr>
                <w:sz w:val="6"/>
                <w:szCs w:val="6"/>
                <w:color w:val="auto"/>
              </w:rPr>
            </w:pPr>
          </w:p>
        </w:tc>
        <w:tc>
          <w:tcPr>
            <w:tcW w:w="1220" w:type="dxa"/>
            <w:vAlign w:val="bottom"/>
            <w:shd w:val="clear" w:color="auto" w:fill="C60C35"/>
          </w:tcPr>
          <w:p>
            <w:pPr>
              <w:spacing w:after="0"/>
              <w:rPr>
                <w:sz w:val="6"/>
                <w:szCs w:val="6"/>
                <w:color w:val="auto"/>
              </w:rPr>
            </w:pPr>
          </w:p>
        </w:tc>
        <w:tc>
          <w:tcPr>
            <w:tcW w:w="1200" w:type="dxa"/>
            <w:vAlign w:val="bottom"/>
            <w:shd w:val="clear" w:color="auto" w:fill="C60C35"/>
          </w:tcPr>
          <w:p>
            <w:pPr>
              <w:spacing w:after="0"/>
              <w:rPr>
                <w:sz w:val="6"/>
                <w:szCs w:val="6"/>
                <w:color w:val="auto"/>
              </w:rPr>
            </w:pPr>
          </w:p>
        </w:tc>
      </w:tr>
      <w:tr>
        <w:trPr>
          <w:trHeight w:val="183"/>
        </w:trPr>
        <w:tc>
          <w:tcPr>
            <w:tcW w:w="1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Alok Maskara</w:t>
            </w:r>
          </w:p>
        </w:tc>
        <w:tc>
          <w:tcPr>
            <w:tcW w:w="1100" w:type="dxa"/>
            <w:vAlign w:val="bottom"/>
            <w:tcBorders>
              <w:bottom w:val="single" w:sz="8" w:color="F1F2F2"/>
            </w:tcBorders>
            <w:shd w:val="clear" w:color="auto" w:fill="F1F2F2"/>
          </w:tcPr>
          <w:p>
            <w:pPr>
              <w:jc w:val="center"/>
              <w:ind w:left="517"/>
              <w:spacing w:after="0"/>
              <w:rPr>
                <w:sz w:val="20"/>
                <w:szCs w:val="20"/>
                <w:color w:val="auto"/>
              </w:rPr>
            </w:pPr>
            <w:r>
              <w:rPr>
                <w:rFonts w:ascii="Arial" w:cs="Arial" w:eastAsia="Arial" w:hAnsi="Arial"/>
                <w:sz w:val="13"/>
                <w:szCs w:val="13"/>
                <w:color w:val="auto"/>
              </w:rPr>
              <w:t>30,000</w:t>
            </w:r>
          </w:p>
        </w:tc>
        <w:tc>
          <w:tcPr>
            <w:tcW w:w="1900" w:type="dxa"/>
            <w:vAlign w:val="bottom"/>
            <w:tcBorders>
              <w:bottom w:val="single" w:sz="8" w:color="F1F2F2"/>
            </w:tcBorders>
            <w:shd w:val="clear" w:color="auto" w:fill="F1F2F2"/>
          </w:tcPr>
          <w:p>
            <w:pPr>
              <w:jc w:val="right"/>
              <w:ind w:right="5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F1F2F2"/>
            </w:tcBorders>
            <w:shd w:val="clear" w:color="auto" w:fill="F1F2F2"/>
          </w:tcPr>
          <w:p>
            <w:pPr>
              <w:jc w:val="right"/>
              <w:ind w:right="417"/>
              <w:spacing w:after="0"/>
              <w:rPr>
                <w:sz w:val="20"/>
                <w:szCs w:val="20"/>
                <w:color w:val="auto"/>
              </w:rPr>
            </w:pPr>
            <w:r>
              <w:rPr>
                <w:rFonts w:ascii="Arial" w:cs="Arial" w:eastAsia="Arial" w:hAnsi="Arial"/>
                <w:sz w:val="13"/>
                <w:szCs w:val="13"/>
                <w:color w:val="auto"/>
              </w:rPr>
              <w:t>110</w:t>
            </w:r>
          </w:p>
        </w:tc>
        <w:tc>
          <w:tcPr>
            <w:tcW w:w="780" w:type="dxa"/>
            <w:vAlign w:val="bottom"/>
            <w:tcBorders>
              <w:bottom w:val="single" w:sz="8" w:color="F1F2F2"/>
            </w:tcBorders>
            <w:shd w:val="clear" w:color="auto" w:fill="F1F2F2"/>
          </w:tcPr>
          <w:p>
            <w:pPr>
              <w:ind w:left="58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3"/>
                <w:szCs w:val="13"/>
                <w:color w:val="auto"/>
              </w:rPr>
              <w:t>314</w:t>
            </w:r>
          </w:p>
        </w:tc>
        <w:tc>
          <w:tcPr>
            <w:tcW w:w="12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247,501</w:t>
            </w:r>
          </w:p>
        </w:tc>
        <w:tc>
          <w:tcPr>
            <w:tcW w:w="12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277,925</w:t>
            </w:r>
          </w:p>
        </w:tc>
      </w:tr>
      <w:tr>
        <w:trPr>
          <w:trHeight w:val="175"/>
        </w:trPr>
        <w:tc>
          <w:tcPr>
            <w:tcW w:w="1640" w:type="dxa"/>
            <w:vAlign w:val="bottom"/>
          </w:tcPr>
          <w:p>
            <w:pPr>
              <w:ind w:left="100"/>
              <w:spacing w:after="0"/>
              <w:rPr>
                <w:sz w:val="20"/>
                <w:szCs w:val="20"/>
                <w:color w:val="auto"/>
              </w:rPr>
            </w:pPr>
            <w:r>
              <w:rPr>
                <w:rFonts w:ascii="Arial" w:cs="Arial" w:eastAsia="Arial" w:hAnsi="Arial"/>
                <w:sz w:val="13"/>
                <w:szCs w:val="13"/>
                <w:color w:val="auto"/>
              </w:rPr>
              <w:t>Michael P. Quenzer</w:t>
            </w:r>
          </w:p>
        </w:tc>
        <w:tc>
          <w:tcPr>
            <w:tcW w:w="1100" w:type="dxa"/>
            <w:vAlign w:val="bottom"/>
          </w:tcPr>
          <w:p>
            <w:pPr>
              <w:jc w:val="center"/>
              <w:ind w:left="517"/>
              <w:spacing w:after="0"/>
              <w:rPr>
                <w:sz w:val="20"/>
                <w:szCs w:val="20"/>
                <w:color w:val="auto"/>
              </w:rPr>
            </w:pPr>
            <w:r>
              <w:rPr>
                <w:rFonts w:ascii="Arial" w:cs="Arial" w:eastAsia="Arial" w:hAnsi="Arial"/>
                <w:sz w:val="13"/>
                <w:szCs w:val="13"/>
                <w:color w:val="auto"/>
              </w:rPr>
              <w:t>30,000</w:t>
            </w:r>
          </w:p>
        </w:tc>
        <w:tc>
          <w:tcPr>
            <w:tcW w:w="1900" w:type="dxa"/>
            <w:vAlign w:val="bottom"/>
          </w:tcPr>
          <w:p>
            <w:pPr>
              <w:jc w:val="right"/>
              <w:ind w:right="557"/>
              <w:spacing w:after="0"/>
              <w:rPr>
                <w:sz w:val="20"/>
                <w:szCs w:val="20"/>
                <w:color w:val="auto"/>
              </w:rPr>
            </w:pPr>
            <w:r>
              <w:rPr>
                <w:rFonts w:ascii="Arial" w:cs="Arial" w:eastAsia="Arial" w:hAnsi="Arial"/>
                <w:sz w:val="13"/>
                <w:szCs w:val="13"/>
                <w:color w:val="auto"/>
              </w:rPr>
              <w:t>2,556</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780" w:type="dxa"/>
            <w:vAlign w:val="bottom"/>
          </w:tcPr>
          <w:p>
            <w:pPr>
              <w:ind w:left="58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1220" w:type="dxa"/>
            <w:vAlign w:val="bottom"/>
          </w:tcPr>
          <w:p>
            <w:pPr>
              <w:jc w:val="right"/>
              <w:spacing w:after="0"/>
              <w:rPr>
                <w:sz w:val="20"/>
                <w:szCs w:val="20"/>
                <w:color w:val="auto"/>
              </w:rPr>
            </w:pPr>
            <w:r>
              <w:rPr>
                <w:rFonts w:ascii="Arial" w:cs="Arial" w:eastAsia="Arial" w:hAnsi="Arial"/>
                <w:sz w:val="13"/>
                <w:szCs w:val="13"/>
                <w:color w:val="auto"/>
              </w:rPr>
              <w:t>91,262</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123,916</w:t>
            </w:r>
          </w:p>
        </w:tc>
      </w:tr>
      <w:tr>
        <w:trPr>
          <w:trHeight w:val="28"/>
        </w:trPr>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3"/>
        </w:trPr>
        <w:tc>
          <w:tcPr>
            <w:tcW w:w="16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Sarah R. Martin</w:t>
            </w:r>
          </w:p>
        </w:tc>
        <w:tc>
          <w:tcPr>
            <w:tcW w:w="1100" w:type="dxa"/>
            <w:vAlign w:val="bottom"/>
            <w:tcBorders>
              <w:bottom w:val="single" w:sz="8" w:color="F1F2F2"/>
            </w:tcBorders>
            <w:shd w:val="clear" w:color="auto" w:fill="F1F2F2"/>
          </w:tcPr>
          <w:p>
            <w:pPr>
              <w:jc w:val="center"/>
              <w:ind w:left="517"/>
              <w:spacing w:after="0"/>
              <w:rPr>
                <w:sz w:val="20"/>
                <w:szCs w:val="20"/>
                <w:color w:val="auto"/>
              </w:rPr>
            </w:pPr>
            <w:r>
              <w:rPr>
                <w:rFonts w:ascii="Arial" w:cs="Arial" w:eastAsia="Arial" w:hAnsi="Arial"/>
                <w:sz w:val="13"/>
                <w:szCs w:val="13"/>
                <w:color w:val="auto"/>
              </w:rPr>
              <w:t>20,341</w:t>
            </w:r>
          </w:p>
        </w:tc>
        <w:tc>
          <w:tcPr>
            <w:tcW w:w="1900" w:type="dxa"/>
            <w:vAlign w:val="bottom"/>
            <w:tcBorders>
              <w:bottom w:val="single" w:sz="8" w:color="F1F2F2"/>
            </w:tcBorders>
            <w:shd w:val="clear" w:color="auto" w:fill="F1F2F2"/>
          </w:tcPr>
          <w:p>
            <w:pPr>
              <w:jc w:val="right"/>
              <w:ind w:right="557"/>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F1F2F2"/>
            </w:tcBorders>
            <w:shd w:val="clear" w:color="auto" w:fill="F1F2F2"/>
          </w:tcPr>
          <w:p>
            <w:pPr>
              <w:jc w:val="right"/>
              <w:ind w:right="417"/>
              <w:spacing w:after="0"/>
              <w:rPr>
                <w:sz w:val="20"/>
                <w:szCs w:val="20"/>
                <w:color w:val="auto"/>
              </w:rPr>
            </w:pPr>
            <w:r>
              <w:rPr>
                <w:rFonts w:ascii="Arial" w:cs="Arial" w:eastAsia="Arial" w:hAnsi="Arial"/>
                <w:sz w:val="13"/>
                <w:szCs w:val="13"/>
                <w:color w:val="auto"/>
              </w:rPr>
              <w:t>60</w:t>
            </w:r>
          </w:p>
        </w:tc>
        <w:tc>
          <w:tcPr>
            <w:tcW w:w="780" w:type="dxa"/>
            <w:vAlign w:val="bottom"/>
            <w:tcBorders>
              <w:bottom w:val="single" w:sz="8" w:color="F1F2F2"/>
            </w:tcBorders>
            <w:shd w:val="clear" w:color="auto" w:fill="F1F2F2"/>
          </w:tcPr>
          <w:p>
            <w:pPr>
              <w:ind w:left="580"/>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3"/>
                <w:szCs w:val="13"/>
                <w:color w:val="auto"/>
              </w:rPr>
              <w:t>230</w:t>
            </w:r>
          </w:p>
        </w:tc>
        <w:tc>
          <w:tcPr>
            <w:tcW w:w="12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3,409</w:t>
            </w:r>
          </w:p>
        </w:tc>
        <w:tc>
          <w:tcPr>
            <w:tcW w:w="12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24,040</w:t>
            </w:r>
          </w:p>
        </w:tc>
      </w:tr>
      <w:tr>
        <w:trPr>
          <w:trHeight w:val="175"/>
        </w:trPr>
        <w:tc>
          <w:tcPr>
            <w:tcW w:w="1640" w:type="dxa"/>
            <w:vAlign w:val="bottom"/>
          </w:tcPr>
          <w:p>
            <w:pPr>
              <w:ind w:left="100"/>
              <w:spacing w:after="0"/>
              <w:rPr>
                <w:sz w:val="20"/>
                <w:szCs w:val="20"/>
                <w:color w:val="auto"/>
              </w:rPr>
            </w:pPr>
            <w:r>
              <w:rPr>
                <w:rFonts w:ascii="Arial" w:cs="Arial" w:eastAsia="Arial" w:hAnsi="Arial"/>
                <w:sz w:val="13"/>
                <w:szCs w:val="13"/>
                <w:color w:val="auto"/>
              </w:rPr>
              <w:t>Joseph F. Nassab</w:t>
            </w:r>
          </w:p>
        </w:tc>
        <w:tc>
          <w:tcPr>
            <w:tcW w:w="1100" w:type="dxa"/>
            <w:vAlign w:val="bottom"/>
          </w:tcPr>
          <w:p>
            <w:pPr>
              <w:jc w:val="center"/>
              <w:ind w:left="517"/>
              <w:spacing w:after="0"/>
              <w:rPr>
                <w:sz w:val="20"/>
                <w:szCs w:val="20"/>
                <w:color w:val="auto"/>
              </w:rPr>
            </w:pPr>
            <w:r>
              <w:rPr>
                <w:rFonts w:ascii="Arial" w:cs="Arial" w:eastAsia="Arial" w:hAnsi="Arial"/>
                <w:sz w:val="13"/>
                <w:szCs w:val="13"/>
                <w:color w:val="auto"/>
              </w:rPr>
              <w:t>30,000</w:t>
            </w:r>
          </w:p>
        </w:tc>
        <w:tc>
          <w:tcPr>
            <w:tcW w:w="1900" w:type="dxa"/>
            <w:vAlign w:val="bottom"/>
          </w:tcPr>
          <w:p>
            <w:pPr>
              <w:jc w:val="right"/>
              <w:ind w:right="557"/>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417"/>
              <w:spacing w:after="0"/>
              <w:rPr>
                <w:sz w:val="20"/>
                <w:szCs w:val="20"/>
                <w:color w:val="auto"/>
              </w:rPr>
            </w:pPr>
            <w:r>
              <w:rPr>
                <w:rFonts w:ascii="Arial" w:cs="Arial" w:eastAsia="Arial" w:hAnsi="Arial"/>
                <w:sz w:val="13"/>
                <w:szCs w:val="13"/>
                <w:color w:val="auto"/>
              </w:rPr>
              <w:t>1,760</w:t>
            </w:r>
          </w:p>
        </w:tc>
        <w:tc>
          <w:tcPr>
            <w:tcW w:w="780" w:type="dxa"/>
            <w:vAlign w:val="bottom"/>
          </w:tcPr>
          <w:p>
            <w:pPr>
              <w:ind w:left="58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1220" w:type="dxa"/>
            <w:vAlign w:val="bottom"/>
          </w:tcPr>
          <w:p>
            <w:pPr>
              <w:jc w:val="right"/>
              <w:spacing w:after="0"/>
              <w:rPr>
                <w:sz w:val="20"/>
                <w:szCs w:val="20"/>
                <w:color w:val="auto"/>
              </w:rPr>
            </w:pPr>
            <w:r>
              <w:rPr>
                <w:rFonts w:ascii="Arial" w:cs="Arial" w:eastAsia="Arial" w:hAnsi="Arial"/>
                <w:sz w:val="13"/>
                <w:szCs w:val="13"/>
                <w:color w:val="auto"/>
              </w:rPr>
              <w:t>86,896</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118,679</w:t>
            </w:r>
          </w:p>
        </w:tc>
      </w:tr>
      <w:tr>
        <w:trPr>
          <w:trHeight w:val="28"/>
        </w:trPr>
        <w:tc>
          <w:tcPr>
            <w:tcW w:w="1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5"/>
        </w:trPr>
        <w:tc>
          <w:tcPr>
            <w:tcW w:w="1640" w:type="dxa"/>
            <w:vAlign w:val="bottom"/>
            <w:shd w:val="clear" w:color="auto" w:fill="F1F2F2"/>
          </w:tcPr>
          <w:p>
            <w:pPr>
              <w:ind w:left="100"/>
              <w:spacing w:after="0"/>
              <w:rPr>
                <w:sz w:val="20"/>
                <w:szCs w:val="20"/>
                <w:color w:val="auto"/>
              </w:rPr>
            </w:pPr>
            <w:r>
              <w:rPr>
                <w:rFonts w:ascii="Arial" w:cs="Arial" w:eastAsia="Arial" w:hAnsi="Arial"/>
                <w:sz w:val="13"/>
                <w:szCs w:val="13"/>
                <w:color w:val="auto"/>
              </w:rPr>
              <w:t>Daniel M. Sessa</w:t>
            </w:r>
          </w:p>
        </w:tc>
        <w:tc>
          <w:tcPr>
            <w:tcW w:w="1100" w:type="dxa"/>
            <w:vAlign w:val="bottom"/>
            <w:shd w:val="clear" w:color="auto" w:fill="F1F2F2"/>
          </w:tcPr>
          <w:p>
            <w:pPr>
              <w:jc w:val="center"/>
              <w:ind w:left="517"/>
              <w:spacing w:after="0"/>
              <w:rPr>
                <w:sz w:val="20"/>
                <w:szCs w:val="20"/>
                <w:color w:val="auto"/>
              </w:rPr>
            </w:pPr>
            <w:r>
              <w:rPr>
                <w:rFonts w:ascii="Arial" w:cs="Arial" w:eastAsia="Arial" w:hAnsi="Arial"/>
                <w:sz w:val="13"/>
                <w:szCs w:val="13"/>
                <w:color w:val="auto"/>
              </w:rPr>
              <w:t>30,000</w:t>
            </w:r>
          </w:p>
        </w:tc>
        <w:tc>
          <w:tcPr>
            <w:tcW w:w="1900" w:type="dxa"/>
            <w:vAlign w:val="bottom"/>
            <w:shd w:val="clear" w:color="auto" w:fill="F1F2F2"/>
          </w:tcPr>
          <w:p>
            <w:pPr>
              <w:jc w:val="right"/>
              <w:ind w:right="557"/>
              <w:spacing w:after="0"/>
              <w:rPr>
                <w:sz w:val="20"/>
                <w:szCs w:val="20"/>
                <w:color w:val="auto"/>
              </w:rPr>
            </w:pPr>
            <w:r>
              <w:rPr>
                <w:rFonts w:ascii="Arial" w:cs="Arial" w:eastAsia="Arial" w:hAnsi="Arial"/>
                <w:sz w:val="13"/>
                <w:szCs w:val="13"/>
                <w:color w:val="auto"/>
              </w:rPr>
              <w:t>—</w:t>
            </w:r>
          </w:p>
        </w:tc>
        <w:tc>
          <w:tcPr>
            <w:tcW w:w="1340" w:type="dxa"/>
            <w:vAlign w:val="bottom"/>
            <w:shd w:val="clear" w:color="auto" w:fill="F1F2F2"/>
          </w:tcPr>
          <w:p>
            <w:pPr>
              <w:jc w:val="right"/>
              <w:ind w:right="417"/>
              <w:spacing w:after="0"/>
              <w:rPr>
                <w:sz w:val="20"/>
                <w:szCs w:val="20"/>
                <w:color w:val="auto"/>
              </w:rPr>
            </w:pPr>
            <w:r>
              <w:rPr>
                <w:rFonts w:ascii="Arial" w:cs="Arial" w:eastAsia="Arial" w:hAnsi="Arial"/>
                <w:sz w:val="13"/>
                <w:szCs w:val="13"/>
                <w:color w:val="auto"/>
              </w:rPr>
              <w:t>—</w:t>
            </w:r>
          </w:p>
        </w:tc>
        <w:tc>
          <w:tcPr>
            <w:tcW w:w="780" w:type="dxa"/>
            <w:vAlign w:val="bottom"/>
            <w:shd w:val="clear" w:color="auto" w:fill="F1F2F2"/>
          </w:tcPr>
          <w:p>
            <w:pPr>
              <w:ind w:left="580"/>
              <w:spacing w:after="0"/>
              <w:rPr>
                <w:sz w:val="20"/>
                <w:szCs w:val="20"/>
                <w:color w:val="auto"/>
              </w:rPr>
            </w:pPr>
            <w:r>
              <w:rPr>
                <w:rFonts w:ascii="Arial" w:cs="Arial" w:eastAsia="Arial" w:hAnsi="Arial"/>
                <w:sz w:val="13"/>
                <w:szCs w:val="13"/>
                <w:color w:val="auto"/>
              </w:rPr>
              <w:t>—</w:t>
            </w:r>
          </w:p>
        </w:tc>
        <w:tc>
          <w:tcPr>
            <w:tcW w:w="132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23</w:t>
            </w:r>
          </w:p>
        </w:tc>
        <w:tc>
          <w:tcPr>
            <w:tcW w:w="12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21,000</w:t>
            </w:r>
          </w:p>
        </w:tc>
        <w:tc>
          <w:tcPr>
            <w:tcW w:w="12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51,023</w:t>
            </w:r>
          </w:p>
        </w:tc>
      </w:tr>
      <w:tr>
        <w:trPr>
          <w:trHeight w:val="28"/>
        </w:trPr>
        <w:tc>
          <w:tcPr>
            <w:tcW w:w="1640" w:type="dxa"/>
            <w:vAlign w:val="bottom"/>
            <w:shd w:val="clear" w:color="auto" w:fill="F1F2F2"/>
          </w:tcPr>
          <w:p>
            <w:pPr>
              <w:spacing w:after="0"/>
              <w:rPr>
                <w:sz w:val="2"/>
                <w:szCs w:val="2"/>
                <w:color w:val="auto"/>
              </w:rPr>
            </w:pPr>
          </w:p>
        </w:tc>
        <w:tc>
          <w:tcPr>
            <w:tcW w:w="1100" w:type="dxa"/>
            <w:vAlign w:val="bottom"/>
            <w:shd w:val="clear" w:color="auto" w:fill="F1F2F2"/>
          </w:tcPr>
          <w:p>
            <w:pPr>
              <w:spacing w:after="0"/>
              <w:rPr>
                <w:sz w:val="2"/>
                <w:szCs w:val="2"/>
                <w:color w:val="auto"/>
              </w:rPr>
            </w:pPr>
          </w:p>
        </w:tc>
        <w:tc>
          <w:tcPr>
            <w:tcW w:w="1900" w:type="dxa"/>
            <w:vAlign w:val="bottom"/>
            <w:shd w:val="clear" w:color="auto" w:fill="F1F2F2"/>
          </w:tcPr>
          <w:p>
            <w:pPr>
              <w:spacing w:after="0"/>
              <w:rPr>
                <w:sz w:val="2"/>
                <w:szCs w:val="2"/>
                <w:color w:val="auto"/>
              </w:rPr>
            </w:pPr>
          </w:p>
        </w:tc>
        <w:tc>
          <w:tcPr>
            <w:tcW w:w="134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80" w:type="dxa"/>
            <w:vAlign w:val="bottom"/>
            <w:shd w:val="clear" w:color="auto" w:fill="F1F2F2"/>
          </w:tcPr>
          <w:p>
            <w:pPr>
              <w:spacing w:after="0"/>
              <w:rPr>
                <w:sz w:val="2"/>
                <w:szCs w:val="2"/>
                <w:color w:val="auto"/>
              </w:rPr>
            </w:pPr>
          </w:p>
        </w:tc>
        <w:tc>
          <w:tcPr>
            <w:tcW w:w="1240" w:type="dxa"/>
            <w:vAlign w:val="bottom"/>
            <w:shd w:val="clear" w:color="auto" w:fill="F1F2F2"/>
          </w:tcPr>
          <w:p>
            <w:pPr>
              <w:spacing w:after="0"/>
              <w:rPr>
                <w:sz w:val="2"/>
                <w:szCs w:val="2"/>
                <w:color w:val="auto"/>
              </w:rPr>
            </w:pPr>
          </w:p>
        </w:tc>
        <w:tc>
          <w:tcPr>
            <w:tcW w:w="1220" w:type="dxa"/>
            <w:vAlign w:val="bottom"/>
            <w:shd w:val="clear" w:color="auto" w:fill="F1F2F2"/>
          </w:tcPr>
          <w:p>
            <w:pPr>
              <w:spacing w:after="0"/>
              <w:rPr>
                <w:sz w:val="2"/>
                <w:szCs w:val="2"/>
                <w:color w:val="auto"/>
              </w:rPr>
            </w:pPr>
          </w:p>
        </w:tc>
        <w:tc>
          <w:tcPr>
            <w:tcW w:w="1200" w:type="dxa"/>
            <w:vAlign w:val="bottom"/>
            <w:shd w:val="clear" w:color="auto" w:fill="F1F2F2"/>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-1105535</wp:posOffset>
            </wp:positionV>
            <wp:extent cx="4869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50"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values attributable to each item listed above are calculated as follows:</w:t>
      </w:r>
    </w:p>
    <w:p>
      <w:pPr>
        <w:spacing w:after="0" w:line="171" w:lineRule="exact"/>
        <w:rPr>
          <w:sz w:val="20"/>
          <w:szCs w:val="20"/>
          <w:color w:val="auto"/>
        </w:rPr>
      </w:pPr>
    </w:p>
    <w:p>
      <w:pPr>
        <w:ind w:left="652" w:hanging="328"/>
        <w:spacing w:after="0"/>
        <w:tabs>
          <w:tab w:leader="none" w:pos="652"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Stipend </w:t>
      </w:r>
      <w:r>
        <w:rPr>
          <w:rFonts w:ascii="Arial" w:cs="Arial" w:eastAsia="Arial" w:hAnsi="Arial"/>
          <w:sz w:val="18"/>
          <w:szCs w:val="18"/>
          <w:color w:val="auto"/>
        </w:rPr>
        <w:t>— Cash paid to each NEO in lieu of individual perquisites.</w:t>
      </w:r>
    </w:p>
    <w:p>
      <w:pPr>
        <w:spacing w:after="0" w:line="103" w:lineRule="exact"/>
        <w:rPr>
          <w:rFonts w:ascii="Arial" w:cs="Arial" w:eastAsia="Arial" w:hAnsi="Arial"/>
          <w:sz w:val="18"/>
          <w:szCs w:val="18"/>
          <w:i w:val="1"/>
          <w:iCs w:val="1"/>
          <w:color w:val="auto"/>
        </w:rPr>
      </w:pPr>
    </w:p>
    <w:p>
      <w:pPr>
        <w:ind w:left="652" w:right="740" w:hanging="328"/>
        <w:spacing w:after="0" w:line="261" w:lineRule="auto"/>
        <w:tabs>
          <w:tab w:leader="none" w:pos="647"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Company Equipment and Installation </w:t>
      </w:r>
      <w:r>
        <w:rPr>
          <w:rFonts w:ascii="Arial" w:cs="Arial" w:eastAsia="Arial" w:hAnsi="Arial"/>
          <w:sz w:val="18"/>
          <w:szCs w:val="18"/>
          <w:color w:val="auto"/>
        </w:rPr>
        <w:t>— Company equipment is based on the purchase price of the equipment, adjusted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our employee rebate program. Installation of this equipment is based on the cost for installation paid by the Company in 2025.</w:t>
      </w:r>
    </w:p>
    <w:p>
      <w:pPr>
        <w:spacing w:after="0" w:line="53" w:lineRule="exact"/>
        <w:rPr>
          <w:rFonts w:ascii="Arial" w:cs="Arial" w:eastAsia="Arial" w:hAnsi="Arial"/>
          <w:sz w:val="18"/>
          <w:szCs w:val="18"/>
          <w:i w:val="1"/>
          <w:iCs w:val="1"/>
          <w:color w:val="auto"/>
        </w:rPr>
      </w:pPr>
    </w:p>
    <w:p>
      <w:pPr>
        <w:ind w:left="652" w:right="460" w:hanging="328"/>
        <w:spacing w:after="0" w:line="252" w:lineRule="auto"/>
        <w:tabs>
          <w:tab w:leader="none" w:pos="647"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Matching Charitable Contributions </w:t>
      </w:r>
      <w:r>
        <w:rPr>
          <w:rFonts w:ascii="Arial" w:cs="Arial" w:eastAsia="Arial" w:hAnsi="Arial"/>
          <w:sz w:val="18"/>
          <w:szCs w:val="18"/>
          <w:color w:val="auto"/>
        </w:rPr>
        <w:t>— Represents matching contributions to qualified 501(c)(3) charities paid by the LII Lennox</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a private corporate foundation, in 2025. The LII Lennox Foundation matches charitable contributions for full-time employees on a one-for-one basis up to an annual cap ($10,000 in 2025). This also includes volunteer rewards, in which the LII Lennox Foundation provides $50 per hour volunteered to donate back to a qualified non-profit of the employee’s choice.</w:t>
      </w:r>
    </w:p>
    <w:p>
      <w:pPr>
        <w:spacing w:after="0" w:line="62" w:lineRule="exact"/>
        <w:rPr>
          <w:rFonts w:ascii="Arial" w:cs="Arial" w:eastAsia="Arial" w:hAnsi="Arial"/>
          <w:sz w:val="18"/>
          <w:szCs w:val="18"/>
          <w:i w:val="1"/>
          <w:iCs w:val="1"/>
          <w:color w:val="auto"/>
        </w:rPr>
      </w:pPr>
    </w:p>
    <w:p>
      <w:pPr>
        <w:jc w:val="both"/>
        <w:ind w:left="652" w:right="320" w:hanging="328"/>
        <w:spacing w:after="0" w:line="261" w:lineRule="auto"/>
        <w:tabs>
          <w:tab w:leader="none" w:pos="647"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Life Insurance Premiums </w:t>
      </w:r>
      <w:r>
        <w:rPr>
          <w:rFonts w:ascii="Arial" w:cs="Arial" w:eastAsia="Arial" w:hAnsi="Arial"/>
          <w:sz w:val="18"/>
          <w:szCs w:val="18"/>
          <w:color w:val="auto"/>
        </w:rPr>
        <w:t>— The amounts shown are based on the incremental cost paid in 2025 on behalf of each NEO for</w:t>
      </w:r>
      <w:r>
        <w:rPr>
          <w:rFonts w:ascii="Arial" w:cs="Arial" w:eastAsia="Arial" w:hAnsi="Arial"/>
          <w:sz w:val="18"/>
          <w:szCs w:val="18"/>
          <w:i w:val="1"/>
          <w:iCs w:val="1"/>
          <w:color w:val="auto"/>
        </w:rPr>
        <w:t xml:space="preserve"> </w:t>
      </w:r>
      <w:r>
        <w:rPr>
          <w:rFonts w:ascii="Arial" w:cs="Arial" w:eastAsia="Arial" w:hAnsi="Arial"/>
          <w:sz w:val="18"/>
          <w:szCs w:val="18"/>
          <w:color w:val="auto"/>
        </w:rPr>
        <w:t>Basic Life and Basic Accidental Death and Dismemberment over and above the premiums we would otherwise pay under our life insurance program for other employees.</w:t>
      </w:r>
    </w:p>
    <w:p>
      <w:pPr>
        <w:spacing w:after="0" w:line="53" w:lineRule="exact"/>
        <w:rPr>
          <w:rFonts w:ascii="Arial" w:cs="Arial" w:eastAsia="Arial" w:hAnsi="Arial"/>
          <w:sz w:val="18"/>
          <w:szCs w:val="18"/>
          <w:i w:val="1"/>
          <w:iCs w:val="1"/>
          <w:color w:val="auto"/>
        </w:rPr>
      </w:pPr>
    </w:p>
    <w:p>
      <w:pPr>
        <w:ind w:left="652" w:hanging="328"/>
        <w:spacing w:after="0" w:line="251" w:lineRule="auto"/>
        <w:tabs>
          <w:tab w:leader="none" w:pos="647"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Retirement Contributions </w:t>
      </w:r>
      <w:r>
        <w:rPr>
          <w:rFonts w:ascii="Arial" w:cs="Arial" w:eastAsia="Arial" w:hAnsi="Arial"/>
          <w:sz w:val="18"/>
          <w:szCs w:val="18"/>
          <w:color w:val="auto"/>
        </w:rPr>
        <w:t>— Mr. Maskara received $226,501, Mr. Quenzer received $70,262, Ms. Martin received $3,409, and Mr.</w:t>
      </w:r>
      <w:r>
        <w:rPr>
          <w:rFonts w:ascii="Arial" w:cs="Arial" w:eastAsia="Arial" w:hAnsi="Arial"/>
          <w:sz w:val="18"/>
          <w:szCs w:val="18"/>
          <w:i w:val="1"/>
          <w:iCs w:val="1"/>
          <w:color w:val="auto"/>
        </w:rPr>
        <w:t xml:space="preserve"> </w:t>
      </w:r>
      <w:r>
        <w:rPr>
          <w:rFonts w:ascii="Arial" w:cs="Arial" w:eastAsia="Arial" w:hAnsi="Arial"/>
          <w:sz w:val="18"/>
          <w:szCs w:val="18"/>
          <w:color w:val="auto"/>
        </w:rPr>
        <w:t>Nassab received $65,896 in Company contributions made under our nonqualified defined contribution Supplemental Restoration Plan. This nonqualified plan provides market-competitive retirement benefits by providing contributions that could not otherwise occur due to compensation limits under the Code for qualified 401(k) plans. All NEOs other than Ms. Martin received $21,000 in Company contributions made under our qualified 401(k) Plan.</w:t>
      </w:r>
    </w:p>
    <w:p>
      <w:pPr>
        <w:spacing w:after="0" w:line="200" w:lineRule="exact"/>
        <w:rPr>
          <w:sz w:val="20"/>
          <w:szCs w:val="20"/>
          <w:color w:val="auto"/>
        </w:rPr>
      </w:pPr>
    </w:p>
    <w:p>
      <w:pPr>
        <w:spacing w:after="0" w:line="203"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778"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22"/>
          <w:szCs w:val="22"/>
          <w:b w:val="1"/>
          <w:bCs w:val="1"/>
          <w:color w:val="C60C35"/>
        </w:rPr>
        <w:t>2025 Grants of Plan-Based Awards</w:t>
      </w:r>
    </w:p>
    <w:p>
      <w:pPr>
        <w:spacing w:after="0" w:line="5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following table provides information regarding short-term incentive awards and long-term incentive awards (PSUs, RSUs, and SARs) granted under the 2019 Equity and Incentive Compensation Plan to our NEOs in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455"/>
        </w:trPr>
        <w:tc>
          <w:tcPr>
            <w:tcW w:w="800" w:type="dxa"/>
            <w:vAlign w:val="bottom"/>
            <w:shd w:val="clear" w:color="auto" w:fill="C60C35"/>
          </w:tcPr>
          <w:p>
            <w:pPr>
              <w:spacing w:after="0"/>
              <w:rPr>
                <w:sz w:val="24"/>
                <w:szCs w:val="24"/>
                <w:color w:val="auto"/>
              </w:rPr>
            </w:pPr>
          </w:p>
        </w:tc>
        <w:tc>
          <w:tcPr>
            <w:tcW w:w="780" w:type="dxa"/>
            <w:vAlign w:val="bottom"/>
            <w:shd w:val="clear" w:color="auto" w:fill="C60C35"/>
          </w:tcPr>
          <w:p>
            <w:pPr>
              <w:spacing w:after="0"/>
              <w:rPr>
                <w:sz w:val="24"/>
                <w:szCs w:val="24"/>
                <w:color w:val="auto"/>
              </w:rPr>
            </w:pPr>
          </w:p>
        </w:tc>
        <w:tc>
          <w:tcPr>
            <w:tcW w:w="780" w:type="dxa"/>
            <w:vAlign w:val="bottom"/>
            <w:shd w:val="clear" w:color="auto" w:fill="C60C35"/>
          </w:tcPr>
          <w:p>
            <w:pPr>
              <w:spacing w:after="0"/>
              <w:rPr>
                <w:sz w:val="24"/>
                <w:szCs w:val="24"/>
                <w:color w:val="auto"/>
              </w:rPr>
            </w:pPr>
          </w:p>
        </w:tc>
        <w:tc>
          <w:tcPr>
            <w:tcW w:w="880" w:type="dxa"/>
            <w:vAlign w:val="bottom"/>
            <w:shd w:val="clear" w:color="auto" w:fill="C60C35"/>
          </w:tcPr>
          <w:p>
            <w:pPr>
              <w:spacing w:after="0"/>
              <w:rPr>
                <w:sz w:val="24"/>
                <w:szCs w:val="24"/>
                <w:color w:val="auto"/>
              </w:rPr>
            </w:pPr>
          </w:p>
        </w:tc>
        <w:tc>
          <w:tcPr>
            <w:tcW w:w="800" w:type="dxa"/>
            <w:vAlign w:val="bottom"/>
            <w:shd w:val="clear" w:color="auto" w:fill="C60C35"/>
          </w:tcPr>
          <w:p>
            <w:pPr>
              <w:spacing w:after="0"/>
              <w:rPr>
                <w:sz w:val="24"/>
                <w:szCs w:val="24"/>
                <w:color w:val="auto"/>
              </w:rPr>
            </w:pPr>
          </w:p>
        </w:tc>
        <w:tc>
          <w:tcPr>
            <w:tcW w:w="140" w:type="dxa"/>
            <w:vAlign w:val="bottom"/>
            <w:shd w:val="clear" w:color="auto" w:fill="C60C35"/>
          </w:tcPr>
          <w:p>
            <w:pPr>
              <w:spacing w:after="0"/>
              <w:rPr>
                <w:sz w:val="24"/>
                <w:szCs w:val="24"/>
                <w:color w:val="auto"/>
              </w:rPr>
            </w:pPr>
          </w:p>
        </w:tc>
        <w:tc>
          <w:tcPr>
            <w:tcW w:w="660" w:type="dxa"/>
            <w:vAlign w:val="bottom"/>
            <w:shd w:val="clear" w:color="auto" w:fill="C60C35"/>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2"/>
            <w:vMerge w:val="restart"/>
            <w:shd w:val="clear" w:color="auto" w:fill="C60C35"/>
          </w:tcPr>
          <w:p>
            <w:pPr>
              <w:jc w:val="center"/>
              <w:ind w:left="417"/>
              <w:spacing w:after="0"/>
              <w:rPr>
                <w:sz w:val="20"/>
                <w:szCs w:val="20"/>
                <w:color w:val="auto"/>
              </w:rPr>
            </w:pPr>
            <w:r>
              <w:rPr>
                <w:rFonts w:ascii="Arial" w:cs="Arial" w:eastAsia="Arial" w:hAnsi="Arial"/>
                <w:sz w:val="13"/>
                <w:szCs w:val="13"/>
                <w:b w:val="1"/>
                <w:bCs w:val="1"/>
                <w:color w:val="FFFFFF"/>
                <w:w w:val="96"/>
              </w:rPr>
              <w:t>Estimated Future</w:t>
            </w:r>
          </w:p>
        </w:tc>
        <w:tc>
          <w:tcPr>
            <w:tcW w:w="480" w:type="dxa"/>
            <w:vAlign w:val="bottom"/>
            <w:shd w:val="clear" w:color="auto" w:fill="C60C35"/>
          </w:tcPr>
          <w:p>
            <w:pPr>
              <w:spacing w:after="0"/>
              <w:rPr>
                <w:sz w:val="24"/>
                <w:szCs w:val="24"/>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All Other</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All Other</w:t>
            </w:r>
          </w:p>
        </w:tc>
        <w:tc>
          <w:tcPr>
            <w:tcW w:w="800" w:type="dxa"/>
            <w:vAlign w:val="bottom"/>
            <w:shd w:val="clear" w:color="auto" w:fill="C60C35"/>
          </w:tcPr>
          <w:p>
            <w:pPr>
              <w:spacing w:after="0"/>
              <w:rPr>
                <w:sz w:val="24"/>
                <w:szCs w:val="24"/>
                <w:color w:val="auto"/>
              </w:rPr>
            </w:pPr>
          </w:p>
        </w:tc>
        <w:tc>
          <w:tcPr>
            <w:tcW w:w="700" w:type="dxa"/>
            <w:vAlign w:val="bottom"/>
            <w:shd w:val="clear" w:color="auto" w:fill="C60C35"/>
          </w:tcPr>
          <w:p>
            <w:pPr>
              <w:spacing w:after="0"/>
              <w:rPr>
                <w:sz w:val="24"/>
                <w:szCs w:val="24"/>
                <w:color w:val="auto"/>
              </w:rPr>
            </w:pP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Grant</w:t>
            </w:r>
          </w:p>
        </w:tc>
        <w:tc>
          <w:tcPr>
            <w:tcW w:w="100" w:type="dxa"/>
            <w:vAlign w:val="bottom"/>
            <w:shd w:val="clear" w:color="auto" w:fill="C60C35"/>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800" w:type="dxa"/>
            <w:vAlign w:val="bottom"/>
            <w:shd w:val="clear" w:color="auto" w:fill="C60C35"/>
          </w:tcPr>
          <w:p>
            <w:pPr>
              <w:spacing w:after="0"/>
              <w:rPr>
                <w:sz w:val="12"/>
                <w:szCs w:val="12"/>
                <w:color w:val="auto"/>
              </w:rPr>
            </w:pPr>
          </w:p>
        </w:tc>
        <w:tc>
          <w:tcPr>
            <w:tcW w:w="140" w:type="dxa"/>
            <w:vAlign w:val="bottom"/>
            <w:shd w:val="clear" w:color="auto" w:fill="C60C35"/>
          </w:tcPr>
          <w:p>
            <w:pPr>
              <w:spacing w:after="0"/>
              <w:rPr>
                <w:sz w:val="12"/>
                <w:szCs w:val="12"/>
                <w:color w:val="auto"/>
              </w:rPr>
            </w:pPr>
          </w:p>
        </w:tc>
        <w:tc>
          <w:tcPr>
            <w:tcW w:w="660" w:type="dxa"/>
            <w:vAlign w:val="bottom"/>
            <w:shd w:val="clear" w:color="auto" w:fill="C60C35"/>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continue"/>
            <w:shd w:val="clear" w:color="auto" w:fill="C60C35"/>
          </w:tcPr>
          <w:p>
            <w:pPr>
              <w:spacing w:after="0"/>
              <w:rPr>
                <w:sz w:val="12"/>
                <w:szCs w:val="12"/>
                <w:color w:val="auto"/>
              </w:rPr>
            </w:pPr>
          </w:p>
        </w:tc>
        <w:tc>
          <w:tcPr>
            <w:tcW w:w="480" w:type="dxa"/>
            <w:vAlign w:val="bottom"/>
            <w:shd w:val="clear" w:color="auto" w:fill="C60C35"/>
          </w:tcPr>
          <w:p>
            <w:pPr>
              <w:spacing w:after="0"/>
              <w:rPr>
                <w:sz w:val="12"/>
                <w:szCs w:val="12"/>
                <w:color w:val="auto"/>
              </w:rPr>
            </w:pPr>
          </w:p>
        </w:tc>
        <w:tc>
          <w:tcPr>
            <w:tcW w:w="780" w:type="dxa"/>
            <w:vAlign w:val="bottom"/>
            <w:shd w:val="clear" w:color="auto" w:fill="C60C35"/>
          </w:tcPr>
          <w:p>
            <w:pPr>
              <w:jc w:val="right"/>
              <w:spacing w:after="0" w:line="139" w:lineRule="exact"/>
              <w:rPr>
                <w:sz w:val="20"/>
                <w:szCs w:val="20"/>
                <w:color w:val="auto"/>
              </w:rPr>
            </w:pPr>
            <w:r>
              <w:rPr>
                <w:rFonts w:ascii="Arial" w:cs="Arial" w:eastAsia="Arial" w:hAnsi="Arial"/>
                <w:sz w:val="13"/>
                <w:szCs w:val="13"/>
                <w:b w:val="1"/>
                <w:bCs w:val="1"/>
                <w:color w:val="FFFFFF"/>
              </w:rPr>
              <w:t>Stock</w:t>
            </w:r>
          </w:p>
        </w:tc>
        <w:tc>
          <w:tcPr>
            <w:tcW w:w="1140" w:type="dxa"/>
            <w:vAlign w:val="bottom"/>
            <w:shd w:val="clear" w:color="auto" w:fill="C60C35"/>
          </w:tcPr>
          <w:p>
            <w:pPr>
              <w:jc w:val="right"/>
              <w:ind w:right="97"/>
              <w:spacing w:after="0" w:line="139" w:lineRule="exact"/>
              <w:rPr>
                <w:sz w:val="20"/>
                <w:szCs w:val="20"/>
                <w:color w:val="auto"/>
              </w:rPr>
            </w:pPr>
            <w:r>
              <w:rPr>
                <w:rFonts w:ascii="Arial" w:cs="Arial" w:eastAsia="Arial" w:hAnsi="Arial"/>
                <w:sz w:val="13"/>
                <w:szCs w:val="13"/>
                <w:b w:val="1"/>
                <w:bCs w:val="1"/>
                <w:color w:val="FFFFFF"/>
              </w:rPr>
              <w:t>Option</w:t>
            </w:r>
          </w:p>
        </w:tc>
        <w:tc>
          <w:tcPr>
            <w:tcW w:w="800" w:type="dxa"/>
            <w:vAlign w:val="bottom"/>
            <w:shd w:val="clear" w:color="auto" w:fill="C60C35"/>
          </w:tcPr>
          <w:p>
            <w:pPr>
              <w:spacing w:after="0"/>
              <w:rPr>
                <w:sz w:val="12"/>
                <w:szCs w:val="12"/>
                <w:color w:val="auto"/>
              </w:rPr>
            </w:pPr>
          </w:p>
        </w:tc>
        <w:tc>
          <w:tcPr>
            <w:tcW w:w="700" w:type="dxa"/>
            <w:vAlign w:val="bottom"/>
            <w:shd w:val="clear" w:color="auto" w:fill="C60C35"/>
          </w:tcPr>
          <w:p>
            <w:pPr>
              <w:jc w:val="right"/>
              <w:ind w:right="57"/>
              <w:spacing w:after="0" w:line="139" w:lineRule="exact"/>
              <w:rPr>
                <w:sz w:val="20"/>
                <w:szCs w:val="20"/>
                <w:color w:val="auto"/>
              </w:rPr>
            </w:pPr>
            <w:r>
              <w:rPr>
                <w:rFonts w:ascii="Arial" w:cs="Arial" w:eastAsia="Arial" w:hAnsi="Arial"/>
                <w:sz w:val="13"/>
                <w:szCs w:val="13"/>
                <w:b w:val="1"/>
                <w:bCs w:val="1"/>
                <w:color w:val="FFFFFF"/>
              </w:rPr>
              <w:t>Closing</w:t>
            </w:r>
          </w:p>
        </w:tc>
        <w:tc>
          <w:tcPr>
            <w:tcW w:w="720" w:type="dxa"/>
            <w:vAlign w:val="bottom"/>
            <w:shd w:val="clear" w:color="auto" w:fill="C60C35"/>
          </w:tcPr>
          <w:p>
            <w:pPr>
              <w:jc w:val="right"/>
              <w:spacing w:after="0" w:line="139" w:lineRule="exact"/>
              <w:rPr>
                <w:sz w:val="20"/>
                <w:szCs w:val="20"/>
                <w:color w:val="auto"/>
              </w:rPr>
            </w:pPr>
            <w:r>
              <w:rPr>
                <w:rFonts w:ascii="Arial" w:cs="Arial" w:eastAsia="Arial" w:hAnsi="Arial"/>
                <w:sz w:val="13"/>
                <w:szCs w:val="13"/>
                <w:b w:val="1"/>
                <w:bCs w:val="1"/>
                <w:color w:val="FFFFFF"/>
              </w:rPr>
              <w:t>Date Fair</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2480" w:type="dxa"/>
            <w:vAlign w:val="bottom"/>
            <w:gridSpan w:val="4"/>
            <w:shd w:val="clear" w:color="auto" w:fill="C60C35"/>
          </w:tcPr>
          <w:p>
            <w:pPr>
              <w:jc w:val="center"/>
              <w:spacing w:after="0"/>
              <w:rPr>
                <w:sz w:val="20"/>
                <w:szCs w:val="20"/>
                <w:color w:val="auto"/>
              </w:rPr>
            </w:pPr>
            <w:r>
              <w:rPr>
                <w:rFonts w:ascii="Arial" w:cs="Arial" w:eastAsia="Arial" w:hAnsi="Arial"/>
                <w:sz w:val="13"/>
                <w:szCs w:val="13"/>
                <w:b w:val="1"/>
                <w:bCs w:val="1"/>
                <w:color w:val="FFFFFF"/>
                <w:w w:val="96"/>
              </w:rPr>
              <w:t>Estimated Possible Payouts</w:t>
            </w:r>
          </w:p>
        </w:tc>
        <w:tc>
          <w:tcPr>
            <w:tcW w:w="100" w:type="dxa"/>
            <w:vAlign w:val="bottom"/>
          </w:tcPr>
          <w:p>
            <w:pPr>
              <w:spacing w:after="0"/>
              <w:rPr>
                <w:sz w:val="12"/>
                <w:szCs w:val="12"/>
                <w:color w:val="auto"/>
              </w:rPr>
            </w:pPr>
          </w:p>
        </w:tc>
        <w:tc>
          <w:tcPr>
            <w:tcW w:w="2060" w:type="dxa"/>
            <w:vAlign w:val="bottom"/>
            <w:gridSpan w:val="3"/>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Payouts Under Equity Incentive</w:t>
            </w: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Awards:</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8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Exercise</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Market</w:t>
            </w: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Value of</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1820" w:type="dxa"/>
            <w:vAlign w:val="bottom"/>
            <w:gridSpan w:val="3"/>
            <w:shd w:val="clear" w:color="auto" w:fill="C60C35"/>
          </w:tcPr>
          <w:p>
            <w:pPr>
              <w:jc w:val="center"/>
              <w:ind w:left="597"/>
              <w:spacing w:after="0"/>
              <w:rPr>
                <w:sz w:val="20"/>
                <w:szCs w:val="20"/>
                <w:color w:val="auto"/>
              </w:rPr>
            </w:pPr>
            <w:r>
              <w:rPr>
                <w:rFonts w:ascii="Arial" w:cs="Arial" w:eastAsia="Arial" w:hAnsi="Arial"/>
                <w:sz w:val="13"/>
                <w:szCs w:val="13"/>
                <w:b w:val="1"/>
                <w:bCs w:val="1"/>
                <w:color w:val="FFFFFF"/>
                <w:w w:val="97"/>
              </w:rPr>
              <w:t>Under Non-Equity</w:t>
            </w:r>
          </w:p>
        </w:tc>
        <w:tc>
          <w:tcPr>
            <w:tcW w:w="660" w:type="dxa"/>
            <w:vAlign w:val="bottom"/>
            <w:shd w:val="clear" w:color="auto" w:fill="C60C35"/>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700" w:type="dxa"/>
            <w:vAlign w:val="bottom"/>
            <w:shd w:val="clear" w:color="auto" w:fill="C60C35"/>
          </w:tcPr>
          <w:p>
            <w:pPr>
              <w:jc w:val="center"/>
              <w:ind w:right="337"/>
              <w:spacing w:after="0"/>
              <w:rPr>
                <w:sz w:val="20"/>
                <w:szCs w:val="20"/>
                <w:color w:val="auto"/>
              </w:rPr>
            </w:pPr>
            <w:r>
              <w:rPr>
                <w:rFonts w:ascii="Arial" w:cs="Arial" w:eastAsia="Arial" w:hAnsi="Arial"/>
                <w:sz w:val="13"/>
                <w:szCs w:val="13"/>
                <w:b w:val="1"/>
                <w:bCs w:val="1"/>
                <w:color w:val="FFFFFF"/>
                <w:w w:val="94"/>
              </w:rPr>
              <w:t>Plan</w:t>
            </w:r>
          </w:p>
        </w:tc>
        <w:tc>
          <w:tcPr>
            <w:tcW w:w="480" w:type="dxa"/>
            <w:vAlign w:val="bottom"/>
            <w:shd w:val="clear" w:color="auto" w:fill="C60C35"/>
          </w:tcPr>
          <w:p>
            <w:pPr>
              <w:spacing w:after="0"/>
              <w:rPr>
                <w:sz w:val="12"/>
                <w:szCs w:val="12"/>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Number of</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Number of</w:t>
            </w:r>
          </w:p>
        </w:tc>
        <w:tc>
          <w:tcPr>
            <w:tcW w:w="800" w:type="dxa"/>
            <w:vAlign w:val="bottom"/>
            <w:shd w:val="clear" w:color="auto" w:fill="C60C35"/>
          </w:tcPr>
          <w:p>
            <w:pPr>
              <w:jc w:val="center"/>
              <w:ind w:left="37"/>
              <w:spacing w:after="0"/>
              <w:rPr>
                <w:sz w:val="20"/>
                <w:szCs w:val="20"/>
                <w:color w:val="auto"/>
              </w:rPr>
            </w:pPr>
            <w:r>
              <w:rPr>
                <w:rFonts w:ascii="Arial" w:cs="Arial" w:eastAsia="Arial" w:hAnsi="Arial"/>
                <w:sz w:val="13"/>
                <w:szCs w:val="13"/>
                <w:b w:val="1"/>
                <w:bCs w:val="1"/>
                <w:color w:val="FFFFFF"/>
                <w:w w:val="96"/>
              </w:rPr>
              <w:t>or Base</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Price</w:t>
            </w: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Stock</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 w:type="dxa"/>
            <w:vAlign w:val="bottom"/>
            <w:shd w:val="clear" w:color="auto" w:fill="C60C35"/>
          </w:tcPr>
          <w:p>
            <w:pPr>
              <w:spacing w:after="0"/>
              <w:rPr>
                <w:sz w:val="14"/>
                <w:szCs w:val="14"/>
                <w:color w:val="auto"/>
              </w:rPr>
            </w:pPr>
          </w:p>
        </w:tc>
        <w:tc>
          <w:tcPr>
            <w:tcW w:w="780" w:type="dxa"/>
            <w:vAlign w:val="bottom"/>
            <w:shd w:val="clear" w:color="auto" w:fill="C60C35"/>
          </w:tcPr>
          <w:p>
            <w:pPr>
              <w:spacing w:after="0"/>
              <w:rPr>
                <w:sz w:val="14"/>
                <w:szCs w:val="14"/>
                <w:color w:val="auto"/>
              </w:rPr>
            </w:pPr>
          </w:p>
        </w:tc>
        <w:tc>
          <w:tcPr>
            <w:tcW w:w="780" w:type="dxa"/>
            <w:vAlign w:val="bottom"/>
            <w:shd w:val="clear" w:color="auto" w:fill="C60C35"/>
          </w:tcPr>
          <w:p>
            <w:pPr>
              <w:spacing w:after="0"/>
              <w:rPr>
                <w:sz w:val="14"/>
                <w:szCs w:val="14"/>
                <w:color w:val="auto"/>
              </w:rPr>
            </w:pPr>
          </w:p>
        </w:tc>
        <w:tc>
          <w:tcPr>
            <w:tcW w:w="2480" w:type="dxa"/>
            <w:vAlign w:val="bottom"/>
            <w:gridSpan w:val="4"/>
            <w:shd w:val="clear" w:color="auto" w:fill="C60C35"/>
          </w:tcPr>
          <w:p>
            <w:pPr>
              <w:jc w:val="center"/>
              <w:spacing w:after="0" w:line="171" w:lineRule="exact"/>
              <w:rPr>
                <w:sz w:val="20"/>
                <w:szCs w:val="20"/>
                <w:color w:val="auto"/>
              </w:rPr>
            </w:pPr>
            <w:r>
              <w:rPr>
                <w:rFonts w:ascii="Arial" w:cs="Arial" w:eastAsia="Arial" w:hAnsi="Arial"/>
                <w:sz w:val="13"/>
                <w:szCs w:val="13"/>
                <w:b w:val="1"/>
                <w:bCs w:val="1"/>
                <w:color w:val="FFFFFF"/>
                <w:w w:val="95"/>
              </w:rPr>
              <w:t>Incentive Plan Awards</w:t>
            </w:r>
            <w:r>
              <w:rPr>
                <w:rFonts w:ascii="Arial" w:cs="Arial" w:eastAsia="Arial" w:hAnsi="Arial"/>
                <w:sz w:val="16"/>
                <w:szCs w:val="16"/>
                <w:b w:val="1"/>
                <w:bCs w:val="1"/>
                <w:color w:val="FFFFFF"/>
                <w:w w:val="95"/>
                <w:vertAlign w:val="superscript"/>
              </w:rPr>
              <w:t>(1)</w:t>
            </w:r>
          </w:p>
        </w:tc>
        <w:tc>
          <w:tcPr>
            <w:tcW w:w="100" w:type="dxa"/>
            <w:vAlign w:val="bottom"/>
          </w:tcPr>
          <w:p>
            <w:pPr>
              <w:spacing w:after="0"/>
              <w:rPr>
                <w:sz w:val="14"/>
                <w:szCs w:val="14"/>
                <w:color w:val="auto"/>
              </w:rPr>
            </w:pPr>
          </w:p>
        </w:tc>
        <w:tc>
          <w:tcPr>
            <w:tcW w:w="1580" w:type="dxa"/>
            <w:vAlign w:val="bottom"/>
            <w:gridSpan w:val="2"/>
            <w:shd w:val="clear" w:color="auto" w:fill="C60C35"/>
          </w:tcPr>
          <w:p>
            <w:pPr>
              <w:jc w:val="center"/>
              <w:ind w:left="417"/>
              <w:spacing w:after="0" w:line="171" w:lineRule="exact"/>
              <w:rPr>
                <w:sz w:val="20"/>
                <w:szCs w:val="20"/>
                <w:color w:val="auto"/>
              </w:rPr>
            </w:pPr>
            <w:r>
              <w:rPr>
                <w:rFonts w:ascii="Arial" w:cs="Arial" w:eastAsia="Arial" w:hAnsi="Arial"/>
                <w:sz w:val="13"/>
                <w:szCs w:val="13"/>
                <w:b w:val="1"/>
                <w:bCs w:val="1"/>
                <w:color w:val="FFFFFF"/>
                <w:w w:val="89"/>
              </w:rPr>
              <w:t>Awards</w:t>
            </w:r>
            <w:r>
              <w:rPr>
                <w:rFonts w:ascii="Arial" w:cs="Arial" w:eastAsia="Arial" w:hAnsi="Arial"/>
                <w:sz w:val="16"/>
                <w:szCs w:val="16"/>
                <w:b w:val="1"/>
                <w:bCs w:val="1"/>
                <w:color w:val="FFFFFF"/>
                <w:w w:val="89"/>
                <w:vertAlign w:val="superscript"/>
              </w:rPr>
              <w:t>(2)</w:t>
            </w:r>
          </w:p>
        </w:tc>
        <w:tc>
          <w:tcPr>
            <w:tcW w:w="480" w:type="dxa"/>
            <w:vAlign w:val="bottom"/>
            <w:shd w:val="clear" w:color="auto" w:fill="C60C35"/>
          </w:tcPr>
          <w:p>
            <w:pPr>
              <w:spacing w:after="0"/>
              <w:rPr>
                <w:sz w:val="14"/>
                <w:szCs w:val="14"/>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Shares</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Securities</w:t>
            </w:r>
          </w:p>
        </w:tc>
        <w:tc>
          <w:tcPr>
            <w:tcW w:w="800" w:type="dxa"/>
            <w:vAlign w:val="bottom"/>
            <w:shd w:val="clear" w:color="auto" w:fill="C60C35"/>
          </w:tcPr>
          <w:p>
            <w:pPr>
              <w:jc w:val="center"/>
              <w:ind w:left="37"/>
              <w:spacing w:after="0"/>
              <w:rPr>
                <w:sz w:val="20"/>
                <w:szCs w:val="20"/>
                <w:color w:val="auto"/>
              </w:rPr>
            </w:pPr>
            <w:r>
              <w:rPr>
                <w:rFonts w:ascii="Arial" w:cs="Arial" w:eastAsia="Arial" w:hAnsi="Arial"/>
                <w:sz w:val="13"/>
                <w:szCs w:val="13"/>
                <w:b w:val="1"/>
                <w:bCs w:val="1"/>
                <w:color w:val="FFFFFF"/>
                <w:w w:val="96"/>
              </w:rPr>
              <w:t>Price of</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on Date</w:t>
            </w: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and</w:t>
            </w:r>
          </w:p>
        </w:tc>
        <w:tc>
          <w:tcPr>
            <w:tcW w:w="10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spacing w:after="0"/>
              <w:rPr>
                <w:sz w:val="12"/>
                <w:szCs w:val="12"/>
                <w:color w:val="auto"/>
              </w:rPr>
            </w:pPr>
          </w:p>
        </w:tc>
        <w:tc>
          <w:tcPr>
            <w:tcW w:w="7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rPr>
              <w:t>Board</w:t>
            </w:r>
          </w:p>
        </w:tc>
        <w:tc>
          <w:tcPr>
            <w:tcW w:w="880" w:type="dxa"/>
            <w:vAlign w:val="bottom"/>
            <w:shd w:val="clear" w:color="auto" w:fill="C60C35"/>
          </w:tcPr>
          <w:p>
            <w:pPr>
              <w:spacing w:after="0"/>
              <w:rPr>
                <w:sz w:val="12"/>
                <w:szCs w:val="12"/>
                <w:color w:val="auto"/>
              </w:rPr>
            </w:pPr>
          </w:p>
        </w:tc>
        <w:tc>
          <w:tcPr>
            <w:tcW w:w="800" w:type="dxa"/>
            <w:vAlign w:val="bottom"/>
            <w:shd w:val="clear" w:color="auto" w:fill="C60C35"/>
          </w:tcPr>
          <w:p>
            <w:pPr>
              <w:spacing w:after="0"/>
              <w:rPr>
                <w:sz w:val="12"/>
                <w:szCs w:val="12"/>
                <w:color w:val="auto"/>
              </w:rPr>
            </w:pPr>
          </w:p>
        </w:tc>
        <w:tc>
          <w:tcPr>
            <w:tcW w:w="140" w:type="dxa"/>
            <w:vAlign w:val="bottom"/>
            <w:shd w:val="clear" w:color="auto" w:fill="C60C35"/>
          </w:tcPr>
          <w:p>
            <w:pPr>
              <w:spacing w:after="0"/>
              <w:rPr>
                <w:sz w:val="12"/>
                <w:szCs w:val="12"/>
                <w:color w:val="auto"/>
              </w:rPr>
            </w:pPr>
          </w:p>
        </w:tc>
        <w:tc>
          <w:tcPr>
            <w:tcW w:w="660" w:type="dxa"/>
            <w:vAlign w:val="bottom"/>
            <w:shd w:val="clear" w:color="auto" w:fill="C60C35"/>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700" w:type="dxa"/>
            <w:vAlign w:val="bottom"/>
            <w:shd w:val="clear" w:color="auto" w:fill="C60C35"/>
          </w:tcPr>
          <w:p>
            <w:pPr>
              <w:spacing w:after="0"/>
              <w:rPr>
                <w:sz w:val="12"/>
                <w:szCs w:val="12"/>
                <w:color w:val="auto"/>
              </w:rPr>
            </w:pPr>
          </w:p>
        </w:tc>
        <w:tc>
          <w:tcPr>
            <w:tcW w:w="480" w:type="dxa"/>
            <w:vAlign w:val="bottom"/>
            <w:shd w:val="clear" w:color="auto" w:fill="C60C35"/>
          </w:tcPr>
          <w:p>
            <w:pPr>
              <w:spacing w:after="0"/>
              <w:rPr>
                <w:sz w:val="12"/>
                <w:szCs w:val="12"/>
                <w:color w:val="auto"/>
              </w:rPr>
            </w:pP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of Stock</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Underlying</w:t>
            </w:r>
          </w:p>
        </w:tc>
        <w:tc>
          <w:tcPr>
            <w:tcW w:w="8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Option</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of</w:t>
            </w: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Option</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shd w:val="clear" w:color="auto" w:fill="C60C35"/>
          </w:tcPr>
          <w:p>
            <w:pPr>
              <w:spacing w:after="0"/>
              <w:rPr>
                <w:sz w:val="12"/>
                <w:szCs w:val="12"/>
                <w:color w:val="auto"/>
              </w:rPr>
            </w:pPr>
          </w:p>
        </w:tc>
        <w:tc>
          <w:tcPr>
            <w:tcW w:w="7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7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5"/>
              </w:rPr>
              <w:t>Approval</w:t>
            </w:r>
          </w:p>
        </w:tc>
        <w:tc>
          <w:tcPr>
            <w:tcW w:w="8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Threshold</w:t>
            </w:r>
          </w:p>
        </w:tc>
        <w:tc>
          <w:tcPr>
            <w:tcW w:w="8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Target</w:t>
            </w:r>
          </w:p>
        </w:tc>
        <w:tc>
          <w:tcPr>
            <w:tcW w:w="140" w:type="dxa"/>
            <w:vAlign w:val="bottom"/>
            <w:shd w:val="clear" w:color="auto" w:fill="C60C35"/>
          </w:tcPr>
          <w:p>
            <w:pPr>
              <w:spacing w:after="0"/>
              <w:rPr>
                <w:sz w:val="12"/>
                <w:szCs w:val="12"/>
                <w:color w:val="auto"/>
              </w:rPr>
            </w:pPr>
          </w:p>
        </w:tc>
        <w:tc>
          <w:tcPr>
            <w:tcW w:w="66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Max.</w:t>
            </w:r>
          </w:p>
        </w:tc>
        <w:tc>
          <w:tcPr>
            <w:tcW w:w="100" w:type="dxa"/>
            <w:vAlign w:val="bottom"/>
          </w:tcPr>
          <w:p>
            <w:pPr>
              <w:spacing w:after="0"/>
              <w:rPr>
                <w:sz w:val="12"/>
                <w:szCs w:val="12"/>
                <w:color w:val="auto"/>
              </w:rPr>
            </w:pPr>
          </w:p>
        </w:tc>
        <w:tc>
          <w:tcPr>
            <w:tcW w:w="8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Threshold</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Target</w:t>
            </w:r>
          </w:p>
        </w:tc>
        <w:tc>
          <w:tcPr>
            <w:tcW w:w="4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Max.</w:t>
            </w:r>
          </w:p>
        </w:tc>
        <w:tc>
          <w:tcPr>
            <w:tcW w:w="7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or Units</w:t>
            </w:r>
          </w:p>
        </w:tc>
        <w:tc>
          <w:tcPr>
            <w:tcW w:w="11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Options</w:t>
            </w:r>
          </w:p>
        </w:tc>
        <w:tc>
          <w:tcPr>
            <w:tcW w:w="800" w:type="dxa"/>
            <w:vAlign w:val="bottom"/>
            <w:shd w:val="clear" w:color="auto" w:fill="C60C35"/>
          </w:tcPr>
          <w:p>
            <w:pPr>
              <w:jc w:val="center"/>
              <w:ind w:left="37"/>
              <w:spacing w:after="0"/>
              <w:rPr>
                <w:sz w:val="20"/>
                <w:szCs w:val="20"/>
                <w:color w:val="auto"/>
              </w:rPr>
            </w:pPr>
            <w:r>
              <w:rPr>
                <w:rFonts w:ascii="Arial" w:cs="Arial" w:eastAsia="Arial" w:hAnsi="Arial"/>
                <w:sz w:val="13"/>
                <w:szCs w:val="13"/>
                <w:b w:val="1"/>
                <w:bCs w:val="1"/>
                <w:color w:val="FFFFFF"/>
                <w:w w:val="97"/>
              </w:rPr>
              <w:t>Awards</w:t>
            </w:r>
          </w:p>
        </w:tc>
        <w:tc>
          <w:tcPr>
            <w:tcW w:w="7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Grant</w:t>
            </w:r>
          </w:p>
        </w:tc>
        <w:tc>
          <w:tcPr>
            <w:tcW w:w="7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Awards</w:t>
            </w:r>
          </w:p>
        </w:tc>
        <w:tc>
          <w:tcPr>
            <w:tcW w:w="100" w:type="dxa"/>
            <w:vAlign w:val="bottom"/>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800" w:type="dxa"/>
            <w:vAlign w:val="bottom"/>
            <w:tcBorders>
              <w:bottom w:val="single" w:sz="8" w:color="C60C35"/>
            </w:tcBorders>
            <w:shd w:val="clear" w:color="auto" w:fill="C60C35"/>
          </w:tcPr>
          <w:p>
            <w:pPr>
              <w:ind w:left="20"/>
              <w:spacing w:after="0"/>
              <w:rPr>
                <w:sz w:val="20"/>
                <w:szCs w:val="20"/>
                <w:color w:val="auto"/>
              </w:rPr>
            </w:pPr>
            <w:r>
              <w:rPr>
                <w:rFonts w:ascii="Arial" w:cs="Arial" w:eastAsia="Arial" w:hAnsi="Arial"/>
                <w:sz w:val="13"/>
                <w:szCs w:val="13"/>
                <w:b w:val="1"/>
                <w:bCs w:val="1"/>
                <w:color w:val="FFFFFF"/>
              </w:rPr>
              <w:t>Name</w:t>
            </w:r>
          </w:p>
        </w:tc>
        <w:tc>
          <w:tcPr>
            <w:tcW w:w="7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9"/>
              </w:rPr>
              <w:t>Date</w:t>
            </w:r>
          </w:p>
        </w:tc>
        <w:tc>
          <w:tcPr>
            <w:tcW w:w="780" w:type="dxa"/>
            <w:vAlign w:val="bottom"/>
            <w:tcBorders>
              <w:bottom w:val="single" w:sz="8" w:color="C60C35"/>
            </w:tcBorders>
            <w:shd w:val="clear" w:color="auto" w:fill="C60C35"/>
          </w:tcPr>
          <w:p>
            <w:pPr>
              <w:jc w:val="center"/>
              <w:spacing w:after="0"/>
              <w:rPr>
                <w:sz w:val="20"/>
                <w:szCs w:val="20"/>
                <w:color w:val="auto"/>
              </w:rPr>
            </w:pPr>
            <w:r>
              <w:rPr>
                <w:rFonts w:ascii="Arial" w:cs="Arial" w:eastAsia="Arial" w:hAnsi="Arial"/>
                <w:sz w:val="13"/>
                <w:szCs w:val="13"/>
                <w:b w:val="1"/>
                <w:bCs w:val="1"/>
                <w:color w:val="FFFFFF"/>
                <w:w w:val="99"/>
              </w:rPr>
              <w:t>Date</w:t>
            </w:r>
          </w:p>
        </w:tc>
        <w:tc>
          <w:tcPr>
            <w:tcW w:w="8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40" w:type="dxa"/>
            <w:vAlign w:val="bottom"/>
            <w:tcBorders>
              <w:bottom w:val="single" w:sz="8" w:color="C60C35"/>
            </w:tcBorders>
            <w:shd w:val="clear" w:color="auto" w:fill="C60C35"/>
          </w:tcPr>
          <w:p>
            <w:pPr>
              <w:spacing w:after="0"/>
              <w:rPr>
                <w:sz w:val="20"/>
                <w:szCs w:val="20"/>
                <w:color w:val="auto"/>
              </w:rPr>
            </w:pPr>
          </w:p>
        </w:tc>
        <w:tc>
          <w:tcPr>
            <w:tcW w:w="66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00" w:type="dxa"/>
            <w:vAlign w:val="bottom"/>
          </w:tcPr>
          <w:p>
            <w:pPr>
              <w:spacing w:after="0"/>
              <w:rPr>
                <w:sz w:val="20"/>
                <w:szCs w:val="20"/>
                <w:color w:val="auto"/>
              </w:rPr>
            </w:pPr>
          </w:p>
        </w:tc>
        <w:tc>
          <w:tcPr>
            <w:tcW w:w="8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700" w:type="dxa"/>
            <w:vAlign w:val="bottom"/>
            <w:tcBorders>
              <w:bottom w:val="single" w:sz="8" w:color="C60C35"/>
            </w:tcBorders>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w:t>
            </w:r>
          </w:p>
        </w:tc>
        <w:tc>
          <w:tcPr>
            <w:tcW w:w="4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78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1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800" w:type="dxa"/>
            <w:vAlign w:val="bottom"/>
            <w:tcBorders>
              <w:bottom w:val="single" w:sz="8" w:color="C60C35"/>
            </w:tcBorders>
            <w:shd w:val="clear" w:color="auto" w:fill="C60C35"/>
          </w:tcPr>
          <w:p>
            <w:pPr>
              <w:jc w:val="center"/>
              <w:ind w:left="57"/>
              <w:spacing w:after="0"/>
              <w:rPr>
                <w:sz w:val="20"/>
                <w:szCs w:val="20"/>
                <w:color w:val="auto"/>
              </w:rPr>
            </w:pPr>
            <w:r>
              <w:rPr>
                <w:rFonts w:ascii="Arial" w:cs="Arial" w:eastAsia="Arial" w:hAnsi="Arial"/>
                <w:sz w:val="13"/>
                <w:szCs w:val="13"/>
                <w:b w:val="1"/>
                <w:bCs w:val="1"/>
                <w:color w:val="FFFFFF"/>
                <w:w w:val="89"/>
              </w:rPr>
              <w:t>($/Sh)</w:t>
            </w:r>
            <w:r>
              <w:rPr>
                <w:rFonts w:ascii="Arial" w:cs="Arial" w:eastAsia="Arial" w:hAnsi="Arial"/>
                <w:sz w:val="16"/>
                <w:szCs w:val="16"/>
                <w:b w:val="1"/>
                <w:bCs w:val="1"/>
                <w:color w:val="FFFFFF"/>
                <w:w w:val="89"/>
                <w:vertAlign w:val="superscript"/>
              </w:rPr>
              <w:t>(5)</w:t>
            </w:r>
          </w:p>
        </w:tc>
        <w:tc>
          <w:tcPr>
            <w:tcW w:w="700" w:type="dxa"/>
            <w:vAlign w:val="bottom"/>
            <w:tcBorders>
              <w:bottom w:val="single" w:sz="8" w:color="C60C35"/>
            </w:tcBorders>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($/Sh)</w:t>
            </w:r>
          </w:p>
        </w:tc>
        <w:tc>
          <w:tcPr>
            <w:tcW w:w="7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(6)</w:t>
            </w:r>
          </w:p>
        </w:tc>
        <w:tc>
          <w:tcPr>
            <w:tcW w:w="100" w:type="dxa"/>
            <w:vAlign w:val="bottom"/>
            <w:tcBorders>
              <w:bottom w:val="single" w:sz="8" w:color="C60C35"/>
            </w:tcBorders>
            <w:shd w:val="clear" w:color="auto" w:fill="C60C35"/>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800" w:type="dxa"/>
            <w:vAlign w:val="bottom"/>
            <w:shd w:val="clear" w:color="auto" w:fill="F1F2F2"/>
          </w:tcPr>
          <w:p>
            <w:pPr>
              <w:ind w:left="20"/>
              <w:spacing w:after="0"/>
              <w:rPr>
                <w:sz w:val="20"/>
                <w:szCs w:val="20"/>
                <w:color w:val="auto"/>
              </w:rPr>
            </w:pPr>
            <w:r>
              <w:rPr>
                <w:rFonts w:ascii="Arial" w:cs="Arial" w:eastAsia="Arial" w:hAnsi="Arial"/>
                <w:sz w:val="13"/>
                <w:szCs w:val="13"/>
                <w:color w:val="auto"/>
              </w:rPr>
              <w:t>Alok</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735,157</w:t>
            </w: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1,470,313</w:t>
            </w:r>
          </w:p>
        </w:tc>
        <w:tc>
          <w:tcPr>
            <w:tcW w:w="140" w:type="dxa"/>
            <w:vAlign w:val="bottom"/>
            <w:shd w:val="clear" w:color="auto" w:fill="F1F2F2"/>
          </w:tcPr>
          <w:p>
            <w:pPr>
              <w:spacing w:after="0"/>
              <w:rPr>
                <w:sz w:val="13"/>
                <w:szCs w:val="13"/>
                <w:color w:val="auto"/>
              </w:rPr>
            </w:pP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3,308,204</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1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72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00" w:type="dxa"/>
            <w:vAlign w:val="bottom"/>
            <w:vMerge w:val="restart"/>
            <w:shd w:val="clear" w:color="auto" w:fill="F1F2F2"/>
          </w:tcPr>
          <w:p>
            <w:pPr>
              <w:ind w:left="20"/>
              <w:spacing w:after="0"/>
              <w:rPr>
                <w:sz w:val="20"/>
                <w:szCs w:val="20"/>
                <w:color w:val="auto"/>
              </w:rPr>
            </w:pPr>
            <w:r>
              <w:rPr>
                <w:rFonts w:ascii="Arial" w:cs="Arial" w:eastAsia="Arial" w:hAnsi="Arial"/>
                <w:sz w:val="13"/>
                <w:szCs w:val="13"/>
                <w:color w:val="auto"/>
              </w:rPr>
              <w:t>Maskara</w:t>
            </w:r>
          </w:p>
        </w:tc>
        <w:tc>
          <w:tcPr>
            <w:tcW w:w="780" w:type="dxa"/>
            <w:vAlign w:val="bottom"/>
            <w:vMerge w:val="continue"/>
            <w:shd w:val="clear" w:color="auto" w:fill="F1F2F2"/>
          </w:tcPr>
          <w:p>
            <w:pPr>
              <w:spacing w:after="0"/>
              <w:rPr>
                <w:sz w:val="7"/>
                <w:szCs w:val="7"/>
                <w:color w:val="auto"/>
              </w:rPr>
            </w:pPr>
          </w:p>
        </w:tc>
        <w:tc>
          <w:tcPr>
            <w:tcW w:w="780" w:type="dxa"/>
            <w:vAlign w:val="bottom"/>
            <w:vMerge w:val="continue"/>
            <w:shd w:val="clear" w:color="auto" w:fill="F1F2F2"/>
          </w:tcPr>
          <w:p>
            <w:pPr>
              <w:spacing w:after="0"/>
              <w:rPr>
                <w:sz w:val="7"/>
                <w:szCs w:val="7"/>
                <w:color w:val="auto"/>
              </w:rPr>
            </w:pPr>
          </w:p>
        </w:tc>
        <w:tc>
          <w:tcPr>
            <w:tcW w:w="880" w:type="dxa"/>
            <w:vAlign w:val="bottom"/>
            <w:vMerge w:val="continue"/>
            <w:shd w:val="clear" w:color="auto" w:fill="F1F2F2"/>
          </w:tcPr>
          <w:p>
            <w:pPr>
              <w:spacing w:after="0"/>
              <w:rPr>
                <w:sz w:val="7"/>
                <w:szCs w:val="7"/>
                <w:color w:val="auto"/>
              </w:rPr>
            </w:pPr>
          </w:p>
        </w:tc>
        <w:tc>
          <w:tcPr>
            <w:tcW w:w="80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6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1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66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1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12/6/2024</w:t>
            </w:r>
          </w:p>
        </w:tc>
        <w:tc>
          <w:tcPr>
            <w:tcW w:w="88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2,509</w:t>
            </w:r>
          </w:p>
        </w:tc>
        <w:tc>
          <w:tcPr>
            <w:tcW w:w="7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5,018</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10,036</w:t>
            </w:r>
          </w:p>
        </w:tc>
        <w:tc>
          <w:tcPr>
            <w:tcW w:w="7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7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2,812,740</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12/6/2024</w:t>
            </w:r>
          </w:p>
        </w:tc>
        <w:tc>
          <w:tcPr>
            <w:tcW w:w="88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3,011</w:t>
            </w:r>
          </w:p>
        </w:tc>
        <w:tc>
          <w:tcPr>
            <w:tcW w:w="114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7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1,687,756</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12/6/2024</w:t>
            </w:r>
          </w:p>
        </w:tc>
        <w:tc>
          <w:tcPr>
            <w:tcW w:w="880" w:type="dxa"/>
            <w:vAlign w:val="bottom"/>
            <w:tcBorders>
              <w:bottom w:val="single" w:sz="8" w:color="F1F2F2"/>
            </w:tcBorders>
            <w:shd w:val="clear" w:color="auto" w:fill="F1F2F2"/>
          </w:tcPr>
          <w:p>
            <w:pPr>
              <w:spacing w:after="0"/>
              <w:rPr>
                <w:sz w:val="18"/>
                <w:szCs w:val="18"/>
                <w:color w:val="auto"/>
              </w:rPr>
            </w:pPr>
          </w:p>
        </w:tc>
        <w:tc>
          <w:tcPr>
            <w:tcW w:w="800" w:type="dxa"/>
            <w:vAlign w:val="bottom"/>
            <w:tcBorders>
              <w:bottom w:val="single" w:sz="8" w:color="F1F2F2"/>
            </w:tcBorders>
            <w:shd w:val="clear" w:color="auto" w:fill="F1F2F2"/>
          </w:tcPr>
          <w:p>
            <w:pPr>
              <w:spacing w:after="0"/>
              <w:rPr>
                <w:sz w:val="18"/>
                <w:szCs w:val="18"/>
                <w:color w:val="auto"/>
              </w:rPr>
            </w:pPr>
          </w:p>
        </w:tc>
        <w:tc>
          <w:tcPr>
            <w:tcW w:w="140" w:type="dxa"/>
            <w:vAlign w:val="bottom"/>
            <w:tcBorders>
              <w:bottom w:val="single" w:sz="8" w:color="F1F2F2"/>
            </w:tcBorders>
            <w:shd w:val="clear" w:color="auto" w:fill="F1F2F2"/>
          </w:tcPr>
          <w:p>
            <w:pPr>
              <w:spacing w:after="0"/>
              <w:rPr>
                <w:sz w:val="18"/>
                <w:szCs w:val="18"/>
                <w:color w:val="auto"/>
              </w:rPr>
            </w:pPr>
          </w:p>
        </w:tc>
        <w:tc>
          <w:tcPr>
            <w:tcW w:w="660" w:type="dxa"/>
            <w:vAlign w:val="bottom"/>
            <w:tcBorders>
              <w:bottom w:val="single" w:sz="8" w:color="F1F2F2"/>
            </w:tcBorders>
            <w:shd w:val="clear" w:color="auto" w:fill="F1F2F2"/>
          </w:tcPr>
          <w:p>
            <w:pPr>
              <w:spacing w:after="0"/>
              <w:rPr>
                <w:sz w:val="18"/>
                <w:szCs w:val="18"/>
                <w:color w:val="auto"/>
              </w:rPr>
            </w:pPr>
          </w:p>
        </w:tc>
        <w:tc>
          <w:tcPr>
            <w:tcW w:w="10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spacing w:after="0"/>
              <w:rPr>
                <w:sz w:val="18"/>
                <w:szCs w:val="18"/>
                <w:color w:val="auto"/>
              </w:rPr>
            </w:pPr>
          </w:p>
        </w:tc>
        <w:tc>
          <w:tcPr>
            <w:tcW w:w="700" w:type="dxa"/>
            <w:vAlign w:val="bottom"/>
            <w:tcBorders>
              <w:bottom w:val="single" w:sz="8" w:color="F1F2F2"/>
            </w:tcBorders>
            <w:shd w:val="clear" w:color="auto" w:fill="F1F2F2"/>
          </w:tcPr>
          <w:p>
            <w:pPr>
              <w:spacing w:after="0"/>
              <w:rPr>
                <w:sz w:val="18"/>
                <w:szCs w:val="18"/>
                <w:color w:val="auto"/>
              </w:rPr>
            </w:pPr>
          </w:p>
        </w:tc>
        <w:tc>
          <w:tcPr>
            <w:tcW w:w="48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spacing w:after="0"/>
              <w:rPr>
                <w:sz w:val="18"/>
                <w:szCs w:val="18"/>
                <w:color w:val="auto"/>
              </w:rPr>
            </w:pPr>
          </w:p>
        </w:tc>
        <w:tc>
          <w:tcPr>
            <w:tcW w:w="1140" w:type="dxa"/>
            <w:vAlign w:val="bottom"/>
            <w:tcBorders>
              <w:bottom w:val="single" w:sz="8" w:color="F1F2F2"/>
            </w:tcBorders>
            <w:shd w:val="clear" w:color="auto" w:fill="F1F2F2"/>
          </w:tcPr>
          <w:p>
            <w:pPr>
              <w:jc w:val="right"/>
              <w:ind w:right="157"/>
              <w:spacing w:after="0"/>
              <w:rPr>
                <w:sz w:val="20"/>
                <w:szCs w:val="20"/>
                <w:color w:val="auto"/>
              </w:rPr>
            </w:pPr>
            <w:r>
              <w:rPr>
                <w:rFonts w:ascii="Arial" w:cs="Arial" w:eastAsia="Arial" w:hAnsi="Arial"/>
                <w:sz w:val="13"/>
                <w:szCs w:val="13"/>
                <w:color w:val="auto"/>
              </w:rPr>
              <w:t>7,120</w:t>
            </w:r>
          </w:p>
        </w:tc>
        <w:tc>
          <w:tcPr>
            <w:tcW w:w="800" w:type="dxa"/>
            <w:vAlign w:val="bottom"/>
            <w:tcBorders>
              <w:bottom w:val="single" w:sz="8" w:color="F1F2F2"/>
            </w:tcBorders>
            <w:shd w:val="clear" w:color="auto" w:fill="F1F2F2"/>
          </w:tcPr>
          <w:p>
            <w:pPr>
              <w:jc w:val="center"/>
              <w:ind w:left="37"/>
              <w:spacing w:after="0"/>
              <w:rPr>
                <w:sz w:val="20"/>
                <w:szCs w:val="20"/>
                <w:color w:val="auto"/>
              </w:rPr>
            </w:pPr>
            <w:r>
              <w:rPr>
                <w:rFonts w:ascii="Arial" w:cs="Arial" w:eastAsia="Arial" w:hAnsi="Arial"/>
                <w:sz w:val="13"/>
                <w:szCs w:val="13"/>
                <w:color w:val="auto"/>
                <w:w w:val="95"/>
              </w:rPr>
              <w:t>576.28</w:t>
            </w:r>
          </w:p>
        </w:tc>
        <w:tc>
          <w:tcPr>
            <w:tcW w:w="7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582.93</w:t>
            </w:r>
          </w:p>
        </w:tc>
        <w:tc>
          <w:tcPr>
            <w:tcW w:w="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1,149,880</w:t>
            </w:r>
          </w:p>
        </w:tc>
        <w:tc>
          <w:tcPr>
            <w:tcW w:w="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0" w:type="dxa"/>
            <w:vAlign w:val="bottom"/>
          </w:tcPr>
          <w:p>
            <w:pPr>
              <w:ind w:left="20"/>
              <w:spacing w:after="0"/>
              <w:rPr>
                <w:sz w:val="20"/>
                <w:szCs w:val="20"/>
                <w:color w:val="auto"/>
              </w:rPr>
            </w:pPr>
            <w:r>
              <w:rPr>
                <w:rFonts w:ascii="Arial" w:cs="Arial" w:eastAsia="Arial" w:hAnsi="Arial"/>
                <w:sz w:val="13"/>
                <w:szCs w:val="13"/>
                <w:color w:val="auto"/>
              </w:rPr>
              <w:t>Michael P.</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234,375</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468,750</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1,054,688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Quenzer</w:t>
            </w: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521</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1,042</w:t>
            </w:r>
          </w:p>
        </w:tc>
        <w:tc>
          <w:tcPr>
            <w:tcW w:w="480" w:type="dxa"/>
            <w:vAlign w:val="bottom"/>
          </w:tcPr>
          <w:p>
            <w:pPr>
              <w:jc w:val="right"/>
              <w:spacing w:after="0"/>
              <w:rPr>
                <w:sz w:val="20"/>
                <w:szCs w:val="20"/>
                <w:color w:val="auto"/>
              </w:rPr>
            </w:pPr>
            <w:r>
              <w:rPr>
                <w:rFonts w:ascii="Arial" w:cs="Arial" w:eastAsia="Arial" w:hAnsi="Arial"/>
                <w:sz w:val="13"/>
                <w:szCs w:val="13"/>
                <w:color w:val="auto"/>
              </w:rPr>
              <w:t>2,084</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625</w:t>
            </w: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350,331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1,479</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95"/>
              </w:rPr>
              <w:t>576.28</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582.93</w:t>
            </w:r>
          </w:p>
        </w:tc>
        <w:tc>
          <w:tcPr>
            <w:tcW w:w="720" w:type="dxa"/>
            <w:vAlign w:val="bottom"/>
          </w:tcPr>
          <w:p>
            <w:pPr>
              <w:jc w:val="right"/>
              <w:spacing w:after="0"/>
              <w:rPr>
                <w:sz w:val="20"/>
                <w:szCs w:val="20"/>
                <w:color w:val="auto"/>
              </w:rPr>
            </w:pPr>
            <w:r>
              <w:rPr>
                <w:rFonts w:ascii="Arial" w:cs="Arial" w:eastAsia="Arial" w:hAnsi="Arial"/>
                <w:sz w:val="13"/>
                <w:szCs w:val="13"/>
                <w:color w:val="auto"/>
              </w:rPr>
              <w:t>238,859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shd w:val="clear" w:color="auto" w:fill="F1F2F2"/>
          </w:tcPr>
          <w:p>
            <w:pPr>
              <w:ind w:left="20"/>
              <w:spacing w:after="0"/>
              <w:rPr>
                <w:sz w:val="20"/>
                <w:szCs w:val="20"/>
                <w:color w:val="auto"/>
              </w:rPr>
            </w:pPr>
            <w:r>
              <w:rPr>
                <w:rFonts w:ascii="Arial" w:cs="Arial" w:eastAsia="Arial" w:hAnsi="Arial"/>
                <w:sz w:val="13"/>
                <w:szCs w:val="13"/>
                <w:color w:val="auto"/>
              </w:rPr>
              <w:t>Sarah R.</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152,557</w:t>
            </w: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305,114</w:t>
            </w:r>
          </w:p>
        </w:tc>
        <w:tc>
          <w:tcPr>
            <w:tcW w:w="140" w:type="dxa"/>
            <w:vAlign w:val="bottom"/>
            <w:shd w:val="clear" w:color="auto" w:fill="F1F2F2"/>
          </w:tcPr>
          <w:p>
            <w:pPr>
              <w:spacing w:after="0"/>
              <w:rPr>
                <w:sz w:val="13"/>
                <w:szCs w:val="13"/>
                <w:color w:val="auto"/>
              </w:rPr>
            </w:pP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686,507</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1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72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800" w:type="dxa"/>
            <w:vAlign w:val="bottom"/>
            <w:vMerge w:val="restart"/>
            <w:shd w:val="clear" w:color="auto" w:fill="F1F2F2"/>
          </w:tcPr>
          <w:p>
            <w:pPr>
              <w:ind w:left="20"/>
              <w:spacing w:after="0"/>
              <w:rPr>
                <w:sz w:val="20"/>
                <w:szCs w:val="20"/>
                <w:color w:val="auto"/>
              </w:rPr>
            </w:pPr>
            <w:r>
              <w:rPr>
                <w:rFonts w:ascii="Arial" w:cs="Arial" w:eastAsia="Arial" w:hAnsi="Arial"/>
                <w:sz w:val="13"/>
                <w:szCs w:val="13"/>
                <w:color w:val="auto"/>
              </w:rPr>
              <w:t>Martin</w:t>
            </w:r>
          </w:p>
        </w:tc>
        <w:tc>
          <w:tcPr>
            <w:tcW w:w="780" w:type="dxa"/>
            <w:vAlign w:val="bottom"/>
            <w:vMerge w:val="continue"/>
            <w:shd w:val="clear" w:color="auto" w:fill="F1F2F2"/>
          </w:tcPr>
          <w:p>
            <w:pPr>
              <w:spacing w:after="0"/>
              <w:rPr>
                <w:sz w:val="7"/>
                <w:szCs w:val="7"/>
                <w:color w:val="auto"/>
              </w:rPr>
            </w:pPr>
          </w:p>
        </w:tc>
        <w:tc>
          <w:tcPr>
            <w:tcW w:w="780" w:type="dxa"/>
            <w:vAlign w:val="bottom"/>
            <w:vMerge w:val="continue"/>
            <w:shd w:val="clear" w:color="auto" w:fill="F1F2F2"/>
          </w:tcPr>
          <w:p>
            <w:pPr>
              <w:spacing w:after="0"/>
              <w:rPr>
                <w:sz w:val="7"/>
                <w:szCs w:val="7"/>
                <w:color w:val="auto"/>
              </w:rPr>
            </w:pPr>
          </w:p>
        </w:tc>
        <w:tc>
          <w:tcPr>
            <w:tcW w:w="880" w:type="dxa"/>
            <w:vAlign w:val="bottom"/>
            <w:vMerge w:val="continue"/>
            <w:shd w:val="clear" w:color="auto" w:fill="F1F2F2"/>
          </w:tcPr>
          <w:p>
            <w:pPr>
              <w:spacing w:after="0"/>
              <w:rPr>
                <w:sz w:val="7"/>
                <w:szCs w:val="7"/>
                <w:color w:val="auto"/>
              </w:rPr>
            </w:pPr>
          </w:p>
        </w:tc>
        <w:tc>
          <w:tcPr>
            <w:tcW w:w="800" w:type="dxa"/>
            <w:vAlign w:val="bottom"/>
            <w:vMerge w:val="continue"/>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660" w:type="dxa"/>
            <w:vAlign w:val="bottom"/>
            <w:vMerge w:val="continue"/>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1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00" w:type="dxa"/>
            <w:vAlign w:val="bottom"/>
            <w:vMerge w:val="continue"/>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140" w:type="dxa"/>
            <w:vAlign w:val="bottom"/>
            <w:shd w:val="clear" w:color="auto" w:fill="F1F2F2"/>
          </w:tcPr>
          <w:p>
            <w:pPr>
              <w:spacing w:after="0"/>
              <w:rPr>
                <w:sz w:val="7"/>
                <w:szCs w:val="7"/>
                <w:color w:val="auto"/>
              </w:rPr>
            </w:pPr>
          </w:p>
        </w:tc>
        <w:tc>
          <w:tcPr>
            <w:tcW w:w="66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88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480" w:type="dxa"/>
            <w:vAlign w:val="bottom"/>
            <w:shd w:val="clear" w:color="auto" w:fill="F1F2F2"/>
          </w:tcPr>
          <w:p>
            <w:pPr>
              <w:spacing w:after="0"/>
              <w:rPr>
                <w:sz w:val="7"/>
                <w:szCs w:val="7"/>
                <w:color w:val="auto"/>
              </w:rPr>
            </w:pPr>
          </w:p>
        </w:tc>
        <w:tc>
          <w:tcPr>
            <w:tcW w:w="780" w:type="dxa"/>
            <w:vAlign w:val="bottom"/>
            <w:shd w:val="clear" w:color="auto" w:fill="F1F2F2"/>
          </w:tcPr>
          <w:p>
            <w:pPr>
              <w:spacing w:after="0"/>
              <w:rPr>
                <w:sz w:val="7"/>
                <w:szCs w:val="7"/>
                <w:color w:val="auto"/>
              </w:rPr>
            </w:pPr>
          </w:p>
        </w:tc>
        <w:tc>
          <w:tcPr>
            <w:tcW w:w="114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00" w:type="dxa"/>
            <w:vAlign w:val="bottom"/>
            <w:shd w:val="clear" w:color="auto" w:fill="F1F2F2"/>
          </w:tcPr>
          <w:p>
            <w:pPr>
              <w:spacing w:after="0"/>
              <w:rPr>
                <w:sz w:val="7"/>
                <w:szCs w:val="7"/>
                <w:color w:val="auto"/>
              </w:rPr>
            </w:pPr>
          </w:p>
        </w:tc>
        <w:tc>
          <w:tcPr>
            <w:tcW w:w="720" w:type="dxa"/>
            <w:vAlign w:val="bottom"/>
            <w:shd w:val="clear" w:color="auto" w:fill="F1F2F2"/>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4/28/2025</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2/28/2025</w:t>
            </w:r>
          </w:p>
        </w:tc>
        <w:tc>
          <w:tcPr>
            <w:tcW w:w="88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353</w:t>
            </w:r>
          </w:p>
        </w:tc>
        <w:tc>
          <w:tcPr>
            <w:tcW w:w="7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706</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1,412</w:t>
            </w:r>
          </w:p>
        </w:tc>
        <w:tc>
          <w:tcPr>
            <w:tcW w:w="7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7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364,007</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4/28/2025</w:t>
            </w:r>
          </w:p>
        </w:tc>
        <w:tc>
          <w:tcPr>
            <w:tcW w:w="7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6"/>
              </w:rPr>
              <w:t>2/28/2025</w:t>
            </w:r>
          </w:p>
        </w:tc>
        <w:tc>
          <w:tcPr>
            <w:tcW w:w="880" w:type="dxa"/>
            <w:vAlign w:val="bottom"/>
            <w:tcBorders>
              <w:bottom w:val="single" w:sz="8" w:color="F1F2F2"/>
            </w:tcBorders>
            <w:shd w:val="clear" w:color="auto" w:fill="F1F2F2"/>
          </w:tcPr>
          <w:p>
            <w:pPr>
              <w:spacing w:after="0"/>
              <w:rPr>
                <w:sz w:val="18"/>
                <w:szCs w:val="18"/>
                <w:color w:val="auto"/>
              </w:rPr>
            </w:pPr>
          </w:p>
        </w:tc>
        <w:tc>
          <w:tcPr>
            <w:tcW w:w="800" w:type="dxa"/>
            <w:vAlign w:val="bottom"/>
            <w:tcBorders>
              <w:bottom w:val="single" w:sz="8" w:color="F1F2F2"/>
            </w:tcBorders>
            <w:shd w:val="clear" w:color="auto" w:fill="F1F2F2"/>
          </w:tcPr>
          <w:p>
            <w:pPr>
              <w:spacing w:after="0"/>
              <w:rPr>
                <w:sz w:val="18"/>
                <w:szCs w:val="18"/>
                <w:color w:val="auto"/>
              </w:rPr>
            </w:pPr>
          </w:p>
        </w:tc>
        <w:tc>
          <w:tcPr>
            <w:tcW w:w="140" w:type="dxa"/>
            <w:vAlign w:val="bottom"/>
            <w:tcBorders>
              <w:bottom w:val="single" w:sz="8" w:color="F1F2F2"/>
            </w:tcBorders>
            <w:shd w:val="clear" w:color="auto" w:fill="F1F2F2"/>
          </w:tcPr>
          <w:p>
            <w:pPr>
              <w:spacing w:after="0"/>
              <w:rPr>
                <w:sz w:val="18"/>
                <w:szCs w:val="18"/>
                <w:color w:val="auto"/>
              </w:rPr>
            </w:pPr>
          </w:p>
        </w:tc>
        <w:tc>
          <w:tcPr>
            <w:tcW w:w="660" w:type="dxa"/>
            <w:vAlign w:val="bottom"/>
            <w:tcBorders>
              <w:bottom w:val="single" w:sz="8" w:color="F1F2F2"/>
            </w:tcBorders>
            <w:shd w:val="clear" w:color="auto" w:fill="F1F2F2"/>
          </w:tcPr>
          <w:p>
            <w:pPr>
              <w:spacing w:after="0"/>
              <w:rPr>
                <w:sz w:val="18"/>
                <w:szCs w:val="18"/>
                <w:color w:val="auto"/>
              </w:rPr>
            </w:pPr>
          </w:p>
        </w:tc>
        <w:tc>
          <w:tcPr>
            <w:tcW w:w="10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spacing w:after="0"/>
              <w:rPr>
                <w:sz w:val="18"/>
                <w:szCs w:val="18"/>
                <w:color w:val="auto"/>
              </w:rPr>
            </w:pPr>
          </w:p>
        </w:tc>
        <w:tc>
          <w:tcPr>
            <w:tcW w:w="700" w:type="dxa"/>
            <w:vAlign w:val="bottom"/>
            <w:tcBorders>
              <w:bottom w:val="single" w:sz="8" w:color="F1F2F2"/>
            </w:tcBorders>
            <w:shd w:val="clear" w:color="auto" w:fill="F1F2F2"/>
          </w:tcPr>
          <w:p>
            <w:pPr>
              <w:spacing w:after="0"/>
              <w:rPr>
                <w:sz w:val="18"/>
                <w:szCs w:val="18"/>
                <w:color w:val="auto"/>
              </w:rPr>
            </w:pPr>
          </w:p>
        </w:tc>
        <w:tc>
          <w:tcPr>
            <w:tcW w:w="480" w:type="dxa"/>
            <w:vAlign w:val="bottom"/>
            <w:tcBorders>
              <w:bottom w:val="single" w:sz="8" w:color="F1F2F2"/>
            </w:tcBorders>
            <w:shd w:val="clear" w:color="auto" w:fill="F1F2F2"/>
          </w:tcPr>
          <w:p>
            <w:pPr>
              <w:spacing w:after="0"/>
              <w:rPr>
                <w:sz w:val="18"/>
                <w:szCs w:val="18"/>
                <w:color w:val="auto"/>
              </w:rPr>
            </w:pPr>
          </w:p>
        </w:tc>
        <w:tc>
          <w:tcPr>
            <w:tcW w:w="7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1,647</w:t>
            </w:r>
          </w:p>
        </w:tc>
        <w:tc>
          <w:tcPr>
            <w:tcW w:w="1140" w:type="dxa"/>
            <w:vAlign w:val="bottom"/>
            <w:tcBorders>
              <w:bottom w:val="single" w:sz="8" w:color="F1F2F2"/>
            </w:tcBorders>
            <w:shd w:val="clear" w:color="auto" w:fill="F1F2F2"/>
          </w:tcPr>
          <w:p>
            <w:pPr>
              <w:spacing w:after="0"/>
              <w:rPr>
                <w:sz w:val="18"/>
                <w:szCs w:val="18"/>
                <w:color w:val="auto"/>
              </w:rPr>
            </w:pPr>
          </w:p>
        </w:tc>
        <w:tc>
          <w:tcPr>
            <w:tcW w:w="800" w:type="dxa"/>
            <w:vAlign w:val="bottom"/>
            <w:tcBorders>
              <w:bottom w:val="single" w:sz="8" w:color="F1F2F2"/>
            </w:tcBorders>
            <w:shd w:val="clear" w:color="auto" w:fill="F1F2F2"/>
          </w:tcPr>
          <w:p>
            <w:pPr>
              <w:spacing w:after="0"/>
              <w:rPr>
                <w:sz w:val="18"/>
                <w:szCs w:val="18"/>
                <w:color w:val="auto"/>
              </w:rPr>
            </w:pPr>
          </w:p>
        </w:tc>
        <w:tc>
          <w:tcPr>
            <w:tcW w:w="700" w:type="dxa"/>
            <w:vAlign w:val="bottom"/>
            <w:tcBorders>
              <w:bottom w:val="single" w:sz="8" w:color="F1F2F2"/>
            </w:tcBorders>
            <w:shd w:val="clear" w:color="auto" w:fill="F1F2F2"/>
          </w:tcPr>
          <w:p>
            <w:pPr>
              <w:spacing w:after="0"/>
              <w:rPr>
                <w:sz w:val="18"/>
                <w:szCs w:val="18"/>
                <w:color w:val="auto"/>
              </w:rPr>
            </w:pPr>
          </w:p>
        </w:tc>
        <w:tc>
          <w:tcPr>
            <w:tcW w:w="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849,177</w:t>
            </w:r>
          </w:p>
        </w:tc>
        <w:tc>
          <w:tcPr>
            <w:tcW w:w="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0" w:type="dxa"/>
            <w:vAlign w:val="bottom"/>
          </w:tcPr>
          <w:p>
            <w:pPr>
              <w:ind w:left="20"/>
              <w:spacing w:after="0"/>
              <w:rPr>
                <w:sz w:val="20"/>
                <w:szCs w:val="20"/>
                <w:color w:val="auto"/>
              </w:rPr>
            </w:pPr>
            <w:r>
              <w:rPr>
                <w:rFonts w:ascii="Arial" w:cs="Arial" w:eastAsia="Arial" w:hAnsi="Arial"/>
                <w:sz w:val="13"/>
                <w:szCs w:val="13"/>
                <w:color w:val="auto"/>
              </w:rPr>
              <w:t>Joseph F.</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222,188</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444,375</w:t>
            </w: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999,844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Nassab</w:t>
            </w:r>
          </w:p>
        </w:tc>
        <w:tc>
          <w:tcPr>
            <w:tcW w:w="7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8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502</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1,004</w:t>
            </w:r>
          </w:p>
        </w:tc>
        <w:tc>
          <w:tcPr>
            <w:tcW w:w="480" w:type="dxa"/>
            <w:vAlign w:val="bottom"/>
          </w:tcPr>
          <w:p>
            <w:pPr>
              <w:jc w:val="right"/>
              <w:spacing w:after="0"/>
              <w:rPr>
                <w:sz w:val="20"/>
                <w:szCs w:val="20"/>
                <w:color w:val="auto"/>
              </w:rPr>
            </w:pPr>
            <w:r>
              <w:rPr>
                <w:rFonts w:ascii="Arial" w:cs="Arial" w:eastAsia="Arial" w:hAnsi="Arial"/>
                <w:sz w:val="13"/>
                <w:szCs w:val="13"/>
                <w:color w:val="auto"/>
              </w:rPr>
              <w:t>2,008</w:t>
            </w: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562,772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602</w:t>
            </w: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337,439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157"/>
              <w:spacing w:after="0"/>
              <w:rPr>
                <w:sz w:val="20"/>
                <w:szCs w:val="20"/>
                <w:color w:val="auto"/>
              </w:rPr>
            </w:pPr>
            <w:r>
              <w:rPr>
                <w:rFonts w:ascii="Arial" w:cs="Arial" w:eastAsia="Arial" w:hAnsi="Arial"/>
                <w:sz w:val="13"/>
                <w:szCs w:val="13"/>
                <w:color w:val="auto"/>
              </w:rPr>
              <w:t>1,424</w:t>
            </w:r>
          </w:p>
        </w:tc>
        <w:tc>
          <w:tcPr>
            <w:tcW w:w="800" w:type="dxa"/>
            <w:vAlign w:val="bottom"/>
          </w:tcPr>
          <w:p>
            <w:pPr>
              <w:jc w:val="center"/>
              <w:ind w:left="37"/>
              <w:spacing w:after="0"/>
              <w:rPr>
                <w:sz w:val="20"/>
                <w:szCs w:val="20"/>
                <w:color w:val="auto"/>
              </w:rPr>
            </w:pPr>
            <w:r>
              <w:rPr>
                <w:rFonts w:ascii="Arial" w:cs="Arial" w:eastAsia="Arial" w:hAnsi="Arial"/>
                <w:sz w:val="13"/>
                <w:szCs w:val="13"/>
                <w:color w:val="auto"/>
                <w:w w:val="95"/>
              </w:rPr>
              <w:t>576.28</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582.93</w:t>
            </w:r>
          </w:p>
        </w:tc>
        <w:tc>
          <w:tcPr>
            <w:tcW w:w="720" w:type="dxa"/>
            <w:vAlign w:val="bottom"/>
          </w:tcPr>
          <w:p>
            <w:pPr>
              <w:jc w:val="right"/>
              <w:spacing w:after="0"/>
              <w:rPr>
                <w:sz w:val="20"/>
                <w:szCs w:val="20"/>
                <w:color w:val="auto"/>
              </w:rPr>
            </w:pPr>
            <w:r>
              <w:rPr>
                <w:rFonts w:ascii="Arial" w:cs="Arial" w:eastAsia="Arial" w:hAnsi="Arial"/>
                <w:sz w:val="13"/>
                <w:szCs w:val="13"/>
                <w:color w:val="auto"/>
              </w:rPr>
              <w:t>229,976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800" w:type="dxa"/>
            <w:vAlign w:val="bottom"/>
            <w:shd w:val="clear" w:color="auto" w:fill="F3F3F3"/>
          </w:tcPr>
          <w:p>
            <w:pPr>
              <w:ind w:left="20"/>
              <w:spacing w:after="0"/>
              <w:rPr>
                <w:sz w:val="20"/>
                <w:szCs w:val="20"/>
                <w:color w:val="auto"/>
              </w:rPr>
            </w:pPr>
            <w:r>
              <w:rPr>
                <w:rFonts w:ascii="Arial" w:cs="Arial" w:eastAsia="Arial" w:hAnsi="Arial"/>
                <w:sz w:val="13"/>
                <w:szCs w:val="13"/>
                <w:color w:val="auto"/>
              </w:rPr>
              <w:t>Daniel M.</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1"/>
              </w:rPr>
              <w:t>—</w:t>
            </w:r>
          </w:p>
        </w:tc>
        <w:tc>
          <w:tcPr>
            <w:tcW w:w="8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228,282</w:t>
            </w:r>
          </w:p>
        </w:tc>
        <w:tc>
          <w:tcPr>
            <w:tcW w:w="80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456,563</w:t>
            </w:r>
          </w:p>
        </w:tc>
        <w:tc>
          <w:tcPr>
            <w:tcW w:w="140" w:type="dxa"/>
            <w:vAlign w:val="bottom"/>
            <w:shd w:val="clear" w:color="auto" w:fill="F1F2F2"/>
          </w:tcPr>
          <w:p>
            <w:pPr>
              <w:spacing w:after="0"/>
              <w:rPr>
                <w:sz w:val="13"/>
                <w:szCs w:val="13"/>
                <w:color w:val="auto"/>
              </w:rPr>
            </w:pPr>
          </w:p>
        </w:tc>
        <w:tc>
          <w:tcPr>
            <w:tcW w:w="6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1,027,267</w:t>
            </w:r>
          </w:p>
        </w:tc>
        <w:tc>
          <w:tcPr>
            <w:tcW w:w="100" w:type="dxa"/>
            <w:vAlign w:val="bottom"/>
            <w:shd w:val="clear" w:color="auto" w:fill="F1F2F2"/>
          </w:tcPr>
          <w:p>
            <w:pPr>
              <w:spacing w:after="0"/>
              <w:rPr>
                <w:sz w:val="13"/>
                <w:szCs w:val="13"/>
                <w:color w:val="auto"/>
              </w:rPr>
            </w:pPr>
          </w:p>
        </w:tc>
        <w:tc>
          <w:tcPr>
            <w:tcW w:w="88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480" w:type="dxa"/>
            <w:vAlign w:val="bottom"/>
            <w:shd w:val="clear" w:color="auto" w:fill="F1F2F2"/>
          </w:tcPr>
          <w:p>
            <w:pPr>
              <w:spacing w:after="0"/>
              <w:rPr>
                <w:sz w:val="13"/>
                <w:szCs w:val="13"/>
                <w:color w:val="auto"/>
              </w:rPr>
            </w:pPr>
          </w:p>
        </w:tc>
        <w:tc>
          <w:tcPr>
            <w:tcW w:w="780" w:type="dxa"/>
            <w:vAlign w:val="bottom"/>
            <w:shd w:val="clear" w:color="auto" w:fill="F1F2F2"/>
          </w:tcPr>
          <w:p>
            <w:pPr>
              <w:spacing w:after="0"/>
              <w:rPr>
                <w:sz w:val="13"/>
                <w:szCs w:val="13"/>
                <w:color w:val="auto"/>
              </w:rPr>
            </w:pPr>
          </w:p>
        </w:tc>
        <w:tc>
          <w:tcPr>
            <w:tcW w:w="1140" w:type="dxa"/>
            <w:vAlign w:val="bottom"/>
            <w:shd w:val="clear" w:color="auto" w:fill="F1F2F2"/>
          </w:tcPr>
          <w:p>
            <w:pPr>
              <w:spacing w:after="0"/>
              <w:rPr>
                <w:sz w:val="13"/>
                <w:szCs w:val="13"/>
                <w:color w:val="auto"/>
              </w:rPr>
            </w:pPr>
          </w:p>
        </w:tc>
        <w:tc>
          <w:tcPr>
            <w:tcW w:w="800" w:type="dxa"/>
            <w:vAlign w:val="bottom"/>
            <w:shd w:val="clear" w:color="auto" w:fill="F1F2F2"/>
          </w:tcPr>
          <w:p>
            <w:pPr>
              <w:spacing w:after="0"/>
              <w:rPr>
                <w:sz w:val="13"/>
                <w:szCs w:val="13"/>
                <w:color w:val="auto"/>
              </w:rPr>
            </w:pPr>
          </w:p>
        </w:tc>
        <w:tc>
          <w:tcPr>
            <w:tcW w:w="700" w:type="dxa"/>
            <w:vAlign w:val="bottom"/>
            <w:shd w:val="clear" w:color="auto" w:fill="F1F2F2"/>
          </w:tcPr>
          <w:p>
            <w:pPr>
              <w:spacing w:after="0"/>
              <w:rPr>
                <w:sz w:val="13"/>
                <w:szCs w:val="13"/>
                <w:color w:val="auto"/>
              </w:rPr>
            </w:pPr>
          </w:p>
        </w:tc>
        <w:tc>
          <w:tcPr>
            <w:tcW w:w="720" w:type="dxa"/>
            <w:vAlign w:val="bottom"/>
            <w:shd w:val="clear" w:color="auto" w:fill="F1F2F2"/>
          </w:tcPr>
          <w:p>
            <w:pPr>
              <w:spacing w:after="0"/>
              <w:rPr>
                <w:sz w:val="13"/>
                <w:szCs w:val="13"/>
                <w:color w:val="auto"/>
              </w:rPr>
            </w:pPr>
          </w:p>
        </w:tc>
        <w:tc>
          <w:tcPr>
            <w:tcW w:w="100" w:type="dxa"/>
            <w:vAlign w:val="bottom"/>
            <w:shd w:val="clear" w:color="auto" w:fill="F1F2F2"/>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0" w:type="dxa"/>
            <w:vAlign w:val="bottom"/>
            <w:vMerge w:val="restart"/>
            <w:shd w:val="clear" w:color="auto" w:fill="F3F3F3"/>
          </w:tcPr>
          <w:p>
            <w:pPr>
              <w:ind w:left="20"/>
              <w:spacing w:after="0"/>
              <w:rPr>
                <w:sz w:val="20"/>
                <w:szCs w:val="20"/>
                <w:color w:val="auto"/>
              </w:rPr>
            </w:pPr>
            <w:r>
              <w:rPr>
                <w:rFonts w:ascii="Arial" w:cs="Arial" w:eastAsia="Arial" w:hAnsi="Arial"/>
                <w:sz w:val="13"/>
                <w:szCs w:val="13"/>
                <w:color w:val="auto"/>
              </w:rPr>
              <w:t>Sessa</w:t>
            </w:r>
          </w:p>
        </w:tc>
        <w:tc>
          <w:tcPr>
            <w:tcW w:w="780" w:type="dxa"/>
            <w:vAlign w:val="bottom"/>
            <w:vMerge w:val="continue"/>
            <w:shd w:val="clear" w:color="auto" w:fill="F1F2F2"/>
          </w:tcPr>
          <w:p>
            <w:pPr>
              <w:spacing w:after="0"/>
              <w:rPr>
                <w:sz w:val="6"/>
                <w:szCs w:val="6"/>
                <w:color w:val="auto"/>
              </w:rPr>
            </w:pPr>
          </w:p>
        </w:tc>
        <w:tc>
          <w:tcPr>
            <w:tcW w:w="780" w:type="dxa"/>
            <w:vAlign w:val="bottom"/>
            <w:vMerge w:val="continue"/>
            <w:shd w:val="clear" w:color="auto" w:fill="F1F2F2"/>
          </w:tcPr>
          <w:p>
            <w:pPr>
              <w:spacing w:after="0"/>
              <w:rPr>
                <w:sz w:val="6"/>
                <w:szCs w:val="6"/>
                <w:color w:val="auto"/>
              </w:rPr>
            </w:pPr>
          </w:p>
        </w:tc>
        <w:tc>
          <w:tcPr>
            <w:tcW w:w="880" w:type="dxa"/>
            <w:vAlign w:val="bottom"/>
            <w:vMerge w:val="continue"/>
            <w:shd w:val="clear" w:color="auto" w:fill="F1F2F2"/>
          </w:tcPr>
          <w:p>
            <w:pPr>
              <w:spacing w:after="0"/>
              <w:rPr>
                <w:sz w:val="6"/>
                <w:szCs w:val="6"/>
                <w:color w:val="auto"/>
              </w:rPr>
            </w:pPr>
          </w:p>
        </w:tc>
        <w:tc>
          <w:tcPr>
            <w:tcW w:w="800" w:type="dxa"/>
            <w:vAlign w:val="bottom"/>
            <w:vMerge w:val="continue"/>
            <w:shd w:val="clear" w:color="auto" w:fill="F1F2F2"/>
          </w:tcPr>
          <w:p>
            <w:pPr>
              <w:spacing w:after="0"/>
              <w:rPr>
                <w:sz w:val="6"/>
                <w:szCs w:val="6"/>
                <w:color w:val="auto"/>
              </w:rPr>
            </w:pPr>
          </w:p>
        </w:tc>
        <w:tc>
          <w:tcPr>
            <w:tcW w:w="140" w:type="dxa"/>
            <w:vAlign w:val="bottom"/>
            <w:shd w:val="clear" w:color="auto" w:fill="F1F2F2"/>
          </w:tcPr>
          <w:p>
            <w:pPr>
              <w:spacing w:after="0"/>
              <w:rPr>
                <w:sz w:val="6"/>
                <w:szCs w:val="6"/>
                <w:color w:val="auto"/>
              </w:rPr>
            </w:pPr>
          </w:p>
        </w:tc>
        <w:tc>
          <w:tcPr>
            <w:tcW w:w="660" w:type="dxa"/>
            <w:vAlign w:val="bottom"/>
            <w:vMerge w:val="continue"/>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880" w:type="dxa"/>
            <w:vAlign w:val="bottom"/>
            <w:shd w:val="clear" w:color="auto" w:fill="F1F2F2"/>
          </w:tcPr>
          <w:p>
            <w:pPr>
              <w:spacing w:after="0"/>
              <w:rPr>
                <w:sz w:val="6"/>
                <w:szCs w:val="6"/>
                <w:color w:val="auto"/>
              </w:rPr>
            </w:pPr>
          </w:p>
        </w:tc>
        <w:tc>
          <w:tcPr>
            <w:tcW w:w="700" w:type="dxa"/>
            <w:vAlign w:val="bottom"/>
            <w:shd w:val="clear" w:color="auto" w:fill="F1F2F2"/>
          </w:tcPr>
          <w:p>
            <w:pPr>
              <w:spacing w:after="0"/>
              <w:rPr>
                <w:sz w:val="6"/>
                <w:szCs w:val="6"/>
                <w:color w:val="auto"/>
              </w:rPr>
            </w:pPr>
          </w:p>
        </w:tc>
        <w:tc>
          <w:tcPr>
            <w:tcW w:w="480" w:type="dxa"/>
            <w:vAlign w:val="bottom"/>
            <w:shd w:val="clear" w:color="auto" w:fill="F1F2F2"/>
          </w:tcPr>
          <w:p>
            <w:pPr>
              <w:spacing w:after="0"/>
              <w:rPr>
                <w:sz w:val="6"/>
                <w:szCs w:val="6"/>
                <w:color w:val="auto"/>
              </w:rPr>
            </w:pPr>
          </w:p>
        </w:tc>
        <w:tc>
          <w:tcPr>
            <w:tcW w:w="780" w:type="dxa"/>
            <w:vAlign w:val="bottom"/>
            <w:shd w:val="clear" w:color="auto" w:fill="F1F2F2"/>
          </w:tcPr>
          <w:p>
            <w:pPr>
              <w:spacing w:after="0"/>
              <w:rPr>
                <w:sz w:val="6"/>
                <w:szCs w:val="6"/>
                <w:color w:val="auto"/>
              </w:rPr>
            </w:pPr>
          </w:p>
        </w:tc>
        <w:tc>
          <w:tcPr>
            <w:tcW w:w="1140" w:type="dxa"/>
            <w:vAlign w:val="bottom"/>
            <w:shd w:val="clear" w:color="auto" w:fill="F1F2F2"/>
          </w:tcPr>
          <w:p>
            <w:pPr>
              <w:spacing w:after="0"/>
              <w:rPr>
                <w:sz w:val="6"/>
                <w:szCs w:val="6"/>
                <w:color w:val="auto"/>
              </w:rPr>
            </w:pPr>
          </w:p>
        </w:tc>
        <w:tc>
          <w:tcPr>
            <w:tcW w:w="800" w:type="dxa"/>
            <w:vAlign w:val="bottom"/>
            <w:shd w:val="clear" w:color="auto" w:fill="F1F2F2"/>
          </w:tcPr>
          <w:p>
            <w:pPr>
              <w:spacing w:after="0"/>
              <w:rPr>
                <w:sz w:val="6"/>
                <w:szCs w:val="6"/>
                <w:color w:val="auto"/>
              </w:rPr>
            </w:pPr>
          </w:p>
        </w:tc>
        <w:tc>
          <w:tcPr>
            <w:tcW w:w="700" w:type="dxa"/>
            <w:vAlign w:val="bottom"/>
            <w:shd w:val="clear" w:color="auto" w:fill="F1F2F2"/>
          </w:tcPr>
          <w:p>
            <w:pPr>
              <w:spacing w:after="0"/>
              <w:rPr>
                <w:sz w:val="6"/>
                <w:szCs w:val="6"/>
                <w:color w:val="auto"/>
              </w:rPr>
            </w:pPr>
          </w:p>
        </w:tc>
        <w:tc>
          <w:tcPr>
            <w:tcW w:w="720" w:type="dxa"/>
            <w:vAlign w:val="bottom"/>
            <w:shd w:val="clear" w:color="auto" w:fill="F1F2F2"/>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F3F3F3"/>
          </w:tcPr>
          <w:p>
            <w:pPr>
              <w:spacing w:after="0"/>
              <w:rPr>
                <w:sz w:val="8"/>
                <w:szCs w:val="8"/>
                <w:color w:val="auto"/>
              </w:rPr>
            </w:pPr>
          </w:p>
        </w:tc>
        <w:tc>
          <w:tcPr>
            <w:tcW w:w="780" w:type="dxa"/>
            <w:vAlign w:val="bottom"/>
            <w:shd w:val="clear" w:color="auto" w:fill="F1F2F2"/>
          </w:tcPr>
          <w:p>
            <w:pPr>
              <w:spacing w:after="0"/>
              <w:rPr>
                <w:sz w:val="8"/>
                <w:szCs w:val="8"/>
                <w:color w:val="auto"/>
              </w:rPr>
            </w:pPr>
          </w:p>
        </w:tc>
        <w:tc>
          <w:tcPr>
            <w:tcW w:w="780" w:type="dxa"/>
            <w:vAlign w:val="bottom"/>
            <w:shd w:val="clear" w:color="auto" w:fill="F1F2F2"/>
          </w:tcPr>
          <w:p>
            <w:pPr>
              <w:spacing w:after="0"/>
              <w:rPr>
                <w:sz w:val="8"/>
                <w:szCs w:val="8"/>
                <w:color w:val="auto"/>
              </w:rPr>
            </w:pPr>
          </w:p>
        </w:tc>
        <w:tc>
          <w:tcPr>
            <w:tcW w:w="880" w:type="dxa"/>
            <w:vAlign w:val="bottom"/>
            <w:shd w:val="clear" w:color="auto" w:fill="F1F2F2"/>
          </w:tcPr>
          <w:p>
            <w:pPr>
              <w:spacing w:after="0"/>
              <w:rPr>
                <w:sz w:val="8"/>
                <w:szCs w:val="8"/>
                <w:color w:val="auto"/>
              </w:rPr>
            </w:pPr>
          </w:p>
        </w:tc>
        <w:tc>
          <w:tcPr>
            <w:tcW w:w="800" w:type="dxa"/>
            <w:vAlign w:val="bottom"/>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660" w:type="dxa"/>
            <w:vAlign w:val="bottom"/>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880" w:type="dxa"/>
            <w:vAlign w:val="bottom"/>
            <w:shd w:val="clear" w:color="auto" w:fill="F1F2F2"/>
          </w:tcPr>
          <w:p>
            <w:pPr>
              <w:spacing w:after="0"/>
              <w:rPr>
                <w:sz w:val="8"/>
                <w:szCs w:val="8"/>
                <w:color w:val="auto"/>
              </w:rPr>
            </w:pPr>
          </w:p>
        </w:tc>
        <w:tc>
          <w:tcPr>
            <w:tcW w:w="700" w:type="dxa"/>
            <w:vAlign w:val="bottom"/>
            <w:shd w:val="clear" w:color="auto" w:fill="F1F2F2"/>
          </w:tcPr>
          <w:p>
            <w:pPr>
              <w:spacing w:after="0"/>
              <w:rPr>
                <w:sz w:val="8"/>
                <w:szCs w:val="8"/>
                <w:color w:val="auto"/>
              </w:rPr>
            </w:pPr>
          </w:p>
        </w:tc>
        <w:tc>
          <w:tcPr>
            <w:tcW w:w="480" w:type="dxa"/>
            <w:vAlign w:val="bottom"/>
            <w:shd w:val="clear" w:color="auto" w:fill="F1F2F2"/>
          </w:tcPr>
          <w:p>
            <w:pPr>
              <w:spacing w:after="0"/>
              <w:rPr>
                <w:sz w:val="8"/>
                <w:szCs w:val="8"/>
                <w:color w:val="auto"/>
              </w:rPr>
            </w:pPr>
          </w:p>
        </w:tc>
        <w:tc>
          <w:tcPr>
            <w:tcW w:w="780" w:type="dxa"/>
            <w:vAlign w:val="bottom"/>
            <w:shd w:val="clear" w:color="auto" w:fill="F1F2F2"/>
          </w:tcPr>
          <w:p>
            <w:pPr>
              <w:spacing w:after="0"/>
              <w:rPr>
                <w:sz w:val="8"/>
                <w:szCs w:val="8"/>
                <w:color w:val="auto"/>
              </w:rPr>
            </w:pPr>
          </w:p>
        </w:tc>
        <w:tc>
          <w:tcPr>
            <w:tcW w:w="1140" w:type="dxa"/>
            <w:vAlign w:val="bottom"/>
            <w:shd w:val="clear" w:color="auto" w:fill="F1F2F2"/>
          </w:tcPr>
          <w:p>
            <w:pPr>
              <w:spacing w:after="0"/>
              <w:rPr>
                <w:sz w:val="8"/>
                <w:szCs w:val="8"/>
                <w:color w:val="auto"/>
              </w:rPr>
            </w:pPr>
          </w:p>
        </w:tc>
        <w:tc>
          <w:tcPr>
            <w:tcW w:w="800" w:type="dxa"/>
            <w:vAlign w:val="bottom"/>
            <w:shd w:val="clear" w:color="auto" w:fill="F1F2F2"/>
          </w:tcPr>
          <w:p>
            <w:pPr>
              <w:spacing w:after="0"/>
              <w:rPr>
                <w:sz w:val="8"/>
                <w:szCs w:val="8"/>
                <w:color w:val="auto"/>
              </w:rPr>
            </w:pPr>
          </w:p>
        </w:tc>
        <w:tc>
          <w:tcPr>
            <w:tcW w:w="700" w:type="dxa"/>
            <w:vAlign w:val="bottom"/>
            <w:shd w:val="clear" w:color="auto" w:fill="F1F2F2"/>
          </w:tcPr>
          <w:p>
            <w:pPr>
              <w:spacing w:after="0"/>
              <w:rPr>
                <w:sz w:val="8"/>
                <w:szCs w:val="8"/>
                <w:color w:val="auto"/>
              </w:rPr>
            </w:pPr>
          </w:p>
        </w:tc>
        <w:tc>
          <w:tcPr>
            <w:tcW w:w="720" w:type="dxa"/>
            <w:vAlign w:val="bottom"/>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F3F3F3"/>
          </w:tcPr>
          <w:p>
            <w:pPr>
              <w:spacing w:after="0"/>
              <w:rPr>
                <w:sz w:val="19"/>
                <w:szCs w:val="19"/>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shd w:val="clear" w:color="auto" w:fill="F1F2F2"/>
          </w:tcPr>
          <w:p>
            <w:pPr>
              <w:spacing w:after="0"/>
              <w:rPr>
                <w:sz w:val="19"/>
                <w:szCs w:val="19"/>
                <w:color w:val="auto"/>
              </w:rPr>
            </w:pPr>
          </w:p>
        </w:tc>
        <w:tc>
          <w:tcPr>
            <w:tcW w:w="800" w:type="dxa"/>
            <w:vAlign w:val="bottom"/>
            <w:shd w:val="clear" w:color="auto" w:fill="F1F2F2"/>
          </w:tcPr>
          <w:p>
            <w:pPr>
              <w:spacing w:after="0"/>
              <w:rPr>
                <w:sz w:val="19"/>
                <w:szCs w:val="19"/>
                <w:color w:val="auto"/>
              </w:rPr>
            </w:pPr>
          </w:p>
        </w:tc>
        <w:tc>
          <w:tcPr>
            <w:tcW w:w="140" w:type="dxa"/>
            <w:vAlign w:val="bottom"/>
            <w:shd w:val="clear" w:color="auto" w:fill="F1F2F2"/>
          </w:tcPr>
          <w:p>
            <w:pPr>
              <w:spacing w:after="0"/>
              <w:rPr>
                <w:sz w:val="19"/>
                <w:szCs w:val="19"/>
                <w:color w:val="auto"/>
              </w:rPr>
            </w:pPr>
          </w:p>
        </w:tc>
        <w:tc>
          <w:tcPr>
            <w:tcW w:w="660" w:type="dxa"/>
            <w:vAlign w:val="bottom"/>
            <w:shd w:val="clear" w:color="auto" w:fill="F1F2F2"/>
          </w:tcPr>
          <w:p>
            <w:pPr>
              <w:spacing w:after="0"/>
              <w:rPr>
                <w:sz w:val="19"/>
                <w:szCs w:val="19"/>
                <w:color w:val="auto"/>
              </w:rPr>
            </w:pPr>
          </w:p>
        </w:tc>
        <w:tc>
          <w:tcPr>
            <w:tcW w:w="9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483</w:t>
            </w:r>
          </w:p>
        </w:tc>
        <w:tc>
          <w:tcPr>
            <w:tcW w:w="7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965</w:t>
            </w:r>
          </w:p>
        </w:tc>
        <w:tc>
          <w:tcPr>
            <w:tcW w:w="48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1,930</w:t>
            </w:r>
          </w:p>
        </w:tc>
        <w:tc>
          <w:tcPr>
            <w:tcW w:w="780" w:type="dxa"/>
            <w:vAlign w:val="bottom"/>
            <w:shd w:val="clear" w:color="auto" w:fill="F1F2F2"/>
          </w:tcPr>
          <w:p>
            <w:pPr>
              <w:spacing w:after="0"/>
              <w:rPr>
                <w:sz w:val="19"/>
                <w:szCs w:val="19"/>
                <w:color w:val="auto"/>
              </w:rPr>
            </w:pPr>
          </w:p>
        </w:tc>
        <w:tc>
          <w:tcPr>
            <w:tcW w:w="1140" w:type="dxa"/>
            <w:vAlign w:val="bottom"/>
            <w:shd w:val="clear" w:color="auto" w:fill="F1F2F2"/>
          </w:tcPr>
          <w:p>
            <w:pPr>
              <w:spacing w:after="0"/>
              <w:rPr>
                <w:sz w:val="19"/>
                <w:szCs w:val="19"/>
                <w:color w:val="auto"/>
              </w:rPr>
            </w:pPr>
          </w:p>
        </w:tc>
        <w:tc>
          <w:tcPr>
            <w:tcW w:w="800" w:type="dxa"/>
            <w:vAlign w:val="bottom"/>
            <w:shd w:val="clear" w:color="auto" w:fill="F1F2F2"/>
          </w:tcPr>
          <w:p>
            <w:pPr>
              <w:spacing w:after="0"/>
              <w:rPr>
                <w:sz w:val="19"/>
                <w:szCs w:val="19"/>
                <w:color w:val="auto"/>
              </w:rPr>
            </w:pPr>
          </w:p>
        </w:tc>
        <w:tc>
          <w:tcPr>
            <w:tcW w:w="700" w:type="dxa"/>
            <w:vAlign w:val="bottom"/>
            <w:shd w:val="clear" w:color="auto" w:fill="F1F2F2"/>
          </w:tcPr>
          <w:p>
            <w:pPr>
              <w:spacing w:after="0"/>
              <w:rPr>
                <w:sz w:val="19"/>
                <w:szCs w:val="19"/>
                <w:color w:val="auto"/>
              </w:rPr>
            </w:pPr>
          </w:p>
        </w:tc>
        <w:tc>
          <w:tcPr>
            <w:tcW w:w="7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540,911</w:t>
            </w:r>
          </w:p>
        </w:tc>
        <w:tc>
          <w:tcPr>
            <w:tcW w:w="100" w:type="dxa"/>
            <w:vAlign w:val="bottom"/>
            <w:shd w:val="clear" w:color="auto" w:fill="F1F2F2"/>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F3F3F3"/>
          </w:tcPr>
          <w:p>
            <w:pPr>
              <w:spacing w:after="0"/>
              <w:rPr>
                <w:sz w:val="8"/>
                <w:szCs w:val="8"/>
                <w:color w:val="auto"/>
              </w:rPr>
            </w:pP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shd w:val="clear" w:color="auto" w:fill="F1F2F2"/>
          </w:tcPr>
          <w:p>
            <w:pPr>
              <w:spacing w:after="0"/>
              <w:rPr>
                <w:sz w:val="8"/>
                <w:szCs w:val="8"/>
                <w:color w:val="auto"/>
              </w:rPr>
            </w:pPr>
          </w:p>
        </w:tc>
        <w:tc>
          <w:tcPr>
            <w:tcW w:w="800" w:type="dxa"/>
            <w:vAlign w:val="bottom"/>
            <w:shd w:val="clear" w:color="auto" w:fill="F1F2F2"/>
          </w:tcPr>
          <w:p>
            <w:pPr>
              <w:spacing w:after="0"/>
              <w:rPr>
                <w:sz w:val="8"/>
                <w:szCs w:val="8"/>
                <w:color w:val="auto"/>
              </w:rPr>
            </w:pPr>
          </w:p>
        </w:tc>
        <w:tc>
          <w:tcPr>
            <w:tcW w:w="140" w:type="dxa"/>
            <w:vAlign w:val="bottom"/>
            <w:shd w:val="clear" w:color="auto" w:fill="F1F2F2"/>
          </w:tcPr>
          <w:p>
            <w:pPr>
              <w:spacing w:after="0"/>
              <w:rPr>
                <w:sz w:val="8"/>
                <w:szCs w:val="8"/>
                <w:color w:val="auto"/>
              </w:rPr>
            </w:pPr>
          </w:p>
        </w:tc>
        <w:tc>
          <w:tcPr>
            <w:tcW w:w="660" w:type="dxa"/>
            <w:vAlign w:val="bottom"/>
            <w:shd w:val="clear" w:color="auto" w:fill="F1F2F2"/>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880" w:type="dxa"/>
            <w:vAlign w:val="bottom"/>
            <w:shd w:val="clear" w:color="auto" w:fill="F1F2F2"/>
          </w:tcPr>
          <w:p>
            <w:pPr>
              <w:spacing w:after="0"/>
              <w:rPr>
                <w:sz w:val="8"/>
                <w:szCs w:val="8"/>
                <w:color w:val="auto"/>
              </w:rPr>
            </w:pPr>
          </w:p>
        </w:tc>
        <w:tc>
          <w:tcPr>
            <w:tcW w:w="700" w:type="dxa"/>
            <w:vAlign w:val="bottom"/>
            <w:shd w:val="clear" w:color="auto" w:fill="F1F2F2"/>
          </w:tcPr>
          <w:p>
            <w:pPr>
              <w:spacing w:after="0"/>
              <w:rPr>
                <w:sz w:val="8"/>
                <w:szCs w:val="8"/>
                <w:color w:val="auto"/>
              </w:rPr>
            </w:pPr>
          </w:p>
        </w:tc>
        <w:tc>
          <w:tcPr>
            <w:tcW w:w="480" w:type="dxa"/>
            <w:vAlign w:val="bottom"/>
            <w:shd w:val="clear" w:color="auto" w:fill="F1F2F2"/>
          </w:tcPr>
          <w:p>
            <w:pPr>
              <w:spacing w:after="0"/>
              <w:rPr>
                <w:sz w:val="8"/>
                <w:szCs w:val="8"/>
                <w:color w:val="auto"/>
              </w:rPr>
            </w:pPr>
          </w:p>
        </w:tc>
        <w:tc>
          <w:tcPr>
            <w:tcW w:w="78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579</w:t>
            </w:r>
          </w:p>
        </w:tc>
        <w:tc>
          <w:tcPr>
            <w:tcW w:w="1140" w:type="dxa"/>
            <w:vAlign w:val="bottom"/>
            <w:shd w:val="clear" w:color="auto" w:fill="F1F2F2"/>
          </w:tcPr>
          <w:p>
            <w:pPr>
              <w:spacing w:after="0"/>
              <w:rPr>
                <w:sz w:val="8"/>
                <w:szCs w:val="8"/>
                <w:color w:val="auto"/>
              </w:rPr>
            </w:pPr>
          </w:p>
        </w:tc>
        <w:tc>
          <w:tcPr>
            <w:tcW w:w="800" w:type="dxa"/>
            <w:vAlign w:val="bottom"/>
            <w:shd w:val="clear" w:color="auto" w:fill="F1F2F2"/>
          </w:tcPr>
          <w:p>
            <w:pPr>
              <w:spacing w:after="0"/>
              <w:rPr>
                <w:sz w:val="8"/>
                <w:szCs w:val="8"/>
                <w:color w:val="auto"/>
              </w:rPr>
            </w:pPr>
          </w:p>
        </w:tc>
        <w:tc>
          <w:tcPr>
            <w:tcW w:w="700" w:type="dxa"/>
            <w:vAlign w:val="bottom"/>
            <w:shd w:val="clear" w:color="auto" w:fill="F1F2F2"/>
          </w:tcPr>
          <w:p>
            <w:pPr>
              <w:spacing w:after="0"/>
              <w:rPr>
                <w:sz w:val="8"/>
                <w:szCs w:val="8"/>
                <w:color w:val="auto"/>
              </w:rPr>
            </w:pPr>
          </w:p>
        </w:tc>
        <w:tc>
          <w:tcPr>
            <w:tcW w:w="7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324,547</w:t>
            </w:r>
          </w:p>
        </w:tc>
        <w:tc>
          <w:tcPr>
            <w:tcW w:w="100" w:type="dxa"/>
            <w:vAlign w:val="bottom"/>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800" w:type="dxa"/>
            <w:vAlign w:val="bottom"/>
            <w:shd w:val="clear" w:color="auto" w:fill="F1F2F2"/>
          </w:tcPr>
          <w:p>
            <w:pPr>
              <w:spacing w:after="0"/>
              <w:rPr>
                <w:sz w:val="15"/>
                <w:szCs w:val="15"/>
                <w:color w:val="auto"/>
              </w:rPr>
            </w:pPr>
          </w:p>
        </w:tc>
        <w:tc>
          <w:tcPr>
            <w:tcW w:w="780" w:type="dxa"/>
            <w:vAlign w:val="bottom"/>
            <w:vMerge w:val="continue"/>
            <w:shd w:val="clear" w:color="auto" w:fill="F1F2F2"/>
          </w:tcPr>
          <w:p>
            <w:pPr>
              <w:spacing w:after="0"/>
              <w:rPr>
                <w:sz w:val="15"/>
                <w:szCs w:val="15"/>
                <w:color w:val="auto"/>
              </w:rPr>
            </w:pPr>
          </w:p>
        </w:tc>
        <w:tc>
          <w:tcPr>
            <w:tcW w:w="780" w:type="dxa"/>
            <w:vAlign w:val="bottom"/>
            <w:vMerge w:val="continue"/>
            <w:shd w:val="clear" w:color="auto" w:fill="F1F2F2"/>
          </w:tcPr>
          <w:p>
            <w:pPr>
              <w:spacing w:after="0"/>
              <w:rPr>
                <w:sz w:val="15"/>
                <w:szCs w:val="15"/>
                <w:color w:val="auto"/>
              </w:rPr>
            </w:pPr>
          </w:p>
        </w:tc>
        <w:tc>
          <w:tcPr>
            <w:tcW w:w="880" w:type="dxa"/>
            <w:vAlign w:val="bottom"/>
            <w:shd w:val="clear" w:color="auto" w:fill="F1F2F2"/>
          </w:tcPr>
          <w:p>
            <w:pPr>
              <w:spacing w:after="0"/>
              <w:rPr>
                <w:sz w:val="15"/>
                <w:szCs w:val="15"/>
                <w:color w:val="auto"/>
              </w:rPr>
            </w:pPr>
          </w:p>
        </w:tc>
        <w:tc>
          <w:tcPr>
            <w:tcW w:w="800" w:type="dxa"/>
            <w:vAlign w:val="bottom"/>
            <w:shd w:val="clear" w:color="auto" w:fill="F1F2F2"/>
          </w:tcPr>
          <w:p>
            <w:pPr>
              <w:spacing w:after="0"/>
              <w:rPr>
                <w:sz w:val="15"/>
                <w:szCs w:val="15"/>
                <w:color w:val="auto"/>
              </w:rPr>
            </w:pPr>
          </w:p>
        </w:tc>
        <w:tc>
          <w:tcPr>
            <w:tcW w:w="140" w:type="dxa"/>
            <w:vAlign w:val="bottom"/>
            <w:shd w:val="clear" w:color="auto" w:fill="F1F2F2"/>
          </w:tcPr>
          <w:p>
            <w:pPr>
              <w:spacing w:after="0"/>
              <w:rPr>
                <w:sz w:val="15"/>
                <w:szCs w:val="15"/>
                <w:color w:val="auto"/>
              </w:rPr>
            </w:pPr>
          </w:p>
        </w:tc>
        <w:tc>
          <w:tcPr>
            <w:tcW w:w="660" w:type="dxa"/>
            <w:vAlign w:val="bottom"/>
            <w:shd w:val="clear" w:color="auto" w:fill="F1F2F2"/>
          </w:tcPr>
          <w:p>
            <w:pPr>
              <w:spacing w:after="0"/>
              <w:rPr>
                <w:sz w:val="15"/>
                <w:szCs w:val="15"/>
                <w:color w:val="auto"/>
              </w:rPr>
            </w:pPr>
          </w:p>
        </w:tc>
        <w:tc>
          <w:tcPr>
            <w:tcW w:w="100" w:type="dxa"/>
            <w:vAlign w:val="bottom"/>
            <w:shd w:val="clear" w:color="auto" w:fill="F1F2F2"/>
          </w:tcPr>
          <w:p>
            <w:pPr>
              <w:spacing w:after="0"/>
              <w:rPr>
                <w:sz w:val="15"/>
                <w:szCs w:val="15"/>
                <w:color w:val="auto"/>
              </w:rPr>
            </w:pPr>
          </w:p>
        </w:tc>
        <w:tc>
          <w:tcPr>
            <w:tcW w:w="880" w:type="dxa"/>
            <w:vAlign w:val="bottom"/>
            <w:shd w:val="clear" w:color="auto" w:fill="F1F2F2"/>
          </w:tcPr>
          <w:p>
            <w:pPr>
              <w:spacing w:after="0"/>
              <w:rPr>
                <w:sz w:val="15"/>
                <w:szCs w:val="15"/>
                <w:color w:val="auto"/>
              </w:rPr>
            </w:pPr>
          </w:p>
        </w:tc>
        <w:tc>
          <w:tcPr>
            <w:tcW w:w="700" w:type="dxa"/>
            <w:vAlign w:val="bottom"/>
            <w:shd w:val="clear" w:color="auto" w:fill="F1F2F2"/>
          </w:tcPr>
          <w:p>
            <w:pPr>
              <w:spacing w:after="0"/>
              <w:rPr>
                <w:sz w:val="15"/>
                <w:szCs w:val="15"/>
                <w:color w:val="auto"/>
              </w:rPr>
            </w:pPr>
          </w:p>
        </w:tc>
        <w:tc>
          <w:tcPr>
            <w:tcW w:w="480" w:type="dxa"/>
            <w:vAlign w:val="bottom"/>
            <w:shd w:val="clear" w:color="auto" w:fill="F1F2F2"/>
          </w:tcPr>
          <w:p>
            <w:pPr>
              <w:spacing w:after="0"/>
              <w:rPr>
                <w:sz w:val="15"/>
                <w:szCs w:val="15"/>
                <w:color w:val="auto"/>
              </w:rPr>
            </w:pPr>
          </w:p>
        </w:tc>
        <w:tc>
          <w:tcPr>
            <w:tcW w:w="780" w:type="dxa"/>
            <w:vAlign w:val="bottom"/>
            <w:vMerge w:val="continue"/>
            <w:shd w:val="clear" w:color="auto" w:fill="F1F2F2"/>
          </w:tcPr>
          <w:p>
            <w:pPr>
              <w:spacing w:after="0"/>
              <w:rPr>
                <w:sz w:val="15"/>
                <w:szCs w:val="15"/>
                <w:color w:val="auto"/>
              </w:rPr>
            </w:pPr>
          </w:p>
        </w:tc>
        <w:tc>
          <w:tcPr>
            <w:tcW w:w="1140" w:type="dxa"/>
            <w:vAlign w:val="bottom"/>
            <w:shd w:val="clear" w:color="auto" w:fill="F1F2F2"/>
          </w:tcPr>
          <w:p>
            <w:pPr>
              <w:spacing w:after="0"/>
              <w:rPr>
                <w:sz w:val="15"/>
                <w:szCs w:val="15"/>
                <w:color w:val="auto"/>
              </w:rPr>
            </w:pPr>
          </w:p>
        </w:tc>
        <w:tc>
          <w:tcPr>
            <w:tcW w:w="800" w:type="dxa"/>
            <w:vAlign w:val="bottom"/>
            <w:shd w:val="clear" w:color="auto" w:fill="F1F2F2"/>
          </w:tcPr>
          <w:p>
            <w:pPr>
              <w:spacing w:after="0"/>
              <w:rPr>
                <w:sz w:val="15"/>
                <w:szCs w:val="15"/>
                <w:color w:val="auto"/>
              </w:rPr>
            </w:pPr>
          </w:p>
        </w:tc>
        <w:tc>
          <w:tcPr>
            <w:tcW w:w="700" w:type="dxa"/>
            <w:vAlign w:val="bottom"/>
            <w:shd w:val="clear" w:color="auto" w:fill="F1F2F2"/>
          </w:tcPr>
          <w:p>
            <w:pPr>
              <w:spacing w:after="0"/>
              <w:rPr>
                <w:sz w:val="15"/>
                <w:szCs w:val="15"/>
                <w:color w:val="auto"/>
              </w:rPr>
            </w:pPr>
          </w:p>
        </w:tc>
        <w:tc>
          <w:tcPr>
            <w:tcW w:w="720" w:type="dxa"/>
            <w:vAlign w:val="bottom"/>
            <w:vMerge w:val="continue"/>
            <w:shd w:val="clear" w:color="auto" w:fill="F1F2F2"/>
          </w:tcPr>
          <w:p>
            <w:pPr>
              <w:spacing w:after="0"/>
              <w:rPr>
                <w:sz w:val="15"/>
                <w:szCs w:val="15"/>
                <w:color w:val="auto"/>
              </w:rPr>
            </w:pPr>
          </w:p>
        </w:tc>
        <w:tc>
          <w:tcPr>
            <w:tcW w:w="10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0" w:type="dxa"/>
            <w:vAlign w:val="bottom"/>
            <w:shd w:val="clear" w:color="auto" w:fill="F1F2F2"/>
          </w:tcPr>
          <w:p>
            <w:pPr>
              <w:spacing w:after="0"/>
              <w:rPr>
                <w:sz w:val="17"/>
                <w:szCs w:val="17"/>
                <w:color w:val="auto"/>
              </w:rPr>
            </w:pP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7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12/5/2024</w:t>
            </w:r>
          </w:p>
        </w:tc>
        <w:tc>
          <w:tcPr>
            <w:tcW w:w="880" w:type="dxa"/>
            <w:vAlign w:val="bottom"/>
            <w:shd w:val="clear" w:color="auto" w:fill="F1F2F2"/>
          </w:tcPr>
          <w:p>
            <w:pPr>
              <w:spacing w:after="0"/>
              <w:rPr>
                <w:sz w:val="17"/>
                <w:szCs w:val="17"/>
                <w:color w:val="auto"/>
              </w:rPr>
            </w:pPr>
          </w:p>
        </w:tc>
        <w:tc>
          <w:tcPr>
            <w:tcW w:w="800" w:type="dxa"/>
            <w:vAlign w:val="bottom"/>
            <w:shd w:val="clear" w:color="auto" w:fill="F1F2F2"/>
          </w:tcPr>
          <w:p>
            <w:pPr>
              <w:spacing w:after="0"/>
              <w:rPr>
                <w:sz w:val="17"/>
                <w:szCs w:val="17"/>
                <w:color w:val="auto"/>
              </w:rPr>
            </w:pPr>
          </w:p>
        </w:tc>
        <w:tc>
          <w:tcPr>
            <w:tcW w:w="140" w:type="dxa"/>
            <w:vAlign w:val="bottom"/>
            <w:shd w:val="clear" w:color="auto" w:fill="F1F2F2"/>
          </w:tcPr>
          <w:p>
            <w:pPr>
              <w:spacing w:after="0"/>
              <w:rPr>
                <w:sz w:val="17"/>
                <w:szCs w:val="17"/>
                <w:color w:val="auto"/>
              </w:rPr>
            </w:pPr>
          </w:p>
        </w:tc>
        <w:tc>
          <w:tcPr>
            <w:tcW w:w="66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80" w:type="dxa"/>
            <w:vAlign w:val="bottom"/>
            <w:shd w:val="clear" w:color="auto" w:fill="F1F2F2"/>
          </w:tcPr>
          <w:p>
            <w:pPr>
              <w:spacing w:after="0"/>
              <w:rPr>
                <w:sz w:val="17"/>
                <w:szCs w:val="17"/>
                <w:color w:val="auto"/>
              </w:rPr>
            </w:pPr>
          </w:p>
        </w:tc>
        <w:tc>
          <w:tcPr>
            <w:tcW w:w="700" w:type="dxa"/>
            <w:vAlign w:val="bottom"/>
            <w:shd w:val="clear" w:color="auto" w:fill="F1F2F2"/>
          </w:tcPr>
          <w:p>
            <w:pPr>
              <w:spacing w:after="0"/>
              <w:rPr>
                <w:sz w:val="17"/>
                <w:szCs w:val="17"/>
                <w:color w:val="auto"/>
              </w:rPr>
            </w:pPr>
          </w:p>
        </w:tc>
        <w:tc>
          <w:tcPr>
            <w:tcW w:w="480" w:type="dxa"/>
            <w:vAlign w:val="bottom"/>
            <w:shd w:val="clear" w:color="auto" w:fill="F1F2F2"/>
          </w:tcPr>
          <w:p>
            <w:pPr>
              <w:spacing w:after="0"/>
              <w:rPr>
                <w:sz w:val="17"/>
                <w:szCs w:val="17"/>
                <w:color w:val="auto"/>
              </w:rPr>
            </w:pPr>
          </w:p>
        </w:tc>
        <w:tc>
          <w:tcPr>
            <w:tcW w:w="780" w:type="dxa"/>
            <w:vAlign w:val="bottom"/>
            <w:shd w:val="clear" w:color="auto" w:fill="F1F2F2"/>
          </w:tcPr>
          <w:p>
            <w:pPr>
              <w:spacing w:after="0"/>
              <w:rPr>
                <w:sz w:val="17"/>
                <w:szCs w:val="17"/>
                <w:color w:val="auto"/>
              </w:rPr>
            </w:pPr>
          </w:p>
        </w:tc>
        <w:tc>
          <w:tcPr>
            <w:tcW w:w="114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1,369</w:t>
            </w:r>
          </w:p>
        </w:tc>
        <w:tc>
          <w:tcPr>
            <w:tcW w:w="800" w:type="dxa"/>
            <w:vAlign w:val="bottom"/>
            <w:shd w:val="clear" w:color="auto" w:fill="F1F2F2"/>
          </w:tcPr>
          <w:p>
            <w:pPr>
              <w:jc w:val="center"/>
              <w:ind w:left="37"/>
              <w:spacing w:after="0"/>
              <w:rPr>
                <w:sz w:val="20"/>
                <w:szCs w:val="20"/>
                <w:color w:val="auto"/>
              </w:rPr>
            </w:pPr>
            <w:r>
              <w:rPr>
                <w:rFonts w:ascii="Arial" w:cs="Arial" w:eastAsia="Arial" w:hAnsi="Arial"/>
                <w:sz w:val="13"/>
                <w:szCs w:val="13"/>
                <w:color w:val="auto"/>
                <w:w w:val="95"/>
              </w:rPr>
              <w:t>576.28</w:t>
            </w:r>
          </w:p>
        </w:tc>
        <w:tc>
          <w:tcPr>
            <w:tcW w:w="7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582.93</w:t>
            </w:r>
          </w:p>
        </w:tc>
        <w:tc>
          <w:tcPr>
            <w:tcW w:w="7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221,094</w:t>
            </w:r>
          </w:p>
        </w:tc>
        <w:tc>
          <w:tcPr>
            <w:tcW w:w="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80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880" w:type="dxa"/>
            <w:vAlign w:val="bottom"/>
            <w:shd w:val="clear" w:color="auto" w:fill="F1F2F2"/>
          </w:tcPr>
          <w:p>
            <w:pPr>
              <w:spacing w:after="0"/>
              <w:rPr>
                <w:sz w:val="2"/>
                <w:szCs w:val="2"/>
                <w:color w:val="auto"/>
              </w:rPr>
            </w:pPr>
          </w:p>
        </w:tc>
        <w:tc>
          <w:tcPr>
            <w:tcW w:w="800" w:type="dxa"/>
            <w:vAlign w:val="bottom"/>
            <w:shd w:val="clear" w:color="auto" w:fill="F1F2F2"/>
          </w:tcPr>
          <w:p>
            <w:pPr>
              <w:spacing w:after="0"/>
              <w:rPr>
                <w:sz w:val="2"/>
                <w:szCs w:val="2"/>
                <w:color w:val="auto"/>
              </w:rPr>
            </w:pPr>
          </w:p>
        </w:tc>
        <w:tc>
          <w:tcPr>
            <w:tcW w:w="140" w:type="dxa"/>
            <w:vAlign w:val="bottom"/>
            <w:shd w:val="clear" w:color="auto" w:fill="F1F2F2"/>
          </w:tcPr>
          <w:p>
            <w:pPr>
              <w:spacing w:after="0"/>
              <w:rPr>
                <w:sz w:val="2"/>
                <w:szCs w:val="2"/>
                <w:color w:val="auto"/>
              </w:rPr>
            </w:pPr>
          </w:p>
        </w:tc>
        <w:tc>
          <w:tcPr>
            <w:tcW w:w="660" w:type="dxa"/>
            <w:vAlign w:val="bottom"/>
            <w:shd w:val="clear" w:color="auto" w:fill="F1F2F2"/>
          </w:tcPr>
          <w:p>
            <w:pPr>
              <w:spacing w:after="0"/>
              <w:rPr>
                <w:sz w:val="2"/>
                <w:szCs w:val="2"/>
                <w:color w:val="auto"/>
              </w:rPr>
            </w:pPr>
          </w:p>
        </w:tc>
        <w:tc>
          <w:tcPr>
            <w:tcW w:w="100" w:type="dxa"/>
            <w:vAlign w:val="bottom"/>
            <w:shd w:val="clear" w:color="auto" w:fill="F1F2F2"/>
          </w:tcPr>
          <w:p>
            <w:pPr>
              <w:spacing w:after="0"/>
              <w:rPr>
                <w:sz w:val="2"/>
                <w:szCs w:val="2"/>
                <w:color w:val="auto"/>
              </w:rPr>
            </w:pPr>
          </w:p>
        </w:tc>
        <w:tc>
          <w:tcPr>
            <w:tcW w:w="880" w:type="dxa"/>
            <w:vAlign w:val="bottom"/>
            <w:shd w:val="clear" w:color="auto" w:fill="F1F2F2"/>
          </w:tcPr>
          <w:p>
            <w:pPr>
              <w:spacing w:after="0"/>
              <w:rPr>
                <w:sz w:val="2"/>
                <w:szCs w:val="2"/>
                <w:color w:val="auto"/>
              </w:rPr>
            </w:pPr>
          </w:p>
        </w:tc>
        <w:tc>
          <w:tcPr>
            <w:tcW w:w="700" w:type="dxa"/>
            <w:vAlign w:val="bottom"/>
            <w:shd w:val="clear" w:color="auto" w:fill="F1F2F2"/>
          </w:tcPr>
          <w:p>
            <w:pPr>
              <w:spacing w:after="0"/>
              <w:rPr>
                <w:sz w:val="2"/>
                <w:szCs w:val="2"/>
                <w:color w:val="auto"/>
              </w:rPr>
            </w:pPr>
          </w:p>
        </w:tc>
        <w:tc>
          <w:tcPr>
            <w:tcW w:w="480" w:type="dxa"/>
            <w:vAlign w:val="bottom"/>
            <w:shd w:val="clear" w:color="auto" w:fill="F1F2F2"/>
          </w:tcPr>
          <w:p>
            <w:pPr>
              <w:spacing w:after="0"/>
              <w:rPr>
                <w:sz w:val="2"/>
                <w:szCs w:val="2"/>
                <w:color w:val="auto"/>
              </w:rPr>
            </w:pPr>
          </w:p>
        </w:tc>
        <w:tc>
          <w:tcPr>
            <w:tcW w:w="780" w:type="dxa"/>
            <w:vAlign w:val="bottom"/>
            <w:shd w:val="clear" w:color="auto" w:fill="F1F2F2"/>
          </w:tcPr>
          <w:p>
            <w:pPr>
              <w:spacing w:after="0"/>
              <w:rPr>
                <w:sz w:val="2"/>
                <w:szCs w:val="2"/>
                <w:color w:val="auto"/>
              </w:rPr>
            </w:pPr>
          </w:p>
        </w:tc>
        <w:tc>
          <w:tcPr>
            <w:tcW w:w="1140" w:type="dxa"/>
            <w:vAlign w:val="bottom"/>
            <w:shd w:val="clear" w:color="auto" w:fill="F1F2F2"/>
          </w:tcPr>
          <w:p>
            <w:pPr>
              <w:spacing w:after="0"/>
              <w:rPr>
                <w:sz w:val="2"/>
                <w:szCs w:val="2"/>
                <w:color w:val="auto"/>
              </w:rPr>
            </w:pPr>
          </w:p>
        </w:tc>
        <w:tc>
          <w:tcPr>
            <w:tcW w:w="800" w:type="dxa"/>
            <w:vAlign w:val="bottom"/>
            <w:shd w:val="clear" w:color="auto" w:fill="F1F2F2"/>
          </w:tcPr>
          <w:p>
            <w:pPr>
              <w:spacing w:after="0"/>
              <w:rPr>
                <w:sz w:val="2"/>
                <w:szCs w:val="2"/>
                <w:color w:val="auto"/>
              </w:rPr>
            </w:pPr>
          </w:p>
        </w:tc>
        <w:tc>
          <w:tcPr>
            <w:tcW w:w="700" w:type="dxa"/>
            <w:vAlign w:val="bottom"/>
            <w:shd w:val="clear" w:color="auto" w:fill="F1F2F2"/>
          </w:tcPr>
          <w:p>
            <w:pPr>
              <w:spacing w:after="0"/>
              <w:rPr>
                <w:sz w:val="2"/>
                <w:szCs w:val="2"/>
                <w:color w:val="auto"/>
              </w:rPr>
            </w:pPr>
          </w:p>
        </w:tc>
        <w:tc>
          <w:tcPr>
            <w:tcW w:w="720" w:type="dxa"/>
            <w:vAlign w:val="bottom"/>
            <w:shd w:val="clear" w:color="auto" w:fill="F1F2F2"/>
          </w:tcPr>
          <w:p>
            <w:pPr>
              <w:spacing w:after="0"/>
              <w:rPr>
                <w:sz w:val="2"/>
                <w:szCs w:val="2"/>
                <w:color w:val="auto"/>
              </w:rPr>
            </w:pPr>
          </w:p>
        </w:tc>
        <w:tc>
          <w:tcPr>
            <w:tcW w:w="10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-3402330</wp:posOffset>
            </wp:positionV>
            <wp:extent cx="2948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173" w:lineRule="exact"/>
        <w:rPr>
          <w:sz w:val="20"/>
          <w:szCs w:val="20"/>
          <w:color w:val="auto"/>
        </w:rPr>
      </w:pPr>
    </w:p>
    <w:p>
      <w:pPr>
        <w:ind w:left="340" w:right="60" w:hanging="332"/>
        <w:spacing w:after="0" w:line="285"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represent award opportunities under our STI Program for 2025. The awards were paid March 13, 2026, in the amounts included in the 2025 Summary Compensation Table.</w:t>
      </w:r>
    </w:p>
    <w:p>
      <w:pPr>
        <w:spacing w:after="0" w:line="63" w:lineRule="exact"/>
        <w:rPr>
          <w:rFonts w:ascii="Arial" w:cs="Arial" w:eastAsia="Arial" w:hAnsi="Arial"/>
          <w:sz w:val="14"/>
          <w:szCs w:val="14"/>
          <w:color w:val="auto"/>
        </w:rPr>
      </w:pPr>
    </w:p>
    <w:p>
      <w:pPr>
        <w:ind w:left="340" w:right="500" w:hanging="332"/>
        <w:spacing w:after="0" w:line="305"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represent the PSUs granted, which to the extent earned, will vest and be distributed in shares of our common stock at the end of the three-year performance period ending December 31, 2027.</w:t>
      </w:r>
    </w:p>
    <w:p>
      <w:pPr>
        <w:spacing w:after="0" w:line="49" w:lineRule="exact"/>
        <w:rPr>
          <w:rFonts w:ascii="Arial" w:cs="Arial" w:eastAsia="Arial" w:hAnsi="Arial"/>
          <w:sz w:val="14"/>
          <w:szCs w:val="14"/>
          <w:color w:val="auto"/>
        </w:rPr>
      </w:pPr>
    </w:p>
    <w:p>
      <w:pPr>
        <w:ind w:left="340" w:hanging="332"/>
        <w:spacing w:after="0" w:line="273"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represent the RSUs granted, which generally vest and will be distributed in shares of our common stock on the third anniversary of the date of grant, except for the one-time sign-on award granted to Ms. Martin to replicate the amount and timing of the long-term incentive compensation forfeited from her prior employer, 50% of which vests on the date that is 18 months following the date of grant and the remaining 50% of which vests on the date that is 36 months following the date of grant.</w:t>
      </w:r>
    </w:p>
    <w:p>
      <w:pPr>
        <w:spacing w:after="0" w:line="71" w:lineRule="exact"/>
        <w:rPr>
          <w:rFonts w:ascii="Arial" w:cs="Arial" w:eastAsia="Arial" w:hAnsi="Arial"/>
          <w:sz w:val="14"/>
          <w:szCs w:val="14"/>
          <w:color w:val="auto"/>
        </w:rPr>
      </w:pPr>
    </w:p>
    <w:p>
      <w:pPr>
        <w:ind w:left="340" w:right="60" w:hanging="332"/>
        <w:spacing w:after="0" w:line="305"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represent the SARs granted, which generally vest in one-third increments on each of the first three anniversaries of the date of grant and expire seven years from the date of grant.</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amounts shown reflect the exercise price of SARs granted, based on the average of the high and low NYSE trading prices of our common stock on the date of grant.</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3" w:name="page54"/>
    <w:bookmarkEnd w:id="53"/>
    <w:p>
      <w:pPr>
        <w:ind w:left="332" w:hanging="332"/>
        <w:spacing w:after="0" w:line="283" w:lineRule="auto"/>
        <w:tabs>
          <w:tab w:leader="none" w:pos="319"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shown represent the grant date fair values of PSUs, RSUs and SARs, calculated in accordance with FASB ASC Topic 718. The grant date fair value for SARs was determined using the Black-Scholes valuation model. The grant date fair value for the PSU and RSU awards equals the dividend-discounted value of our common stock on the date of grant. The assumptions used to calculate the grant date fair values of such awards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55880</wp:posOffset>
            </wp:positionV>
            <wp:extent cx="668655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86550" cy="128905"/>
                    </a:xfrm>
                    <a:prstGeom prst="rect">
                      <a:avLst/>
                    </a:prstGeom>
                    <a:noFill/>
                  </pic:spPr>
                </pic:pic>
              </a:graphicData>
            </a:graphic>
          </wp:anchor>
        </w:drawing>
      </w:r>
    </w:p>
    <w:p>
      <w:pPr>
        <w:sectPr>
          <w:pgSz w:w="11900" w:h="16838" w:orient="portrait"/>
          <w:cols w:equalWidth="0" w:num="1">
            <w:col w:w="11192"/>
          </w:cols>
          <w:pgMar w:left="328" w:top="778" w:right="379" w:bottom="1440" w:gutter="0" w:footer="0" w:header="0"/>
        </w:sectPr>
      </w:pPr>
    </w:p>
    <w:p>
      <w:pPr>
        <w:spacing w:after="0" w:line="88" w:lineRule="exact"/>
        <w:rPr>
          <w:sz w:val="20"/>
          <w:szCs w:val="20"/>
          <w:color w:val="auto"/>
        </w:rPr>
      </w:pPr>
    </w:p>
    <w:tbl>
      <w:tblPr>
        <w:tblLayout w:type="fixed"/>
        <w:tblInd w:w="332" w:type="dxa"/>
        <w:tblCellMar>
          <w:top w:w="0" w:type="dxa"/>
          <w:left w:w="0" w:type="dxa"/>
          <w:bottom w:w="0" w:type="dxa"/>
          <w:right w:w="0" w:type="dxa"/>
        </w:tblCellMar>
      </w:tblPr>
      <w:tr>
        <w:trPr>
          <w:trHeight w:val="1045"/>
        </w:trPr>
        <w:tc>
          <w:tcPr>
            <w:tcW w:w="1500" w:type="dxa"/>
            <w:vAlign w:val="bottom"/>
            <w:shd w:val="clear" w:color="auto" w:fill="C60C35"/>
          </w:tcPr>
          <w:p>
            <w:pPr>
              <w:ind w:left="420"/>
              <w:spacing w:after="0"/>
              <w:rPr>
                <w:sz w:val="20"/>
                <w:szCs w:val="20"/>
                <w:color w:val="auto"/>
              </w:rPr>
            </w:pPr>
            <w:r>
              <w:rPr>
                <w:rFonts w:ascii="Arial" w:cs="Arial" w:eastAsia="Arial" w:hAnsi="Arial"/>
                <w:sz w:val="13"/>
                <w:szCs w:val="13"/>
                <w:b w:val="1"/>
                <w:bCs w:val="1"/>
                <w:color w:val="FFFFFF"/>
              </w:rPr>
              <w:t>Grant Date</w:t>
            </w:r>
          </w:p>
        </w:tc>
        <w:tc>
          <w:tcPr>
            <w:tcW w:w="980" w:type="dxa"/>
            <w:vAlign w:val="bottom"/>
          </w:tcPr>
          <w:p>
            <w:pPr>
              <w:jc w:val="center"/>
              <w:ind w:left="217"/>
              <w:spacing w:after="0"/>
              <w:rPr>
                <w:sz w:val="20"/>
                <w:szCs w:val="20"/>
                <w:color w:val="auto"/>
              </w:rPr>
            </w:pPr>
            <w:r>
              <w:rPr>
                <w:rFonts w:ascii="Arial" w:cs="Arial" w:eastAsia="Arial" w:hAnsi="Arial"/>
                <w:sz w:val="13"/>
                <w:szCs w:val="13"/>
                <w:b w:val="1"/>
                <w:bCs w:val="1"/>
                <w:color w:val="FFFFFF"/>
                <w:w w:val="95"/>
              </w:rPr>
              <w:t>Award</w:t>
            </w:r>
          </w:p>
        </w:tc>
        <w:tc>
          <w:tcPr>
            <w:tcW w:w="0" w:type="dxa"/>
            <w:vAlign w:val="bottom"/>
          </w:tcPr>
          <w:p>
            <w:pPr>
              <w:spacing w:after="0"/>
              <w:rPr>
                <w:sz w:val="1"/>
                <w:szCs w:val="1"/>
                <w:color w:val="auto"/>
              </w:rPr>
            </w:pPr>
          </w:p>
        </w:tc>
      </w:tr>
      <w:tr>
        <w:trPr>
          <w:trHeight w:val="116"/>
        </w:trPr>
        <w:tc>
          <w:tcPr>
            <w:tcW w:w="1500" w:type="dxa"/>
            <w:vAlign w:val="bottom"/>
            <w:shd w:val="clear" w:color="auto" w:fill="C60C35"/>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500" w:type="dxa"/>
            <w:vAlign w:val="bottom"/>
          </w:tcPr>
          <w:p>
            <w:pPr>
              <w:jc w:val="center"/>
              <w:spacing w:after="0"/>
              <w:rPr>
                <w:sz w:val="20"/>
                <w:szCs w:val="20"/>
                <w:color w:val="auto"/>
              </w:rPr>
            </w:pPr>
            <w:r>
              <w:rPr>
                <w:rFonts w:ascii="Arial" w:cs="Arial" w:eastAsia="Arial" w:hAnsi="Arial"/>
                <w:sz w:val="13"/>
                <w:szCs w:val="13"/>
                <w:color w:val="auto"/>
                <w:w w:val="98"/>
              </w:rPr>
              <w:t>2/3/2025</w:t>
            </w:r>
          </w:p>
        </w:tc>
        <w:tc>
          <w:tcPr>
            <w:tcW w:w="980" w:type="dxa"/>
            <w:vAlign w:val="bottom"/>
          </w:tcPr>
          <w:p>
            <w:pPr>
              <w:jc w:val="center"/>
              <w:ind w:left="217"/>
              <w:spacing w:after="0"/>
              <w:rPr>
                <w:sz w:val="20"/>
                <w:szCs w:val="20"/>
                <w:color w:val="auto"/>
              </w:rPr>
            </w:pPr>
            <w:r>
              <w:rPr>
                <w:rFonts w:ascii="Arial" w:cs="Arial" w:eastAsia="Arial" w:hAnsi="Arial"/>
                <w:sz w:val="13"/>
                <w:szCs w:val="13"/>
                <w:color w:val="auto"/>
                <w:w w:val="97"/>
              </w:rPr>
              <w:t>PSU</w:t>
            </w:r>
          </w:p>
        </w:tc>
        <w:tc>
          <w:tcPr>
            <w:tcW w:w="0" w:type="dxa"/>
            <w:vAlign w:val="bottom"/>
          </w:tcPr>
          <w:p>
            <w:pPr>
              <w:spacing w:after="0"/>
              <w:rPr>
                <w:sz w:val="1"/>
                <w:szCs w:val="1"/>
                <w:color w:val="auto"/>
              </w:rPr>
            </w:pPr>
          </w:p>
        </w:tc>
      </w:tr>
      <w:tr>
        <w:trPr>
          <w:trHeight w:val="203"/>
        </w:trPr>
        <w:tc>
          <w:tcPr>
            <w:tcW w:w="1500" w:type="dxa"/>
            <w:vAlign w:val="bottom"/>
          </w:tcPr>
          <w:p>
            <w:pPr>
              <w:jc w:val="center"/>
              <w:spacing w:after="0"/>
              <w:rPr>
                <w:sz w:val="20"/>
                <w:szCs w:val="20"/>
                <w:color w:val="auto"/>
              </w:rPr>
            </w:pPr>
            <w:r>
              <w:rPr>
                <w:rFonts w:ascii="Arial" w:cs="Arial" w:eastAsia="Arial" w:hAnsi="Arial"/>
                <w:sz w:val="13"/>
                <w:szCs w:val="13"/>
                <w:color w:val="auto"/>
                <w:w w:val="96"/>
              </w:rPr>
              <w:t>4/28/2025</w:t>
            </w:r>
          </w:p>
        </w:tc>
        <w:tc>
          <w:tcPr>
            <w:tcW w:w="980" w:type="dxa"/>
            <w:vAlign w:val="bottom"/>
          </w:tcPr>
          <w:p>
            <w:pPr>
              <w:jc w:val="center"/>
              <w:ind w:left="217"/>
              <w:spacing w:after="0"/>
              <w:rPr>
                <w:sz w:val="20"/>
                <w:szCs w:val="20"/>
                <w:color w:val="auto"/>
              </w:rPr>
            </w:pPr>
            <w:r>
              <w:rPr>
                <w:rFonts w:ascii="Arial" w:cs="Arial" w:eastAsia="Arial" w:hAnsi="Arial"/>
                <w:sz w:val="13"/>
                <w:szCs w:val="13"/>
                <w:color w:val="auto"/>
                <w:w w:val="97"/>
              </w:rPr>
              <w:t>PSU</w:t>
            </w:r>
          </w:p>
        </w:tc>
        <w:tc>
          <w:tcPr>
            <w:tcW w:w="0" w:type="dxa"/>
            <w:vAlign w:val="bottom"/>
          </w:tcPr>
          <w:p>
            <w:pPr>
              <w:spacing w:after="0"/>
              <w:rPr>
                <w:sz w:val="1"/>
                <w:szCs w:val="1"/>
                <w:color w:val="auto"/>
              </w:rPr>
            </w:pPr>
          </w:p>
        </w:tc>
      </w:tr>
      <w:tr>
        <w:trPr>
          <w:trHeight w:val="203"/>
        </w:trPr>
        <w:tc>
          <w:tcPr>
            <w:tcW w:w="1500" w:type="dxa"/>
            <w:vAlign w:val="bottom"/>
          </w:tcPr>
          <w:p>
            <w:pPr>
              <w:jc w:val="center"/>
              <w:spacing w:after="0"/>
              <w:rPr>
                <w:sz w:val="20"/>
                <w:szCs w:val="20"/>
                <w:color w:val="auto"/>
              </w:rPr>
            </w:pPr>
            <w:r>
              <w:rPr>
                <w:rFonts w:ascii="Arial" w:cs="Arial" w:eastAsia="Arial" w:hAnsi="Arial"/>
                <w:sz w:val="13"/>
                <w:szCs w:val="13"/>
                <w:color w:val="auto"/>
                <w:w w:val="98"/>
              </w:rPr>
              <w:t>2/3/2025</w:t>
            </w:r>
          </w:p>
        </w:tc>
        <w:tc>
          <w:tcPr>
            <w:tcW w:w="980" w:type="dxa"/>
            <w:vAlign w:val="bottom"/>
          </w:tcPr>
          <w:p>
            <w:pPr>
              <w:jc w:val="center"/>
              <w:ind w:left="217"/>
              <w:spacing w:after="0"/>
              <w:rPr>
                <w:sz w:val="20"/>
                <w:szCs w:val="20"/>
                <w:color w:val="auto"/>
              </w:rPr>
            </w:pPr>
            <w:r>
              <w:rPr>
                <w:rFonts w:ascii="Arial" w:cs="Arial" w:eastAsia="Arial" w:hAnsi="Arial"/>
                <w:sz w:val="13"/>
                <w:szCs w:val="13"/>
                <w:color w:val="auto"/>
                <w:w w:val="94"/>
              </w:rPr>
              <w:t>RSU</w:t>
            </w:r>
          </w:p>
        </w:tc>
        <w:tc>
          <w:tcPr>
            <w:tcW w:w="0" w:type="dxa"/>
            <w:vAlign w:val="bottom"/>
          </w:tcPr>
          <w:p>
            <w:pPr>
              <w:spacing w:after="0"/>
              <w:rPr>
                <w:sz w:val="1"/>
                <w:szCs w:val="1"/>
                <w:color w:val="auto"/>
              </w:rPr>
            </w:pPr>
          </w:p>
        </w:tc>
      </w:tr>
      <w:tr>
        <w:trPr>
          <w:trHeight w:val="199"/>
        </w:trPr>
        <w:tc>
          <w:tcPr>
            <w:tcW w:w="1500" w:type="dxa"/>
            <w:vAlign w:val="bottom"/>
            <w:vMerge w:val="restart"/>
          </w:tcPr>
          <w:p>
            <w:pPr>
              <w:jc w:val="center"/>
              <w:spacing w:after="0"/>
              <w:rPr>
                <w:sz w:val="20"/>
                <w:szCs w:val="20"/>
                <w:color w:val="auto"/>
              </w:rPr>
            </w:pPr>
            <w:r>
              <w:rPr>
                <w:rFonts w:ascii="Arial" w:cs="Arial" w:eastAsia="Arial" w:hAnsi="Arial"/>
                <w:sz w:val="13"/>
                <w:szCs w:val="13"/>
                <w:color w:val="auto"/>
                <w:w w:val="96"/>
              </w:rPr>
              <w:t>4/28/2025</w:t>
            </w:r>
          </w:p>
        </w:tc>
        <w:tc>
          <w:tcPr>
            <w:tcW w:w="980" w:type="dxa"/>
            <w:vAlign w:val="bottom"/>
          </w:tcPr>
          <w:p>
            <w:pPr>
              <w:jc w:val="center"/>
              <w:ind w:left="177"/>
              <w:spacing w:after="0"/>
              <w:rPr>
                <w:sz w:val="20"/>
                <w:szCs w:val="20"/>
                <w:color w:val="auto"/>
              </w:rPr>
            </w:pPr>
            <w:r>
              <w:rPr>
                <w:rFonts w:ascii="Arial" w:cs="Arial" w:eastAsia="Arial" w:hAnsi="Arial"/>
                <w:sz w:val="13"/>
                <w:szCs w:val="13"/>
                <w:color w:val="auto"/>
                <w:w w:val="94"/>
              </w:rPr>
              <w:t>RSU</w:t>
            </w:r>
          </w:p>
        </w:tc>
        <w:tc>
          <w:tcPr>
            <w:tcW w:w="0" w:type="dxa"/>
            <w:vAlign w:val="bottom"/>
          </w:tcPr>
          <w:p>
            <w:pPr>
              <w:spacing w:after="0"/>
              <w:rPr>
                <w:sz w:val="1"/>
                <w:szCs w:val="1"/>
                <w:color w:val="auto"/>
              </w:rPr>
            </w:pPr>
          </w:p>
        </w:tc>
      </w:tr>
      <w:tr>
        <w:trPr>
          <w:trHeight w:val="71"/>
        </w:trPr>
        <w:tc>
          <w:tcPr>
            <w:tcW w:w="1500" w:type="dxa"/>
            <w:vAlign w:val="bottom"/>
            <w:vMerge w:val="continue"/>
          </w:tcPr>
          <w:p>
            <w:pPr>
              <w:spacing w:after="0"/>
              <w:rPr>
                <w:sz w:val="6"/>
                <w:szCs w:val="6"/>
                <w:color w:val="auto"/>
              </w:rPr>
            </w:pPr>
          </w:p>
        </w:tc>
        <w:tc>
          <w:tcPr>
            <w:tcW w:w="980" w:type="dxa"/>
            <w:vAlign w:val="bottom"/>
            <w:vMerge w:val="restart"/>
          </w:tcPr>
          <w:p>
            <w:pPr>
              <w:jc w:val="center"/>
              <w:ind w:left="197"/>
              <w:spacing w:after="0"/>
              <w:rPr>
                <w:sz w:val="20"/>
                <w:szCs w:val="20"/>
                <w:color w:val="auto"/>
              </w:rPr>
            </w:pPr>
            <w:r>
              <w:rPr>
                <w:rFonts w:ascii="Arial" w:cs="Arial" w:eastAsia="Arial" w:hAnsi="Arial"/>
                <w:sz w:val="13"/>
                <w:szCs w:val="13"/>
                <w:color w:val="auto"/>
                <w:w w:val="95"/>
              </w:rPr>
              <w:t>1.5-year vest</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500" w:type="dxa"/>
            <w:vAlign w:val="bottom"/>
            <w:vMerge w:val="restart"/>
          </w:tcPr>
          <w:p>
            <w:pPr>
              <w:jc w:val="center"/>
              <w:spacing w:after="0"/>
              <w:rPr>
                <w:sz w:val="20"/>
                <w:szCs w:val="20"/>
                <w:color w:val="auto"/>
              </w:rPr>
            </w:pPr>
            <w:r>
              <w:rPr>
                <w:rFonts w:ascii="Arial" w:cs="Arial" w:eastAsia="Arial" w:hAnsi="Arial"/>
                <w:sz w:val="13"/>
                <w:szCs w:val="13"/>
                <w:color w:val="auto"/>
                <w:w w:val="96"/>
              </w:rPr>
              <w:t>4/28/2025</w:t>
            </w:r>
          </w:p>
        </w:tc>
        <w:tc>
          <w:tcPr>
            <w:tcW w:w="980" w:type="dxa"/>
            <w:vAlign w:val="bottom"/>
          </w:tcPr>
          <w:p>
            <w:pPr>
              <w:jc w:val="center"/>
              <w:ind w:left="177"/>
              <w:spacing w:after="0"/>
              <w:rPr>
                <w:sz w:val="20"/>
                <w:szCs w:val="20"/>
                <w:color w:val="auto"/>
              </w:rPr>
            </w:pPr>
            <w:r>
              <w:rPr>
                <w:rFonts w:ascii="Arial" w:cs="Arial" w:eastAsia="Arial" w:hAnsi="Arial"/>
                <w:sz w:val="13"/>
                <w:szCs w:val="13"/>
                <w:color w:val="auto"/>
                <w:w w:val="94"/>
              </w:rPr>
              <w:t>RSU</w:t>
            </w:r>
          </w:p>
        </w:tc>
        <w:tc>
          <w:tcPr>
            <w:tcW w:w="0" w:type="dxa"/>
            <w:vAlign w:val="bottom"/>
          </w:tcPr>
          <w:p>
            <w:pPr>
              <w:spacing w:after="0"/>
              <w:rPr>
                <w:sz w:val="1"/>
                <w:szCs w:val="1"/>
                <w:color w:val="auto"/>
              </w:rPr>
            </w:pPr>
          </w:p>
        </w:tc>
      </w:tr>
      <w:tr>
        <w:trPr>
          <w:trHeight w:val="71"/>
        </w:trPr>
        <w:tc>
          <w:tcPr>
            <w:tcW w:w="1500" w:type="dxa"/>
            <w:vAlign w:val="bottom"/>
            <w:vMerge w:val="continue"/>
          </w:tcPr>
          <w:p>
            <w:pPr>
              <w:spacing w:after="0"/>
              <w:rPr>
                <w:sz w:val="6"/>
                <w:szCs w:val="6"/>
                <w:color w:val="auto"/>
              </w:rPr>
            </w:pPr>
          </w:p>
        </w:tc>
        <w:tc>
          <w:tcPr>
            <w:tcW w:w="980" w:type="dxa"/>
            <w:vAlign w:val="bottom"/>
            <w:vMerge w:val="restart"/>
          </w:tcPr>
          <w:p>
            <w:pPr>
              <w:jc w:val="center"/>
              <w:ind w:left="217"/>
              <w:spacing w:after="0"/>
              <w:rPr>
                <w:sz w:val="20"/>
                <w:szCs w:val="20"/>
                <w:color w:val="auto"/>
              </w:rPr>
            </w:pPr>
            <w:r>
              <w:rPr>
                <w:rFonts w:ascii="Arial" w:cs="Arial" w:eastAsia="Arial" w:hAnsi="Arial"/>
                <w:sz w:val="13"/>
                <w:szCs w:val="13"/>
                <w:color w:val="auto"/>
                <w:w w:val="96"/>
              </w:rPr>
              <w:t>3-year vest</w:t>
            </w:r>
          </w:p>
        </w:tc>
        <w:tc>
          <w:tcPr>
            <w:tcW w:w="0" w:type="dxa"/>
            <w:vAlign w:val="bottom"/>
          </w:tcPr>
          <w:p>
            <w:pPr>
              <w:spacing w:after="0"/>
              <w:rPr>
                <w:sz w:val="1"/>
                <w:szCs w:val="1"/>
                <w:color w:val="auto"/>
              </w:rPr>
            </w:pPr>
          </w:p>
        </w:tc>
      </w:tr>
      <w:tr>
        <w:trPr>
          <w:trHeight w:val="94"/>
        </w:trPr>
        <w:tc>
          <w:tcPr>
            <w:tcW w:w="15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500" w:type="dxa"/>
            <w:vAlign w:val="bottom"/>
          </w:tcPr>
          <w:p>
            <w:pPr>
              <w:jc w:val="center"/>
              <w:spacing w:after="0"/>
              <w:rPr>
                <w:sz w:val="20"/>
                <w:szCs w:val="20"/>
                <w:color w:val="auto"/>
              </w:rPr>
            </w:pPr>
            <w:r>
              <w:rPr>
                <w:rFonts w:ascii="Arial" w:cs="Arial" w:eastAsia="Arial" w:hAnsi="Arial"/>
                <w:sz w:val="13"/>
                <w:szCs w:val="13"/>
                <w:color w:val="auto"/>
                <w:w w:val="98"/>
              </w:rPr>
              <w:t>2/3/2025</w:t>
            </w:r>
          </w:p>
        </w:tc>
        <w:tc>
          <w:tcPr>
            <w:tcW w:w="980" w:type="dxa"/>
            <w:vAlign w:val="bottom"/>
          </w:tcPr>
          <w:p>
            <w:pPr>
              <w:jc w:val="center"/>
              <w:ind w:left="217"/>
              <w:spacing w:after="0"/>
              <w:rPr>
                <w:sz w:val="20"/>
                <w:szCs w:val="20"/>
                <w:color w:val="auto"/>
              </w:rPr>
            </w:pPr>
            <w:r>
              <w:rPr>
                <w:rFonts w:ascii="Arial" w:cs="Arial" w:eastAsia="Arial" w:hAnsi="Arial"/>
                <w:sz w:val="13"/>
                <w:szCs w:val="13"/>
                <w:color w:val="auto"/>
                <w:w w:val="97"/>
              </w:rPr>
              <w:t>SAR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-1550670</wp:posOffset>
            </wp:positionV>
            <wp:extent cx="788670" cy="6083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88670" cy="608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1980"/>
        <w:spacing w:after="0"/>
        <w:rPr>
          <w:sz w:val="20"/>
          <w:szCs w:val="20"/>
          <w:color w:val="auto"/>
        </w:rPr>
      </w:pPr>
      <w:r>
        <w:rPr>
          <w:rFonts w:ascii="Arial" w:cs="Arial" w:eastAsia="Arial" w:hAnsi="Arial"/>
          <w:sz w:val="13"/>
          <w:szCs w:val="13"/>
          <w:b w:val="1"/>
          <w:bCs w:val="1"/>
          <w:color w:val="FFFFFF"/>
        </w:rPr>
        <w:t>Assumptions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200" w:type="dxa"/>
            <w:vAlign w:val="bottom"/>
            <w:shd w:val="clear" w:color="auto" w:fill="C60C35"/>
          </w:tcPr>
          <w:p>
            <w:pPr>
              <w:spacing w:after="0"/>
              <w:rPr>
                <w:sz w:val="19"/>
                <w:szCs w:val="19"/>
                <w:color w:val="auto"/>
              </w:rPr>
            </w:pPr>
          </w:p>
        </w:tc>
        <w:tc>
          <w:tcPr>
            <w:tcW w:w="1320" w:type="dxa"/>
            <w:vAlign w:val="bottom"/>
            <w:shd w:val="clear" w:color="auto" w:fill="C60C35"/>
          </w:tcPr>
          <w:p>
            <w:pPr>
              <w:spacing w:after="0"/>
              <w:rPr>
                <w:sz w:val="19"/>
                <w:szCs w:val="19"/>
                <w:color w:val="auto"/>
              </w:rPr>
            </w:pPr>
          </w:p>
        </w:tc>
        <w:tc>
          <w:tcPr>
            <w:tcW w:w="1240" w:type="dxa"/>
            <w:vAlign w:val="bottom"/>
            <w:shd w:val="clear" w:color="auto" w:fill="C60C35"/>
          </w:tcPr>
          <w:p>
            <w:pPr>
              <w:spacing w:after="0"/>
              <w:rPr>
                <w:sz w:val="19"/>
                <w:szCs w:val="19"/>
                <w:color w:val="auto"/>
              </w:rPr>
            </w:pPr>
          </w:p>
        </w:tc>
        <w:tc>
          <w:tcPr>
            <w:tcW w:w="1300" w:type="dxa"/>
            <w:vAlign w:val="bottom"/>
            <w:shd w:val="clear" w:color="auto" w:fill="C60C35"/>
          </w:tcPr>
          <w:p>
            <w:pPr>
              <w:spacing w:after="0"/>
              <w:rPr>
                <w:sz w:val="19"/>
                <w:szCs w:val="19"/>
                <w:color w:val="auto"/>
              </w:rPr>
            </w:pPr>
          </w:p>
        </w:tc>
        <w:tc>
          <w:tcPr>
            <w:tcW w:w="1640" w:type="dxa"/>
            <w:vAlign w:val="bottom"/>
            <w:shd w:val="clear" w:color="auto" w:fill="C60C35"/>
          </w:tcPr>
          <w:p>
            <w:pPr>
              <w:jc w:val="right"/>
              <w:ind w:right="157"/>
              <w:spacing w:after="0"/>
              <w:rPr>
                <w:sz w:val="20"/>
                <w:szCs w:val="20"/>
                <w:color w:val="auto"/>
              </w:rPr>
            </w:pPr>
            <w:r>
              <w:rPr>
                <w:rFonts w:ascii="Arial" w:cs="Arial" w:eastAsia="Arial" w:hAnsi="Arial"/>
                <w:sz w:val="13"/>
                <w:szCs w:val="13"/>
                <w:b w:val="1"/>
                <w:bCs w:val="1"/>
                <w:color w:val="FFFFFF"/>
              </w:rPr>
              <w:t>FMV Based on</w:t>
            </w:r>
          </w:p>
        </w:tc>
        <w:tc>
          <w:tcPr>
            <w:tcW w:w="1080" w:type="dxa"/>
            <w:vAlign w:val="bottom"/>
            <w:vMerge w:val="restart"/>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Grant Date</w:t>
            </w:r>
          </w:p>
        </w:tc>
        <w:tc>
          <w:tcPr>
            <w:tcW w:w="0" w:type="dxa"/>
            <w:vAlign w:val="bottom"/>
          </w:tcPr>
          <w:p>
            <w:pPr>
              <w:spacing w:after="0"/>
              <w:rPr>
                <w:sz w:val="1"/>
                <w:szCs w:val="1"/>
                <w:color w:val="auto"/>
              </w:rPr>
            </w:pPr>
          </w:p>
        </w:tc>
      </w:tr>
      <w:tr>
        <w:trPr>
          <w:trHeight w:val="148"/>
        </w:trPr>
        <w:tc>
          <w:tcPr>
            <w:tcW w:w="1200" w:type="dxa"/>
            <w:vAlign w:val="bottom"/>
            <w:shd w:val="clear" w:color="auto" w:fill="C60C35"/>
          </w:tcPr>
          <w:p>
            <w:pPr>
              <w:spacing w:after="0"/>
              <w:rPr>
                <w:sz w:val="12"/>
                <w:szCs w:val="12"/>
                <w:color w:val="auto"/>
              </w:rPr>
            </w:pPr>
          </w:p>
        </w:tc>
        <w:tc>
          <w:tcPr>
            <w:tcW w:w="1320" w:type="dxa"/>
            <w:vAlign w:val="bottom"/>
            <w:shd w:val="clear" w:color="auto" w:fill="C60C35"/>
          </w:tcPr>
          <w:p>
            <w:pPr>
              <w:spacing w:after="0"/>
              <w:rPr>
                <w:sz w:val="12"/>
                <w:szCs w:val="12"/>
                <w:color w:val="auto"/>
              </w:rPr>
            </w:pPr>
          </w:p>
        </w:tc>
        <w:tc>
          <w:tcPr>
            <w:tcW w:w="1240" w:type="dxa"/>
            <w:vAlign w:val="bottom"/>
            <w:shd w:val="clear" w:color="auto" w:fill="C60C35"/>
          </w:tcPr>
          <w:p>
            <w:pPr>
              <w:spacing w:after="0"/>
              <w:rPr>
                <w:sz w:val="12"/>
                <w:szCs w:val="12"/>
                <w:color w:val="auto"/>
              </w:rPr>
            </w:pPr>
          </w:p>
        </w:tc>
        <w:tc>
          <w:tcPr>
            <w:tcW w:w="1300" w:type="dxa"/>
            <w:vAlign w:val="bottom"/>
            <w:vMerge w:val="restart"/>
            <w:shd w:val="clear" w:color="auto" w:fill="C60C35"/>
          </w:tcPr>
          <w:p>
            <w:pPr>
              <w:jc w:val="right"/>
              <w:ind w:right="257"/>
              <w:spacing w:after="0"/>
              <w:rPr>
                <w:sz w:val="20"/>
                <w:szCs w:val="20"/>
                <w:color w:val="auto"/>
              </w:rPr>
            </w:pPr>
            <w:r>
              <w:rPr>
                <w:rFonts w:ascii="Arial" w:cs="Arial" w:eastAsia="Arial" w:hAnsi="Arial"/>
                <w:sz w:val="13"/>
                <w:szCs w:val="13"/>
                <w:b w:val="1"/>
                <w:bCs w:val="1"/>
                <w:color w:val="FFFFFF"/>
              </w:rPr>
              <w:t>Risk Free</w:t>
            </w:r>
          </w:p>
        </w:tc>
        <w:tc>
          <w:tcPr>
            <w:tcW w:w="1640" w:type="dxa"/>
            <w:vAlign w:val="bottom"/>
            <w:shd w:val="clear" w:color="auto" w:fill="C60C35"/>
          </w:tcPr>
          <w:p>
            <w:pPr>
              <w:jc w:val="right"/>
              <w:ind w:right="157"/>
              <w:spacing w:after="0"/>
              <w:rPr>
                <w:sz w:val="20"/>
                <w:szCs w:val="20"/>
                <w:color w:val="auto"/>
              </w:rPr>
            </w:pPr>
            <w:r>
              <w:rPr>
                <w:rFonts w:ascii="Arial" w:cs="Arial" w:eastAsia="Arial" w:hAnsi="Arial"/>
                <w:sz w:val="13"/>
                <w:szCs w:val="13"/>
                <w:b w:val="1"/>
                <w:bCs w:val="1"/>
                <w:color w:val="FFFFFF"/>
              </w:rPr>
              <w:t>Average High/</w:t>
            </w:r>
          </w:p>
        </w:tc>
        <w:tc>
          <w:tcPr>
            <w:tcW w:w="1080" w:type="dxa"/>
            <w:vAlign w:val="bottom"/>
            <w:vMerge w:val="continue"/>
            <w:shd w:val="clear" w:color="auto" w:fill="C60C3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60C35"/>
          </w:tcPr>
          <w:p>
            <w:pPr>
              <w:spacing w:after="0"/>
              <w:rPr>
                <w:sz w:val="12"/>
                <w:szCs w:val="12"/>
                <w:color w:val="auto"/>
              </w:rPr>
            </w:pPr>
          </w:p>
        </w:tc>
        <w:tc>
          <w:tcPr>
            <w:tcW w:w="1320" w:type="dxa"/>
            <w:vAlign w:val="bottom"/>
            <w:shd w:val="clear" w:color="auto" w:fill="C60C35"/>
          </w:tcPr>
          <w:p>
            <w:pPr>
              <w:spacing w:after="0"/>
              <w:rPr>
                <w:sz w:val="12"/>
                <w:szCs w:val="12"/>
                <w:color w:val="auto"/>
              </w:rPr>
            </w:pPr>
          </w:p>
        </w:tc>
        <w:tc>
          <w:tcPr>
            <w:tcW w:w="1240" w:type="dxa"/>
            <w:vAlign w:val="bottom"/>
            <w:shd w:val="clear" w:color="auto" w:fill="C60C35"/>
          </w:tcPr>
          <w:p>
            <w:pPr>
              <w:spacing w:after="0"/>
              <w:rPr>
                <w:sz w:val="12"/>
                <w:szCs w:val="12"/>
                <w:color w:val="auto"/>
              </w:rPr>
            </w:pPr>
          </w:p>
        </w:tc>
        <w:tc>
          <w:tcPr>
            <w:tcW w:w="1300" w:type="dxa"/>
            <w:vAlign w:val="bottom"/>
            <w:vMerge w:val="continue"/>
            <w:shd w:val="clear" w:color="auto" w:fill="C60C35"/>
          </w:tcPr>
          <w:p>
            <w:pPr>
              <w:spacing w:after="0"/>
              <w:rPr>
                <w:sz w:val="12"/>
                <w:szCs w:val="12"/>
                <w:color w:val="auto"/>
              </w:rPr>
            </w:pPr>
          </w:p>
        </w:tc>
        <w:tc>
          <w:tcPr>
            <w:tcW w:w="1640" w:type="dxa"/>
            <w:vAlign w:val="bottom"/>
            <w:shd w:val="clear" w:color="auto" w:fill="C60C35"/>
          </w:tcPr>
          <w:p>
            <w:pPr>
              <w:jc w:val="right"/>
              <w:ind w:right="157"/>
              <w:spacing w:after="0"/>
              <w:rPr>
                <w:sz w:val="20"/>
                <w:szCs w:val="20"/>
                <w:color w:val="auto"/>
              </w:rPr>
            </w:pPr>
            <w:r>
              <w:rPr>
                <w:rFonts w:ascii="Arial" w:cs="Arial" w:eastAsia="Arial" w:hAnsi="Arial"/>
                <w:sz w:val="13"/>
                <w:szCs w:val="13"/>
                <w:b w:val="1"/>
                <w:bCs w:val="1"/>
                <w:color w:val="FFFFFF"/>
              </w:rPr>
              <w:t>Low NYSE Trading</w:t>
            </w:r>
          </w:p>
        </w:tc>
        <w:tc>
          <w:tcPr>
            <w:tcW w:w="108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Fair Value</w:t>
            </w:r>
          </w:p>
        </w:tc>
        <w:tc>
          <w:tcPr>
            <w:tcW w:w="0" w:type="dxa"/>
            <w:vAlign w:val="bottom"/>
          </w:tcPr>
          <w:p>
            <w:pPr>
              <w:spacing w:after="0"/>
              <w:rPr>
                <w:sz w:val="1"/>
                <w:szCs w:val="1"/>
                <w:color w:val="auto"/>
              </w:rPr>
            </w:pPr>
          </w:p>
        </w:tc>
      </w:tr>
      <w:tr>
        <w:trPr>
          <w:trHeight w:val="148"/>
        </w:trPr>
        <w:tc>
          <w:tcPr>
            <w:tcW w:w="12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Volatility</w:t>
            </w:r>
          </w:p>
        </w:tc>
        <w:tc>
          <w:tcPr>
            <w:tcW w:w="132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Expected Life</w:t>
            </w:r>
          </w:p>
        </w:tc>
        <w:tc>
          <w:tcPr>
            <w:tcW w:w="124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Dividend Yield</w:t>
            </w:r>
          </w:p>
        </w:tc>
        <w:tc>
          <w:tcPr>
            <w:tcW w:w="1300" w:type="dxa"/>
            <w:vAlign w:val="bottom"/>
            <w:shd w:val="clear" w:color="auto" w:fill="C60C35"/>
          </w:tcPr>
          <w:p>
            <w:pPr>
              <w:jc w:val="right"/>
              <w:ind w:right="257"/>
              <w:spacing w:after="0"/>
              <w:rPr>
                <w:sz w:val="20"/>
                <w:szCs w:val="20"/>
                <w:color w:val="auto"/>
              </w:rPr>
            </w:pPr>
            <w:r>
              <w:rPr>
                <w:rFonts w:ascii="Arial" w:cs="Arial" w:eastAsia="Arial" w:hAnsi="Arial"/>
                <w:sz w:val="13"/>
                <w:szCs w:val="13"/>
                <w:b w:val="1"/>
                <w:bCs w:val="1"/>
                <w:color w:val="FFFFFF"/>
              </w:rPr>
              <w:t>Interest Rate</w:t>
            </w:r>
          </w:p>
        </w:tc>
        <w:tc>
          <w:tcPr>
            <w:tcW w:w="1640" w:type="dxa"/>
            <w:vAlign w:val="bottom"/>
            <w:shd w:val="clear" w:color="auto" w:fill="C60C35"/>
          </w:tcPr>
          <w:p>
            <w:pPr>
              <w:ind w:left="400"/>
              <w:spacing w:after="0"/>
              <w:rPr>
                <w:sz w:val="20"/>
                <w:szCs w:val="20"/>
                <w:color w:val="auto"/>
              </w:rPr>
            </w:pPr>
            <w:r>
              <w:rPr>
                <w:rFonts w:ascii="Arial" w:cs="Arial" w:eastAsia="Arial" w:hAnsi="Arial"/>
                <w:sz w:val="13"/>
                <w:szCs w:val="13"/>
                <w:b w:val="1"/>
                <w:bCs w:val="1"/>
                <w:color w:val="FFFFFF"/>
              </w:rPr>
              <w:t>Prices on Date of</w:t>
            </w:r>
          </w:p>
        </w:tc>
        <w:tc>
          <w:tcPr>
            <w:tcW w:w="108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Per Share</w:t>
            </w:r>
          </w:p>
        </w:tc>
        <w:tc>
          <w:tcPr>
            <w:tcW w:w="0" w:type="dxa"/>
            <w:vAlign w:val="bottom"/>
          </w:tcPr>
          <w:p>
            <w:pPr>
              <w:spacing w:after="0"/>
              <w:rPr>
                <w:sz w:val="1"/>
                <w:szCs w:val="1"/>
                <w:color w:val="auto"/>
              </w:rPr>
            </w:pPr>
          </w:p>
        </w:tc>
      </w:tr>
      <w:tr>
        <w:trPr>
          <w:trHeight w:val="185"/>
        </w:trPr>
        <w:tc>
          <w:tcPr>
            <w:tcW w:w="12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32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(Years)</w:t>
            </w:r>
          </w:p>
        </w:tc>
        <w:tc>
          <w:tcPr>
            <w:tcW w:w="124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w:t>
            </w:r>
          </w:p>
        </w:tc>
        <w:tc>
          <w:tcPr>
            <w:tcW w:w="1300" w:type="dxa"/>
            <w:vAlign w:val="bottom"/>
            <w:shd w:val="clear" w:color="auto" w:fill="C60C35"/>
          </w:tcPr>
          <w:p>
            <w:pPr>
              <w:jc w:val="right"/>
              <w:ind w:right="257"/>
              <w:spacing w:after="0"/>
              <w:rPr>
                <w:sz w:val="20"/>
                <w:szCs w:val="20"/>
                <w:color w:val="auto"/>
              </w:rPr>
            </w:pPr>
            <w:r>
              <w:rPr>
                <w:rFonts w:ascii="Arial" w:cs="Arial" w:eastAsia="Arial" w:hAnsi="Arial"/>
                <w:sz w:val="13"/>
                <w:szCs w:val="13"/>
                <w:b w:val="1"/>
                <w:bCs w:val="1"/>
                <w:color w:val="FFFFFF"/>
              </w:rPr>
              <w:t>(%)</w:t>
            </w:r>
          </w:p>
        </w:tc>
        <w:tc>
          <w:tcPr>
            <w:tcW w:w="1640" w:type="dxa"/>
            <w:vAlign w:val="bottom"/>
            <w:shd w:val="clear" w:color="auto" w:fill="C60C35"/>
          </w:tcPr>
          <w:p>
            <w:pPr>
              <w:jc w:val="right"/>
              <w:ind w:right="157"/>
              <w:spacing w:after="0"/>
              <w:rPr>
                <w:sz w:val="20"/>
                <w:szCs w:val="20"/>
                <w:color w:val="auto"/>
              </w:rPr>
            </w:pPr>
            <w:r>
              <w:rPr>
                <w:rFonts w:ascii="Arial" w:cs="Arial" w:eastAsia="Arial" w:hAnsi="Arial"/>
                <w:sz w:val="13"/>
                <w:szCs w:val="13"/>
                <w:b w:val="1"/>
                <w:bCs w:val="1"/>
                <w:color w:val="FFFFFF"/>
              </w:rPr>
              <w:t>Grant ($)</w:t>
            </w:r>
          </w:p>
        </w:tc>
        <w:tc>
          <w:tcPr>
            <w:tcW w:w="108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03"/>
        </w:trPr>
        <w:tc>
          <w:tcPr>
            <w:tcW w:w="1200" w:type="dxa"/>
            <w:vAlign w:val="bottom"/>
            <w:shd w:val="clear" w:color="auto" w:fill="C60C35"/>
          </w:tcPr>
          <w:p>
            <w:pPr>
              <w:spacing w:after="0"/>
              <w:rPr>
                <w:sz w:val="8"/>
                <w:szCs w:val="8"/>
                <w:color w:val="auto"/>
              </w:rPr>
            </w:pPr>
          </w:p>
        </w:tc>
        <w:tc>
          <w:tcPr>
            <w:tcW w:w="1320" w:type="dxa"/>
            <w:vAlign w:val="bottom"/>
            <w:shd w:val="clear" w:color="auto" w:fill="C60C35"/>
          </w:tcPr>
          <w:p>
            <w:pPr>
              <w:spacing w:after="0"/>
              <w:rPr>
                <w:sz w:val="8"/>
                <w:szCs w:val="8"/>
                <w:color w:val="auto"/>
              </w:rPr>
            </w:pPr>
          </w:p>
        </w:tc>
        <w:tc>
          <w:tcPr>
            <w:tcW w:w="1240" w:type="dxa"/>
            <w:vAlign w:val="bottom"/>
            <w:shd w:val="clear" w:color="auto" w:fill="C60C35"/>
          </w:tcPr>
          <w:p>
            <w:pPr>
              <w:spacing w:after="0"/>
              <w:rPr>
                <w:sz w:val="8"/>
                <w:szCs w:val="8"/>
                <w:color w:val="auto"/>
              </w:rPr>
            </w:pPr>
          </w:p>
        </w:tc>
        <w:tc>
          <w:tcPr>
            <w:tcW w:w="1300" w:type="dxa"/>
            <w:vAlign w:val="bottom"/>
            <w:shd w:val="clear" w:color="auto" w:fill="C60C35"/>
          </w:tcPr>
          <w:p>
            <w:pPr>
              <w:spacing w:after="0"/>
              <w:rPr>
                <w:sz w:val="8"/>
                <w:szCs w:val="8"/>
                <w:color w:val="auto"/>
              </w:rPr>
            </w:pPr>
          </w:p>
        </w:tc>
        <w:tc>
          <w:tcPr>
            <w:tcW w:w="1640" w:type="dxa"/>
            <w:vAlign w:val="bottom"/>
            <w:shd w:val="clear" w:color="auto" w:fill="C60C35"/>
          </w:tcPr>
          <w:p>
            <w:pPr>
              <w:spacing w:after="0"/>
              <w:rPr>
                <w:sz w:val="8"/>
                <w:szCs w:val="8"/>
                <w:color w:val="auto"/>
              </w:rPr>
            </w:pPr>
          </w:p>
        </w:tc>
        <w:tc>
          <w:tcPr>
            <w:tcW w:w="1080" w:type="dxa"/>
            <w:vAlign w:val="bottom"/>
            <w:shd w:val="clear" w:color="auto" w:fill="C60C35"/>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0.92</w:t>
            </w:r>
          </w:p>
        </w:tc>
        <w:tc>
          <w:tcPr>
            <w:tcW w:w="1300" w:type="dxa"/>
            <w:vAlign w:val="bottom"/>
          </w:tcPr>
          <w:p>
            <w:pPr>
              <w:jc w:val="center"/>
              <w:ind w:right="437"/>
              <w:spacing w:after="0"/>
              <w:rPr>
                <w:sz w:val="20"/>
                <w:szCs w:val="20"/>
                <w:color w:val="auto"/>
              </w:rPr>
            </w:pPr>
            <w:r>
              <w:rPr>
                <w:rFonts w:ascii="Arial" w:cs="Arial" w:eastAsia="Arial" w:hAnsi="Arial"/>
                <w:sz w:val="13"/>
                <w:szCs w:val="13"/>
                <w:color w:val="auto"/>
                <w:w w:val="91"/>
              </w:rPr>
              <w:t>—</w:t>
            </w:r>
          </w:p>
        </w:tc>
        <w:tc>
          <w:tcPr>
            <w:tcW w:w="1640" w:type="dxa"/>
            <w:vAlign w:val="bottom"/>
          </w:tcPr>
          <w:p>
            <w:pPr>
              <w:ind w:left="380"/>
              <w:spacing w:after="0"/>
              <w:rPr>
                <w:sz w:val="20"/>
                <w:szCs w:val="20"/>
                <w:color w:val="auto"/>
              </w:rPr>
            </w:pPr>
            <w:r>
              <w:rPr>
                <w:rFonts w:ascii="Arial" w:cs="Arial" w:eastAsia="Arial" w:hAnsi="Arial"/>
                <w:sz w:val="13"/>
                <w:szCs w:val="13"/>
                <w:color w:val="auto"/>
              </w:rPr>
              <w:t>576.28</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560.53</w:t>
            </w: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0.92</w:t>
            </w:r>
          </w:p>
        </w:tc>
        <w:tc>
          <w:tcPr>
            <w:tcW w:w="13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531.34</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515.59</w:t>
            </w:r>
          </w:p>
        </w:tc>
        <w:tc>
          <w:tcPr>
            <w:tcW w:w="0" w:type="dxa"/>
            <w:vAlign w:val="bottom"/>
          </w:tcPr>
          <w:p>
            <w:pPr>
              <w:spacing w:after="0"/>
              <w:rPr>
                <w:sz w:val="1"/>
                <w:szCs w:val="1"/>
                <w:color w:val="auto"/>
              </w:rPr>
            </w:pPr>
          </w:p>
        </w:tc>
      </w:tr>
      <w:tr>
        <w:trPr>
          <w:trHeight w:val="203"/>
        </w:trPr>
        <w:tc>
          <w:tcPr>
            <w:tcW w:w="12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320" w:type="dxa"/>
            <w:vAlign w:val="bottom"/>
          </w:tcPr>
          <w:p>
            <w:pPr>
              <w:jc w:val="center"/>
              <w:ind w:right="77"/>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0.92</w:t>
            </w:r>
          </w:p>
        </w:tc>
        <w:tc>
          <w:tcPr>
            <w:tcW w:w="1300" w:type="dxa"/>
            <w:vAlign w:val="bottom"/>
          </w:tcPr>
          <w:p>
            <w:pPr>
              <w:jc w:val="center"/>
              <w:ind w:right="437"/>
              <w:spacing w:after="0"/>
              <w:rPr>
                <w:sz w:val="20"/>
                <w:szCs w:val="20"/>
                <w:color w:val="auto"/>
              </w:rPr>
            </w:pPr>
            <w:r>
              <w:rPr>
                <w:rFonts w:ascii="Arial" w:cs="Arial" w:eastAsia="Arial" w:hAnsi="Arial"/>
                <w:sz w:val="13"/>
                <w:szCs w:val="13"/>
                <w:color w:val="auto"/>
                <w:w w:val="91"/>
              </w:rPr>
              <w:t>—</w:t>
            </w:r>
          </w:p>
        </w:tc>
        <w:tc>
          <w:tcPr>
            <w:tcW w:w="1640" w:type="dxa"/>
            <w:vAlign w:val="bottom"/>
          </w:tcPr>
          <w:p>
            <w:pPr>
              <w:ind w:left="380"/>
              <w:spacing w:after="0"/>
              <w:rPr>
                <w:sz w:val="20"/>
                <w:szCs w:val="20"/>
                <w:color w:val="auto"/>
              </w:rPr>
            </w:pPr>
            <w:r>
              <w:rPr>
                <w:rFonts w:ascii="Arial" w:cs="Arial" w:eastAsia="Arial" w:hAnsi="Arial"/>
                <w:sz w:val="13"/>
                <w:szCs w:val="13"/>
                <w:color w:val="auto"/>
              </w:rPr>
              <w:t>576.28</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560.53</w:t>
            </w: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0.92</w:t>
            </w:r>
          </w:p>
        </w:tc>
        <w:tc>
          <w:tcPr>
            <w:tcW w:w="1300" w:type="dxa"/>
            <w:vAlign w:val="bottom"/>
          </w:tcPr>
          <w:p>
            <w:pPr>
              <w:spacing w:after="0"/>
              <w:rPr>
                <w:sz w:val="23"/>
                <w:szCs w:val="2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531.34</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515.59</w:t>
            </w:r>
          </w:p>
        </w:tc>
        <w:tc>
          <w:tcPr>
            <w:tcW w:w="0" w:type="dxa"/>
            <w:vAlign w:val="bottom"/>
          </w:tcPr>
          <w:p>
            <w:pPr>
              <w:spacing w:after="0"/>
              <w:rPr>
                <w:sz w:val="1"/>
                <w:szCs w:val="1"/>
                <w:color w:val="auto"/>
              </w:rPr>
            </w:pPr>
          </w:p>
        </w:tc>
      </w:tr>
      <w:tr>
        <w:trPr>
          <w:trHeight w:val="351"/>
        </w:trPr>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0.92</w:t>
            </w:r>
          </w:p>
        </w:tc>
        <w:tc>
          <w:tcPr>
            <w:tcW w:w="1300" w:type="dxa"/>
            <w:vAlign w:val="bottom"/>
          </w:tcPr>
          <w:p>
            <w:pPr>
              <w:spacing w:after="0"/>
              <w:rPr>
                <w:sz w:val="24"/>
                <w:szCs w:val="24"/>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531.34</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515.59</w:t>
            </w:r>
          </w:p>
        </w:tc>
        <w:tc>
          <w:tcPr>
            <w:tcW w:w="0" w:type="dxa"/>
            <w:vAlign w:val="bottom"/>
          </w:tcPr>
          <w:p>
            <w:pPr>
              <w:spacing w:after="0"/>
              <w:rPr>
                <w:sz w:val="1"/>
                <w:szCs w:val="1"/>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3"/>
                <w:szCs w:val="13"/>
                <w:color w:val="auto"/>
                <w:w w:val="98"/>
              </w:rPr>
              <w:t>29.95</w:t>
            </w:r>
          </w:p>
        </w:tc>
        <w:tc>
          <w:tcPr>
            <w:tcW w:w="1320" w:type="dxa"/>
            <w:vAlign w:val="bottom"/>
          </w:tcPr>
          <w:p>
            <w:pPr>
              <w:jc w:val="center"/>
              <w:ind w:right="77"/>
              <w:spacing w:after="0"/>
              <w:rPr>
                <w:sz w:val="20"/>
                <w:szCs w:val="20"/>
                <w:color w:val="auto"/>
              </w:rPr>
            </w:pPr>
            <w:r>
              <w:rPr>
                <w:rFonts w:ascii="Arial" w:cs="Arial" w:eastAsia="Arial" w:hAnsi="Arial"/>
                <w:sz w:val="13"/>
                <w:szCs w:val="13"/>
                <w:color w:val="auto"/>
              </w:rPr>
              <w:t>4.09</w:t>
            </w:r>
          </w:p>
        </w:tc>
        <w:tc>
          <w:tcPr>
            <w:tcW w:w="1240" w:type="dxa"/>
            <w:vAlign w:val="bottom"/>
          </w:tcPr>
          <w:p>
            <w:pPr>
              <w:jc w:val="right"/>
              <w:ind w:right="597"/>
              <w:spacing w:after="0"/>
              <w:rPr>
                <w:sz w:val="20"/>
                <w:szCs w:val="20"/>
                <w:color w:val="auto"/>
              </w:rPr>
            </w:pPr>
            <w:r>
              <w:rPr>
                <w:rFonts w:ascii="Arial" w:cs="Arial" w:eastAsia="Arial" w:hAnsi="Arial"/>
                <w:sz w:val="13"/>
                <w:szCs w:val="13"/>
                <w:color w:val="auto"/>
              </w:rPr>
              <w:t>0.97</w:t>
            </w:r>
          </w:p>
        </w:tc>
        <w:tc>
          <w:tcPr>
            <w:tcW w:w="1300" w:type="dxa"/>
            <w:vAlign w:val="bottom"/>
          </w:tcPr>
          <w:p>
            <w:pPr>
              <w:jc w:val="center"/>
              <w:ind w:right="437"/>
              <w:spacing w:after="0"/>
              <w:rPr>
                <w:sz w:val="20"/>
                <w:szCs w:val="20"/>
                <w:color w:val="auto"/>
              </w:rPr>
            </w:pPr>
            <w:r>
              <w:rPr>
                <w:rFonts w:ascii="Arial" w:cs="Arial" w:eastAsia="Arial" w:hAnsi="Arial"/>
                <w:sz w:val="13"/>
                <w:szCs w:val="13"/>
                <w:color w:val="auto"/>
                <w:w w:val="94"/>
              </w:rPr>
              <w:t>4.28</w:t>
            </w:r>
          </w:p>
        </w:tc>
        <w:tc>
          <w:tcPr>
            <w:tcW w:w="1640" w:type="dxa"/>
            <w:vAlign w:val="bottom"/>
          </w:tcPr>
          <w:p>
            <w:pPr>
              <w:ind w:left="380"/>
              <w:spacing w:after="0"/>
              <w:rPr>
                <w:sz w:val="20"/>
                <w:szCs w:val="20"/>
                <w:color w:val="auto"/>
              </w:rPr>
            </w:pPr>
            <w:r>
              <w:rPr>
                <w:rFonts w:ascii="Arial" w:cs="Arial" w:eastAsia="Arial" w:hAnsi="Arial"/>
                <w:sz w:val="13"/>
                <w:szCs w:val="13"/>
                <w:color w:val="auto"/>
              </w:rPr>
              <w:t>576.28</w:t>
            </w:r>
          </w:p>
        </w:tc>
        <w:tc>
          <w:tcPr>
            <w:tcW w:w="1080" w:type="dxa"/>
            <w:vAlign w:val="bottom"/>
          </w:tcPr>
          <w:p>
            <w:pPr>
              <w:jc w:val="right"/>
              <w:ind w:right="437"/>
              <w:spacing w:after="0"/>
              <w:rPr>
                <w:sz w:val="20"/>
                <w:szCs w:val="20"/>
                <w:color w:val="auto"/>
              </w:rPr>
            </w:pPr>
            <w:r>
              <w:rPr>
                <w:rFonts w:ascii="Arial" w:cs="Arial" w:eastAsia="Arial" w:hAnsi="Arial"/>
                <w:sz w:val="13"/>
                <w:szCs w:val="13"/>
                <w:color w:val="auto"/>
              </w:rPr>
              <w:t>161.50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-1744345</wp:posOffset>
            </wp:positionH>
            <wp:positionV relativeFrom="paragraph">
              <wp:posOffset>-941705</wp:posOffset>
            </wp:positionV>
            <wp:extent cx="6686550"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86550" cy="12890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-684530</wp:posOffset>
            </wp:positionV>
            <wp:extent cx="668655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86550" cy="128905"/>
                    </a:xfrm>
                    <a:prstGeom prst="rect">
                      <a:avLst/>
                    </a:prstGeom>
                    <a:noFill/>
                  </pic:spPr>
                </pic:pic>
              </a:graphicData>
            </a:graphic>
          </wp:anchor>
        </w:drawing>
        <w:drawing>
          <wp:anchor simplePos="0" relativeHeight="251657728" behindDoc="1" locked="0" layoutInCell="0" allowOverlap="1">
            <wp:simplePos x="0" y="0"/>
            <wp:positionH relativeFrom="column">
              <wp:posOffset>-1744345</wp:posOffset>
            </wp:positionH>
            <wp:positionV relativeFrom="paragraph">
              <wp:posOffset>-333375</wp:posOffset>
            </wp:positionV>
            <wp:extent cx="6686550" cy="22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86550" cy="2228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-1516380</wp:posOffset>
            </wp:positionV>
            <wp:extent cx="30175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12" w:space="260"/>
            <w:col w:w="8120"/>
          </w:cols>
          <w:pgMar w:left="328" w:top="778" w:right="379" w:bottom="1440" w:gutter="0" w:footer="0" w:header="0"/>
          <w:type w:val="continuous"/>
        </w:sectPr>
      </w:pPr>
    </w:p>
    <w:p>
      <w:pPr>
        <w:spacing w:after="0" w:line="187" w:lineRule="exact"/>
        <w:rPr>
          <w:sz w:val="20"/>
          <w:szCs w:val="20"/>
          <w:color w:val="auto"/>
        </w:rPr>
      </w:pPr>
    </w:p>
    <w:p>
      <w:pPr>
        <w:jc w:val="center"/>
        <w:ind w:right="-351"/>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778" w:right="37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22"/>
          <w:szCs w:val="22"/>
          <w:b w:val="1"/>
          <w:bCs w:val="1"/>
          <w:color w:val="C60C35"/>
        </w:rPr>
        <w:t>Outstanding Equity Awards at 2025 Fiscal Year-End</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regarding all outstanding equity awards held by our NEOs as of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220" w:type="dxa"/>
            <w:vAlign w:val="bottom"/>
            <w:shd w:val="clear" w:color="auto" w:fill="C60C35"/>
          </w:tcPr>
          <w:p>
            <w:pPr>
              <w:spacing w:after="0"/>
              <w:rPr>
                <w:sz w:val="17"/>
                <w:szCs w:val="17"/>
                <w:color w:val="auto"/>
              </w:rPr>
            </w:pPr>
          </w:p>
        </w:tc>
        <w:tc>
          <w:tcPr>
            <w:tcW w:w="880" w:type="dxa"/>
            <w:vAlign w:val="bottom"/>
            <w:shd w:val="clear" w:color="auto" w:fill="C60C35"/>
          </w:tcPr>
          <w:p>
            <w:pPr>
              <w:spacing w:after="0"/>
              <w:rPr>
                <w:sz w:val="17"/>
                <w:szCs w:val="17"/>
                <w:color w:val="auto"/>
              </w:rPr>
            </w:pPr>
          </w:p>
        </w:tc>
        <w:tc>
          <w:tcPr>
            <w:tcW w:w="1060" w:type="dxa"/>
            <w:vAlign w:val="bottom"/>
            <w:shd w:val="clear" w:color="auto" w:fill="C60C35"/>
          </w:tcPr>
          <w:p>
            <w:pPr>
              <w:spacing w:after="0"/>
              <w:rPr>
                <w:sz w:val="17"/>
                <w:szCs w:val="17"/>
                <w:color w:val="auto"/>
              </w:rPr>
            </w:pPr>
          </w:p>
        </w:tc>
        <w:tc>
          <w:tcPr>
            <w:tcW w:w="40" w:type="dxa"/>
            <w:vAlign w:val="bottom"/>
            <w:shd w:val="clear" w:color="auto" w:fill="C60C35"/>
          </w:tcPr>
          <w:p>
            <w:pPr>
              <w:spacing w:after="0"/>
              <w:rPr>
                <w:sz w:val="17"/>
                <w:szCs w:val="17"/>
                <w:color w:val="auto"/>
              </w:rPr>
            </w:pPr>
          </w:p>
        </w:tc>
        <w:tc>
          <w:tcPr>
            <w:tcW w:w="1460" w:type="dxa"/>
            <w:vAlign w:val="bottom"/>
            <w:shd w:val="clear" w:color="auto" w:fill="C60C35"/>
          </w:tcPr>
          <w:p>
            <w:pPr>
              <w:jc w:val="right"/>
              <w:ind w:right="17"/>
              <w:spacing w:after="0"/>
              <w:rPr>
                <w:sz w:val="20"/>
                <w:szCs w:val="20"/>
                <w:color w:val="auto"/>
              </w:rPr>
            </w:pPr>
            <w:r>
              <w:rPr>
                <w:rFonts w:ascii="Arial" w:cs="Arial" w:eastAsia="Arial" w:hAnsi="Arial"/>
                <w:sz w:val="13"/>
                <w:szCs w:val="13"/>
                <w:b w:val="1"/>
                <w:bCs w:val="1"/>
                <w:color w:val="FFFFFF"/>
                <w:w w:val="94"/>
              </w:rPr>
              <w:t>Options/SAR Awards</w:t>
            </w:r>
            <w:r>
              <w:rPr>
                <w:rFonts w:ascii="Arial" w:cs="Arial" w:eastAsia="Arial" w:hAnsi="Arial"/>
                <w:sz w:val="16"/>
                <w:szCs w:val="16"/>
                <w:b w:val="1"/>
                <w:bCs w:val="1"/>
                <w:color w:val="FFFFFF"/>
                <w:w w:val="94"/>
                <w:vertAlign w:val="superscript"/>
              </w:rPr>
              <w:t>(1)</w:t>
            </w:r>
          </w:p>
        </w:tc>
        <w:tc>
          <w:tcPr>
            <w:tcW w:w="980" w:type="dxa"/>
            <w:vAlign w:val="bottom"/>
            <w:shd w:val="clear" w:color="auto" w:fill="C60C35"/>
          </w:tcPr>
          <w:p>
            <w:pPr>
              <w:spacing w:after="0"/>
              <w:rPr>
                <w:sz w:val="17"/>
                <w:szCs w:val="17"/>
                <w:color w:val="auto"/>
              </w:rPr>
            </w:pPr>
          </w:p>
        </w:tc>
        <w:tc>
          <w:tcPr>
            <w:tcW w:w="920" w:type="dxa"/>
            <w:vAlign w:val="bottom"/>
            <w:shd w:val="clear" w:color="auto" w:fill="C60C35"/>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shd w:val="clear" w:color="auto" w:fill="C60C35"/>
          </w:tcPr>
          <w:p>
            <w:pPr>
              <w:spacing w:after="0"/>
              <w:rPr>
                <w:sz w:val="17"/>
                <w:szCs w:val="17"/>
                <w:color w:val="auto"/>
              </w:rPr>
            </w:pPr>
          </w:p>
        </w:tc>
        <w:tc>
          <w:tcPr>
            <w:tcW w:w="2420" w:type="dxa"/>
            <w:vAlign w:val="bottom"/>
            <w:gridSpan w:val="2"/>
            <w:shd w:val="clear" w:color="auto" w:fill="C60C35"/>
          </w:tcPr>
          <w:p>
            <w:pPr>
              <w:jc w:val="right"/>
              <w:ind w:right="757"/>
              <w:spacing w:after="0"/>
              <w:rPr>
                <w:sz w:val="20"/>
                <w:szCs w:val="20"/>
                <w:color w:val="auto"/>
              </w:rPr>
            </w:pPr>
            <w:r>
              <w:rPr>
                <w:rFonts w:ascii="Arial" w:cs="Arial" w:eastAsia="Arial" w:hAnsi="Arial"/>
                <w:sz w:val="13"/>
                <w:szCs w:val="13"/>
                <w:b w:val="1"/>
                <w:bCs w:val="1"/>
                <w:color w:val="FFFFFF"/>
              </w:rPr>
              <w:t>Stock Awards</w:t>
            </w:r>
          </w:p>
        </w:tc>
        <w:tc>
          <w:tcPr>
            <w:tcW w:w="1100" w:type="dxa"/>
            <w:vAlign w:val="bottom"/>
            <w:shd w:val="clear" w:color="auto" w:fill="C60C3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220" w:type="dxa"/>
            <w:vAlign w:val="bottom"/>
            <w:shd w:val="clear" w:color="auto" w:fill="C60C35"/>
          </w:tcPr>
          <w:p>
            <w:pPr>
              <w:spacing w:after="0"/>
              <w:rPr>
                <w:sz w:val="19"/>
                <w:szCs w:val="19"/>
                <w:color w:val="auto"/>
              </w:rPr>
            </w:pPr>
          </w:p>
        </w:tc>
        <w:tc>
          <w:tcPr>
            <w:tcW w:w="880" w:type="dxa"/>
            <w:vAlign w:val="bottom"/>
            <w:shd w:val="clear" w:color="auto" w:fill="C60C35"/>
          </w:tcPr>
          <w:p>
            <w:pPr>
              <w:spacing w:after="0"/>
              <w:rPr>
                <w:sz w:val="19"/>
                <w:szCs w:val="19"/>
                <w:color w:val="auto"/>
              </w:rPr>
            </w:pPr>
          </w:p>
        </w:tc>
        <w:tc>
          <w:tcPr>
            <w:tcW w:w="1060" w:type="dxa"/>
            <w:vAlign w:val="bottom"/>
            <w:shd w:val="clear" w:color="auto" w:fill="C60C35"/>
          </w:tcPr>
          <w:p>
            <w:pPr>
              <w:spacing w:after="0"/>
              <w:rPr>
                <w:sz w:val="19"/>
                <w:szCs w:val="19"/>
                <w:color w:val="auto"/>
              </w:rPr>
            </w:pPr>
          </w:p>
        </w:tc>
        <w:tc>
          <w:tcPr>
            <w:tcW w:w="40" w:type="dxa"/>
            <w:vAlign w:val="bottom"/>
            <w:shd w:val="clear" w:color="auto" w:fill="C60C35"/>
          </w:tcPr>
          <w:p>
            <w:pPr>
              <w:spacing w:after="0"/>
              <w:rPr>
                <w:sz w:val="19"/>
                <w:szCs w:val="19"/>
                <w:color w:val="auto"/>
              </w:rPr>
            </w:pPr>
          </w:p>
        </w:tc>
        <w:tc>
          <w:tcPr>
            <w:tcW w:w="1460" w:type="dxa"/>
            <w:vAlign w:val="bottom"/>
            <w:shd w:val="clear" w:color="auto" w:fill="C60C35"/>
          </w:tcPr>
          <w:p>
            <w:pPr>
              <w:spacing w:after="0"/>
              <w:rPr>
                <w:sz w:val="19"/>
                <w:szCs w:val="19"/>
                <w:color w:val="auto"/>
              </w:rPr>
            </w:pPr>
          </w:p>
        </w:tc>
        <w:tc>
          <w:tcPr>
            <w:tcW w:w="980" w:type="dxa"/>
            <w:vAlign w:val="bottom"/>
            <w:shd w:val="clear" w:color="auto" w:fill="C60C35"/>
          </w:tcPr>
          <w:p>
            <w:pPr>
              <w:spacing w:after="0"/>
              <w:rPr>
                <w:sz w:val="19"/>
                <w:szCs w:val="19"/>
                <w:color w:val="auto"/>
              </w:rPr>
            </w:pPr>
          </w:p>
        </w:tc>
        <w:tc>
          <w:tcPr>
            <w:tcW w:w="920" w:type="dxa"/>
            <w:vAlign w:val="bottom"/>
            <w:shd w:val="clear" w:color="auto" w:fill="C60C35"/>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shd w:val="clear" w:color="auto" w:fill="C60C35"/>
          </w:tcPr>
          <w:p>
            <w:pPr>
              <w:spacing w:after="0"/>
              <w:rPr>
                <w:sz w:val="19"/>
                <w:szCs w:val="19"/>
                <w:color w:val="auto"/>
              </w:rPr>
            </w:pPr>
          </w:p>
        </w:tc>
        <w:tc>
          <w:tcPr>
            <w:tcW w:w="1140" w:type="dxa"/>
            <w:vAlign w:val="bottom"/>
            <w:shd w:val="clear" w:color="auto" w:fill="C60C35"/>
          </w:tcPr>
          <w:p>
            <w:pPr>
              <w:spacing w:after="0"/>
              <w:rPr>
                <w:sz w:val="19"/>
                <w:szCs w:val="19"/>
                <w:color w:val="auto"/>
              </w:rPr>
            </w:pP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Equity</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49"/>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c>
          <w:tcPr>
            <w:tcW w:w="40" w:type="dxa"/>
            <w:vAlign w:val="bottom"/>
            <w:shd w:val="clear" w:color="auto" w:fill="C60C35"/>
          </w:tcPr>
          <w:p>
            <w:pPr>
              <w:spacing w:after="0"/>
              <w:rPr>
                <w:sz w:val="12"/>
                <w:szCs w:val="12"/>
                <w:color w:val="auto"/>
              </w:rPr>
            </w:pPr>
          </w:p>
        </w:tc>
        <w:tc>
          <w:tcPr>
            <w:tcW w:w="1460" w:type="dxa"/>
            <w:vAlign w:val="bottom"/>
            <w:shd w:val="clear" w:color="auto" w:fill="C60C35"/>
          </w:tcPr>
          <w:p>
            <w:pPr>
              <w:spacing w:after="0"/>
              <w:rPr>
                <w:sz w:val="12"/>
                <w:szCs w:val="12"/>
                <w:color w:val="auto"/>
              </w:rPr>
            </w:pP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spacing w:after="0"/>
              <w:rPr>
                <w:sz w:val="12"/>
                <w:szCs w:val="12"/>
                <w:color w:val="auto"/>
              </w:rPr>
            </w:pPr>
          </w:p>
        </w:tc>
        <w:tc>
          <w:tcPr>
            <w:tcW w:w="1140" w:type="dxa"/>
            <w:vAlign w:val="bottom"/>
            <w:shd w:val="clear" w:color="auto" w:fill="C60C35"/>
          </w:tcPr>
          <w:p>
            <w:pPr>
              <w:spacing w:after="0"/>
              <w:rPr>
                <w:sz w:val="12"/>
                <w:szCs w:val="12"/>
                <w:color w:val="auto"/>
              </w:rPr>
            </w:pP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Incentive</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Incentive Plan</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c>
          <w:tcPr>
            <w:tcW w:w="40" w:type="dxa"/>
            <w:vAlign w:val="bottom"/>
            <w:shd w:val="clear" w:color="auto" w:fill="C60C35"/>
          </w:tcPr>
          <w:p>
            <w:pPr>
              <w:spacing w:after="0"/>
              <w:rPr>
                <w:sz w:val="12"/>
                <w:szCs w:val="12"/>
                <w:color w:val="auto"/>
              </w:rPr>
            </w:pPr>
          </w:p>
        </w:tc>
        <w:tc>
          <w:tcPr>
            <w:tcW w:w="1460" w:type="dxa"/>
            <w:vAlign w:val="bottom"/>
            <w:shd w:val="clear" w:color="auto" w:fill="C60C35"/>
          </w:tcPr>
          <w:p>
            <w:pPr>
              <w:spacing w:after="0"/>
              <w:rPr>
                <w:sz w:val="12"/>
                <w:szCs w:val="12"/>
                <w:color w:val="auto"/>
              </w:rPr>
            </w:pP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spacing w:after="0"/>
              <w:rPr>
                <w:sz w:val="12"/>
                <w:szCs w:val="12"/>
                <w:color w:val="auto"/>
              </w:rPr>
            </w:pPr>
          </w:p>
        </w:tc>
        <w:tc>
          <w:tcPr>
            <w:tcW w:w="1140" w:type="dxa"/>
            <w:vAlign w:val="bottom"/>
            <w:shd w:val="clear" w:color="auto" w:fill="C60C35"/>
          </w:tcPr>
          <w:p>
            <w:pPr>
              <w:spacing w:after="0"/>
              <w:rPr>
                <w:sz w:val="12"/>
                <w:szCs w:val="12"/>
                <w:color w:val="auto"/>
              </w:rPr>
            </w:pP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Plan</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c>
          <w:tcPr>
            <w:tcW w:w="40" w:type="dxa"/>
            <w:vAlign w:val="bottom"/>
            <w:shd w:val="clear" w:color="auto" w:fill="C60C35"/>
          </w:tcPr>
          <w:p>
            <w:pPr>
              <w:spacing w:after="0"/>
              <w:rPr>
                <w:sz w:val="12"/>
                <w:szCs w:val="12"/>
                <w:color w:val="auto"/>
              </w:rPr>
            </w:pPr>
          </w:p>
        </w:tc>
        <w:tc>
          <w:tcPr>
            <w:tcW w:w="1460" w:type="dxa"/>
            <w:vAlign w:val="bottom"/>
            <w:shd w:val="clear" w:color="auto" w:fill="C60C35"/>
          </w:tcPr>
          <w:p>
            <w:pPr>
              <w:spacing w:after="0"/>
              <w:rPr>
                <w:sz w:val="12"/>
                <w:szCs w:val="12"/>
                <w:color w:val="auto"/>
              </w:rPr>
            </w:pP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spacing w:after="0"/>
              <w:rPr>
                <w:sz w:val="12"/>
                <w:szCs w:val="12"/>
                <w:color w:val="auto"/>
              </w:rPr>
            </w:pPr>
          </w:p>
        </w:tc>
        <w:tc>
          <w:tcPr>
            <w:tcW w:w="1140" w:type="dxa"/>
            <w:vAlign w:val="bottom"/>
            <w:shd w:val="clear" w:color="auto" w:fill="C60C35"/>
          </w:tcPr>
          <w:p>
            <w:pPr>
              <w:spacing w:after="0"/>
              <w:rPr>
                <w:sz w:val="12"/>
                <w:szCs w:val="12"/>
                <w:color w:val="auto"/>
              </w:rPr>
            </w:pP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Awards:</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Market or</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060" w:type="dxa"/>
            <w:vAlign w:val="bottom"/>
            <w:shd w:val="clear" w:color="auto" w:fill="C60C35"/>
          </w:tcPr>
          <w:p>
            <w:pPr>
              <w:spacing w:after="0"/>
              <w:rPr>
                <w:sz w:val="12"/>
                <w:szCs w:val="12"/>
                <w:color w:val="auto"/>
              </w:rPr>
            </w:pPr>
          </w:p>
        </w:tc>
        <w:tc>
          <w:tcPr>
            <w:tcW w:w="40" w:type="dxa"/>
            <w:vAlign w:val="bottom"/>
            <w:shd w:val="clear" w:color="auto" w:fill="C60C35"/>
          </w:tcPr>
          <w:p>
            <w:pPr>
              <w:spacing w:after="0"/>
              <w:rPr>
                <w:sz w:val="12"/>
                <w:szCs w:val="12"/>
                <w:color w:val="auto"/>
              </w:rPr>
            </w:pPr>
          </w:p>
        </w:tc>
        <w:tc>
          <w:tcPr>
            <w:tcW w:w="1460" w:type="dxa"/>
            <w:vAlign w:val="bottom"/>
            <w:shd w:val="clear" w:color="auto" w:fill="C60C35"/>
          </w:tcPr>
          <w:p>
            <w:pPr>
              <w:spacing w:after="0"/>
              <w:rPr>
                <w:sz w:val="12"/>
                <w:szCs w:val="12"/>
                <w:color w:val="auto"/>
              </w:rPr>
            </w:pP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spacing w:after="0"/>
              <w:rPr>
                <w:sz w:val="12"/>
                <w:szCs w:val="12"/>
                <w:color w:val="auto"/>
              </w:rPr>
            </w:pPr>
          </w:p>
        </w:tc>
        <w:tc>
          <w:tcPr>
            <w:tcW w:w="1140" w:type="dxa"/>
            <w:vAlign w:val="bottom"/>
            <w:shd w:val="clear" w:color="auto" w:fill="C60C35"/>
          </w:tcPr>
          <w:p>
            <w:pPr>
              <w:spacing w:after="0"/>
              <w:rPr>
                <w:sz w:val="12"/>
                <w:szCs w:val="12"/>
                <w:color w:val="auto"/>
              </w:rPr>
            </w:pP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Number of</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Payout Value</w:t>
            </w:r>
          </w:p>
        </w:tc>
        <w:tc>
          <w:tcPr>
            <w:tcW w:w="0" w:type="dxa"/>
            <w:vAlign w:val="bottom"/>
          </w:tcPr>
          <w:p>
            <w:pPr>
              <w:spacing w:after="0"/>
              <w:rPr>
                <w:sz w:val="1"/>
                <w:szCs w:val="1"/>
                <w:color w:val="auto"/>
              </w:rPr>
            </w:pPr>
          </w:p>
        </w:tc>
      </w:tr>
      <w:tr>
        <w:trPr>
          <w:trHeight w:val="162"/>
        </w:trPr>
        <w:tc>
          <w:tcPr>
            <w:tcW w:w="1220" w:type="dxa"/>
            <w:vAlign w:val="bottom"/>
            <w:shd w:val="clear" w:color="auto" w:fill="C60C35"/>
          </w:tcPr>
          <w:p>
            <w:pPr>
              <w:spacing w:after="0"/>
              <w:rPr>
                <w:sz w:val="14"/>
                <w:szCs w:val="14"/>
                <w:color w:val="auto"/>
              </w:rPr>
            </w:pPr>
          </w:p>
        </w:tc>
        <w:tc>
          <w:tcPr>
            <w:tcW w:w="880" w:type="dxa"/>
            <w:vAlign w:val="bottom"/>
            <w:shd w:val="clear" w:color="auto" w:fill="C60C35"/>
          </w:tcPr>
          <w:p>
            <w:pPr>
              <w:spacing w:after="0"/>
              <w:rPr>
                <w:sz w:val="14"/>
                <w:szCs w:val="14"/>
                <w:color w:val="auto"/>
              </w:rPr>
            </w:pP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Number of</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Number of</w:t>
            </w:r>
          </w:p>
        </w:tc>
        <w:tc>
          <w:tcPr>
            <w:tcW w:w="980" w:type="dxa"/>
            <w:vAlign w:val="bottom"/>
            <w:shd w:val="clear" w:color="auto" w:fill="C60C35"/>
          </w:tcPr>
          <w:p>
            <w:pPr>
              <w:spacing w:after="0"/>
              <w:rPr>
                <w:sz w:val="14"/>
                <w:szCs w:val="14"/>
                <w:color w:val="auto"/>
              </w:rPr>
            </w:pPr>
          </w:p>
        </w:tc>
        <w:tc>
          <w:tcPr>
            <w:tcW w:w="920" w:type="dxa"/>
            <w:vAlign w:val="bottom"/>
            <w:shd w:val="clear" w:color="auto" w:fill="C60C35"/>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Number of</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Market Value</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Unearned</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of Unearned</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Securities</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Securities</w:t>
            </w: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Shares or</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of Shares or</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Shares, Units</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Shares, Units</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spacing w:after="0"/>
              <w:rPr>
                <w:sz w:val="12"/>
                <w:szCs w:val="12"/>
                <w:color w:val="auto"/>
              </w:rPr>
            </w:pP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Underlying</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Underlying</w:t>
            </w:r>
          </w:p>
        </w:tc>
        <w:tc>
          <w:tcPr>
            <w:tcW w:w="980" w:type="dxa"/>
            <w:vAlign w:val="bottom"/>
            <w:shd w:val="clear" w:color="auto" w:fill="C60C35"/>
          </w:tcPr>
          <w:p>
            <w:pPr>
              <w:spacing w:after="0"/>
              <w:rPr>
                <w:sz w:val="12"/>
                <w:szCs w:val="12"/>
                <w:color w:val="auto"/>
              </w:rPr>
            </w:pP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Units of</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Units of</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or Other</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or Other</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Grant</w:t>
            </w: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Unexercised</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Unexercised</w:t>
            </w:r>
          </w:p>
        </w:tc>
        <w:tc>
          <w:tcPr>
            <w:tcW w:w="9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Option/ SAR</w:t>
            </w:r>
          </w:p>
        </w:tc>
        <w:tc>
          <w:tcPr>
            <w:tcW w:w="920" w:type="dxa"/>
            <w:vAlign w:val="bottom"/>
            <w:shd w:val="clear" w:color="auto" w:fill="C60C35"/>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Stock That</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Stock That</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Rights That</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Rights That</w:t>
            </w:r>
          </w:p>
        </w:tc>
        <w:tc>
          <w:tcPr>
            <w:tcW w:w="0" w:type="dxa"/>
            <w:vAlign w:val="bottom"/>
          </w:tcPr>
          <w:p>
            <w:pPr>
              <w:spacing w:after="0"/>
              <w:rPr>
                <w:sz w:val="1"/>
                <w:szCs w:val="1"/>
                <w:color w:val="auto"/>
              </w:rPr>
            </w:pPr>
          </w:p>
        </w:tc>
      </w:tr>
      <w:tr>
        <w:trPr>
          <w:trHeight w:val="148"/>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Date for</w:t>
            </w: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Options/</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Options/</w:t>
            </w:r>
          </w:p>
        </w:tc>
        <w:tc>
          <w:tcPr>
            <w:tcW w:w="9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Exercise</w:t>
            </w:r>
          </w:p>
        </w:tc>
        <w:tc>
          <w:tcPr>
            <w:tcW w:w="9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Option/ SAR</w:t>
            </w:r>
          </w:p>
        </w:tc>
        <w:tc>
          <w:tcPr>
            <w:tcW w:w="80" w:type="dxa"/>
            <w:vAlign w:val="bottom"/>
          </w:tcPr>
          <w:p>
            <w:pPr>
              <w:spacing w:after="0"/>
              <w:rPr>
                <w:sz w:val="12"/>
                <w:szCs w:val="12"/>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Have Not</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Have Not</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Have Not</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149"/>
        </w:trPr>
        <w:tc>
          <w:tcPr>
            <w:tcW w:w="1220" w:type="dxa"/>
            <w:vAlign w:val="bottom"/>
            <w:shd w:val="clear" w:color="auto" w:fill="C60C35"/>
          </w:tcPr>
          <w:p>
            <w:pPr>
              <w:spacing w:after="0"/>
              <w:rPr>
                <w:sz w:val="12"/>
                <w:szCs w:val="12"/>
                <w:color w:val="auto"/>
              </w:rPr>
            </w:pP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8"/>
              </w:rPr>
              <w:t>Options/</w:t>
            </w: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SARs (#)</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SARs (#)</w:t>
            </w:r>
          </w:p>
        </w:tc>
        <w:tc>
          <w:tcPr>
            <w:tcW w:w="9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Price</w:t>
            </w:r>
          </w:p>
        </w:tc>
        <w:tc>
          <w:tcPr>
            <w:tcW w:w="9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Expiration</w:t>
            </w:r>
          </w:p>
        </w:tc>
        <w:tc>
          <w:tcPr>
            <w:tcW w:w="80" w:type="dxa"/>
            <w:vAlign w:val="bottom"/>
          </w:tcPr>
          <w:p>
            <w:pPr>
              <w:spacing w:after="0"/>
              <w:rPr>
                <w:sz w:val="12"/>
                <w:szCs w:val="12"/>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Vested</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Vested</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Vested</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Vested</w:t>
            </w:r>
          </w:p>
        </w:tc>
        <w:tc>
          <w:tcPr>
            <w:tcW w:w="0" w:type="dxa"/>
            <w:vAlign w:val="bottom"/>
          </w:tcPr>
          <w:p>
            <w:pPr>
              <w:spacing w:after="0"/>
              <w:rPr>
                <w:sz w:val="1"/>
                <w:szCs w:val="1"/>
                <w:color w:val="auto"/>
              </w:rPr>
            </w:pPr>
          </w:p>
        </w:tc>
      </w:tr>
      <w:tr>
        <w:trPr>
          <w:trHeight w:val="207"/>
        </w:trPr>
        <w:tc>
          <w:tcPr>
            <w:tcW w:w="1220" w:type="dxa"/>
            <w:vAlign w:val="bottom"/>
            <w:shd w:val="clear" w:color="auto" w:fill="C60C35"/>
          </w:tcPr>
          <w:p>
            <w:pPr>
              <w:ind w:left="100"/>
              <w:spacing w:after="0"/>
              <w:rPr>
                <w:sz w:val="20"/>
                <w:szCs w:val="20"/>
                <w:color w:val="auto"/>
              </w:rPr>
            </w:pPr>
            <w:r>
              <w:rPr>
                <w:rFonts w:ascii="Arial" w:cs="Arial" w:eastAsia="Arial" w:hAnsi="Arial"/>
                <w:sz w:val="13"/>
                <w:szCs w:val="13"/>
                <w:b w:val="1"/>
                <w:bCs w:val="1"/>
                <w:color w:val="FFFFFF"/>
              </w:rPr>
              <w:t>Name</w:t>
            </w:r>
          </w:p>
        </w:tc>
        <w:tc>
          <w:tcPr>
            <w:tcW w:w="88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2"/>
              </w:rPr>
              <w:t>SARs</w:t>
            </w:r>
          </w:p>
        </w:tc>
        <w:tc>
          <w:tcPr>
            <w:tcW w:w="1100" w:type="dxa"/>
            <w:vAlign w:val="bottom"/>
            <w:gridSpan w:val="2"/>
            <w:shd w:val="clear" w:color="auto" w:fill="C60C35"/>
          </w:tcPr>
          <w:p>
            <w:pPr>
              <w:jc w:val="right"/>
              <w:ind w:right="20"/>
              <w:spacing w:after="0"/>
              <w:rPr>
                <w:sz w:val="20"/>
                <w:szCs w:val="20"/>
                <w:color w:val="auto"/>
              </w:rPr>
            </w:pPr>
            <w:r>
              <w:rPr>
                <w:rFonts w:ascii="Arial" w:cs="Arial" w:eastAsia="Arial" w:hAnsi="Arial"/>
                <w:sz w:val="13"/>
                <w:szCs w:val="13"/>
                <w:b w:val="1"/>
                <w:bCs w:val="1"/>
                <w:color w:val="FFFFFF"/>
              </w:rPr>
              <w:t>Exercisable</w:t>
            </w:r>
            <w:r>
              <w:rPr>
                <w:rFonts w:ascii="Arial" w:cs="Arial" w:eastAsia="Arial" w:hAnsi="Arial"/>
                <w:sz w:val="16"/>
                <w:szCs w:val="16"/>
                <w:b w:val="1"/>
                <w:bCs w:val="1"/>
                <w:color w:val="FFFFFF"/>
                <w:vertAlign w:val="superscript"/>
              </w:rPr>
              <w:t>(1)</w:t>
            </w:r>
          </w:p>
        </w:tc>
        <w:tc>
          <w:tcPr>
            <w:tcW w:w="14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Unexercisable</w:t>
            </w:r>
            <w:r>
              <w:rPr>
                <w:rFonts w:ascii="Arial" w:cs="Arial" w:eastAsia="Arial" w:hAnsi="Arial"/>
                <w:sz w:val="16"/>
                <w:szCs w:val="16"/>
                <w:b w:val="1"/>
                <w:bCs w:val="1"/>
                <w:color w:val="FFFFFF"/>
                <w:vertAlign w:val="superscript"/>
              </w:rPr>
              <w:t>(1)</w:t>
            </w:r>
          </w:p>
        </w:tc>
        <w:tc>
          <w:tcPr>
            <w:tcW w:w="9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($/Sh)</w:t>
            </w:r>
            <w:r>
              <w:rPr>
                <w:rFonts w:ascii="Arial" w:cs="Arial" w:eastAsia="Arial" w:hAnsi="Arial"/>
                <w:sz w:val="16"/>
                <w:szCs w:val="16"/>
                <w:b w:val="1"/>
                <w:bCs w:val="1"/>
                <w:color w:val="FFFFFF"/>
                <w:vertAlign w:val="superscript"/>
              </w:rPr>
              <w:t>(2)</w:t>
            </w:r>
          </w:p>
        </w:tc>
        <w:tc>
          <w:tcPr>
            <w:tcW w:w="9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Date</w:t>
            </w:r>
          </w:p>
        </w:tc>
        <w:tc>
          <w:tcPr>
            <w:tcW w:w="80" w:type="dxa"/>
            <w:vAlign w:val="bottom"/>
          </w:tcPr>
          <w:p>
            <w:pPr>
              <w:spacing w:after="0"/>
              <w:rPr>
                <w:sz w:val="18"/>
                <w:szCs w:val="18"/>
                <w:color w:val="auto"/>
              </w:rPr>
            </w:pPr>
          </w:p>
        </w:tc>
        <w:tc>
          <w:tcPr>
            <w:tcW w:w="10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(3)</w:t>
            </w:r>
          </w:p>
        </w:tc>
        <w:tc>
          <w:tcPr>
            <w:tcW w:w="11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12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(5)</w:t>
            </w:r>
          </w:p>
        </w:tc>
        <w:tc>
          <w:tcPr>
            <w:tcW w:w="11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6"/>
                <w:szCs w:val="16"/>
                <w:b w:val="1"/>
                <w:bCs w:val="1"/>
                <w:color w:val="FFFFFF"/>
                <w:vertAlign w:val="superscript"/>
              </w:rPr>
              <w:t>(4)</w:t>
            </w:r>
          </w:p>
        </w:tc>
        <w:tc>
          <w:tcPr>
            <w:tcW w:w="0" w:type="dxa"/>
            <w:vAlign w:val="bottom"/>
          </w:tcPr>
          <w:p>
            <w:pPr>
              <w:spacing w:after="0"/>
              <w:rPr>
                <w:sz w:val="1"/>
                <w:szCs w:val="1"/>
                <w:color w:val="auto"/>
              </w:rPr>
            </w:pPr>
          </w:p>
        </w:tc>
      </w:tr>
      <w:tr>
        <w:trPr>
          <w:trHeight w:val="94"/>
        </w:trPr>
        <w:tc>
          <w:tcPr>
            <w:tcW w:w="1220" w:type="dxa"/>
            <w:vAlign w:val="bottom"/>
            <w:shd w:val="clear" w:color="auto" w:fill="C60C35"/>
          </w:tcPr>
          <w:p>
            <w:pPr>
              <w:spacing w:after="0"/>
              <w:rPr>
                <w:sz w:val="8"/>
                <w:szCs w:val="8"/>
                <w:color w:val="auto"/>
              </w:rPr>
            </w:pPr>
          </w:p>
        </w:tc>
        <w:tc>
          <w:tcPr>
            <w:tcW w:w="880" w:type="dxa"/>
            <w:vAlign w:val="bottom"/>
            <w:shd w:val="clear" w:color="auto" w:fill="C60C35"/>
          </w:tcPr>
          <w:p>
            <w:pPr>
              <w:spacing w:after="0"/>
              <w:rPr>
                <w:sz w:val="8"/>
                <w:szCs w:val="8"/>
                <w:color w:val="auto"/>
              </w:rPr>
            </w:pPr>
          </w:p>
        </w:tc>
        <w:tc>
          <w:tcPr>
            <w:tcW w:w="1060" w:type="dxa"/>
            <w:vAlign w:val="bottom"/>
            <w:shd w:val="clear" w:color="auto" w:fill="C60C35"/>
          </w:tcPr>
          <w:p>
            <w:pPr>
              <w:spacing w:after="0"/>
              <w:rPr>
                <w:sz w:val="8"/>
                <w:szCs w:val="8"/>
                <w:color w:val="auto"/>
              </w:rPr>
            </w:pPr>
          </w:p>
        </w:tc>
        <w:tc>
          <w:tcPr>
            <w:tcW w:w="40" w:type="dxa"/>
            <w:vAlign w:val="bottom"/>
            <w:shd w:val="clear" w:color="auto" w:fill="C60C35"/>
          </w:tcPr>
          <w:p>
            <w:pPr>
              <w:spacing w:after="0"/>
              <w:rPr>
                <w:sz w:val="8"/>
                <w:szCs w:val="8"/>
                <w:color w:val="auto"/>
              </w:rPr>
            </w:pPr>
          </w:p>
        </w:tc>
        <w:tc>
          <w:tcPr>
            <w:tcW w:w="1460" w:type="dxa"/>
            <w:vAlign w:val="bottom"/>
            <w:shd w:val="clear" w:color="auto" w:fill="C60C35"/>
          </w:tcPr>
          <w:p>
            <w:pPr>
              <w:spacing w:after="0"/>
              <w:rPr>
                <w:sz w:val="8"/>
                <w:szCs w:val="8"/>
                <w:color w:val="auto"/>
              </w:rPr>
            </w:pPr>
          </w:p>
        </w:tc>
        <w:tc>
          <w:tcPr>
            <w:tcW w:w="980" w:type="dxa"/>
            <w:vAlign w:val="bottom"/>
            <w:shd w:val="clear" w:color="auto" w:fill="C60C35"/>
          </w:tcPr>
          <w:p>
            <w:pPr>
              <w:spacing w:after="0"/>
              <w:rPr>
                <w:sz w:val="8"/>
                <w:szCs w:val="8"/>
                <w:color w:val="auto"/>
              </w:rPr>
            </w:pPr>
          </w:p>
        </w:tc>
        <w:tc>
          <w:tcPr>
            <w:tcW w:w="920" w:type="dxa"/>
            <w:vAlign w:val="bottom"/>
            <w:shd w:val="clear" w:color="auto" w:fill="C60C35"/>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shd w:val="clear" w:color="auto" w:fill="C60C35"/>
          </w:tcPr>
          <w:p>
            <w:pPr>
              <w:spacing w:after="0"/>
              <w:rPr>
                <w:sz w:val="8"/>
                <w:szCs w:val="8"/>
                <w:color w:val="auto"/>
              </w:rPr>
            </w:pPr>
          </w:p>
        </w:tc>
        <w:tc>
          <w:tcPr>
            <w:tcW w:w="1140" w:type="dxa"/>
            <w:vAlign w:val="bottom"/>
            <w:shd w:val="clear" w:color="auto" w:fill="C60C35"/>
          </w:tcPr>
          <w:p>
            <w:pPr>
              <w:spacing w:after="0"/>
              <w:rPr>
                <w:sz w:val="8"/>
                <w:szCs w:val="8"/>
                <w:color w:val="auto"/>
              </w:rPr>
            </w:pPr>
          </w:p>
        </w:tc>
        <w:tc>
          <w:tcPr>
            <w:tcW w:w="1280" w:type="dxa"/>
            <w:vAlign w:val="bottom"/>
            <w:shd w:val="clear" w:color="auto" w:fill="C60C35"/>
          </w:tcPr>
          <w:p>
            <w:pPr>
              <w:spacing w:after="0"/>
              <w:rPr>
                <w:sz w:val="8"/>
                <w:szCs w:val="8"/>
                <w:color w:val="auto"/>
              </w:rPr>
            </w:pPr>
          </w:p>
        </w:tc>
        <w:tc>
          <w:tcPr>
            <w:tcW w:w="1100" w:type="dxa"/>
            <w:vAlign w:val="bottom"/>
            <w:shd w:val="clear" w:color="auto" w:fill="C60C35"/>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Alok Maskara</w:t>
            </w: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12/9/2022</w:t>
            </w:r>
          </w:p>
        </w:tc>
        <w:tc>
          <w:tcPr>
            <w:tcW w:w="1060" w:type="dxa"/>
            <w:vAlign w:val="bottom"/>
          </w:tcPr>
          <w:p>
            <w:pPr>
              <w:jc w:val="right"/>
              <w:spacing w:after="0"/>
              <w:rPr>
                <w:sz w:val="20"/>
                <w:szCs w:val="20"/>
                <w:color w:val="auto"/>
              </w:rPr>
            </w:pPr>
            <w:r>
              <w:rPr>
                <w:rFonts w:ascii="Arial" w:cs="Arial" w:eastAsia="Arial" w:hAnsi="Arial"/>
                <w:sz w:val="13"/>
                <w:szCs w:val="13"/>
                <w:color w:val="auto"/>
              </w:rPr>
              <w:t>15,047</w:t>
            </w:r>
          </w:p>
        </w:tc>
        <w:tc>
          <w:tcPr>
            <w:tcW w:w="40" w:type="dxa"/>
            <w:vAlign w:val="bottom"/>
          </w:tcPr>
          <w:p>
            <w:pPr>
              <w:spacing w:after="0"/>
              <w:rPr>
                <w:sz w:val="15"/>
                <w:szCs w:val="15"/>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259.56</w:t>
            </w:r>
          </w:p>
        </w:tc>
        <w:tc>
          <w:tcPr>
            <w:tcW w:w="920" w:type="dxa"/>
            <w:vAlign w:val="bottom"/>
          </w:tcPr>
          <w:p>
            <w:pPr>
              <w:jc w:val="right"/>
              <w:spacing w:after="0"/>
              <w:rPr>
                <w:sz w:val="20"/>
                <w:szCs w:val="20"/>
                <w:color w:val="auto"/>
              </w:rPr>
            </w:pPr>
            <w:r>
              <w:rPr>
                <w:rFonts w:ascii="Arial" w:cs="Arial" w:eastAsia="Arial" w:hAnsi="Arial"/>
                <w:sz w:val="13"/>
                <w:szCs w:val="13"/>
                <w:color w:val="auto"/>
              </w:rPr>
              <w:t>12/9/2029</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6,900</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3,350,502</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23,000</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11,168,340</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1060" w:type="dxa"/>
            <w:vAlign w:val="bottom"/>
          </w:tcPr>
          <w:p>
            <w:pPr>
              <w:jc w:val="right"/>
              <w:spacing w:after="0"/>
              <w:rPr>
                <w:sz w:val="20"/>
                <w:szCs w:val="20"/>
                <w:color w:val="auto"/>
              </w:rPr>
            </w:pPr>
            <w:r>
              <w:rPr>
                <w:rFonts w:ascii="Arial" w:cs="Arial" w:eastAsia="Arial" w:hAnsi="Arial"/>
                <w:sz w:val="13"/>
                <w:szCs w:val="13"/>
                <w:color w:val="auto"/>
              </w:rPr>
              <w:t>2,786</w:t>
            </w:r>
          </w:p>
        </w:tc>
        <w:tc>
          <w:tcPr>
            <w:tcW w:w="40" w:type="dxa"/>
            <w:vAlign w:val="bottom"/>
          </w:tcPr>
          <w:p>
            <w:pPr>
              <w:spacing w:after="0"/>
              <w:rPr>
                <w:sz w:val="17"/>
                <w:szCs w:val="17"/>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5,574</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418.69</w:t>
            </w:r>
          </w:p>
        </w:tc>
        <w:tc>
          <w:tcPr>
            <w:tcW w:w="920" w:type="dxa"/>
            <w:vAlign w:val="bottom"/>
          </w:tcPr>
          <w:p>
            <w:pPr>
              <w:jc w:val="right"/>
              <w:spacing w:after="0"/>
              <w:rPr>
                <w:sz w:val="20"/>
                <w:szCs w:val="20"/>
                <w:color w:val="auto"/>
              </w:rPr>
            </w:pPr>
            <w:r>
              <w:rPr>
                <w:rFonts w:ascii="Arial" w:cs="Arial" w:eastAsia="Arial" w:hAnsi="Arial"/>
                <w:sz w:val="13"/>
                <w:szCs w:val="13"/>
                <w:color w:val="auto"/>
              </w:rPr>
              <w:t>2/5/2031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7,120</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576.28</w:t>
            </w:r>
          </w:p>
        </w:tc>
        <w:tc>
          <w:tcPr>
            <w:tcW w:w="920" w:type="dxa"/>
            <w:vAlign w:val="bottom"/>
          </w:tcPr>
          <w:p>
            <w:pPr>
              <w:jc w:val="right"/>
              <w:spacing w:after="0"/>
              <w:rPr>
                <w:sz w:val="20"/>
                <w:szCs w:val="20"/>
                <w:color w:val="auto"/>
              </w:rPr>
            </w:pPr>
            <w:r>
              <w:rPr>
                <w:rFonts w:ascii="Arial" w:cs="Arial" w:eastAsia="Arial" w:hAnsi="Arial"/>
                <w:sz w:val="13"/>
                <w:szCs w:val="13"/>
                <w:color w:val="auto"/>
              </w:rPr>
              <w:t>2/3/2032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F1F2F2"/>
          </w:tcPr>
          <w:p>
            <w:pPr>
              <w:ind w:left="100"/>
              <w:spacing w:after="0"/>
              <w:rPr>
                <w:sz w:val="20"/>
                <w:szCs w:val="20"/>
                <w:color w:val="auto"/>
              </w:rPr>
            </w:pPr>
            <w:r>
              <w:rPr>
                <w:rFonts w:ascii="Arial" w:cs="Arial" w:eastAsia="Arial" w:hAnsi="Arial"/>
                <w:sz w:val="13"/>
                <w:szCs w:val="13"/>
                <w:color w:val="auto"/>
                <w:w w:val="96"/>
              </w:rPr>
              <w:t>Michael P. Quenzer</w:t>
            </w:r>
          </w:p>
        </w:tc>
        <w:tc>
          <w:tcPr>
            <w:tcW w:w="880" w:type="dxa"/>
            <w:vAlign w:val="bottom"/>
            <w:vMerge w:val="restart"/>
            <w:shd w:val="clear" w:color="auto" w:fill="F1F2F2"/>
          </w:tcPr>
          <w:p>
            <w:pPr>
              <w:jc w:val="center"/>
              <w:spacing w:after="0"/>
              <w:rPr>
                <w:sz w:val="20"/>
                <w:szCs w:val="20"/>
                <w:color w:val="auto"/>
              </w:rPr>
            </w:pPr>
            <w:r>
              <w:rPr>
                <w:rFonts w:ascii="Arial" w:cs="Arial" w:eastAsia="Arial" w:hAnsi="Arial"/>
                <w:sz w:val="13"/>
                <w:szCs w:val="13"/>
                <w:color w:val="auto"/>
                <w:w w:val="95"/>
              </w:rPr>
              <w:t>12/11/2020</w:t>
            </w:r>
          </w:p>
        </w:tc>
        <w:tc>
          <w:tcPr>
            <w:tcW w:w="106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635</w:t>
            </w:r>
          </w:p>
        </w:tc>
        <w:tc>
          <w:tcPr>
            <w:tcW w:w="40" w:type="dxa"/>
            <w:vAlign w:val="bottom"/>
            <w:shd w:val="clear" w:color="auto" w:fill="F1F2F2"/>
          </w:tcPr>
          <w:p>
            <w:pPr>
              <w:spacing w:after="0"/>
              <w:rPr>
                <w:sz w:val="15"/>
                <w:szCs w:val="15"/>
                <w:color w:val="auto"/>
              </w:rPr>
            </w:pPr>
          </w:p>
        </w:tc>
        <w:tc>
          <w:tcPr>
            <w:tcW w:w="1460" w:type="dxa"/>
            <w:vAlign w:val="bottom"/>
            <w:vMerge w:val="restart"/>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278.00</w:t>
            </w: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3"/>
                <w:szCs w:val="13"/>
                <w:color w:val="auto"/>
              </w:rPr>
              <w:t>12/11/2027</w:t>
            </w:r>
          </w:p>
        </w:tc>
        <w:tc>
          <w:tcPr>
            <w:tcW w:w="1160" w:type="dxa"/>
            <w:vAlign w:val="bottom"/>
            <w:gridSpan w:val="2"/>
            <w:vMerge w:val="restart"/>
            <w:shd w:val="clear" w:color="auto" w:fill="F1F2F2"/>
          </w:tcPr>
          <w:p>
            <w:pPr>
              <w:jc w:val="right"/>
              <w:spacing w:after="0"/>
              <w:rPr>
                <w:sz w:val="20"/>
                <w:szCs w:val="20"/>
                <w:color w:val="auto"/>
              </w:rPr>
            </w:pPr>
            <w:r>
              <w:rPr>
                <w:rFonts w:ascii="Arial" w:cs="Arial" w:eastAsia="Arial" w:hAnsi="Arial"/>
                <w:sz w:val="13"/>
                <w:szCs w:val="13"/>
                <w:color w:val="auto"/>
              </w:rPr>
              <w:t>1,307</w:t>
            </w:r>
          </w:p>
        </w:tc>
        <w:tc>
          <w:tcPr>
            <w:tcW w:w="1140" w:type="dxa"/>
            <w:vAlign w:val="bottom"/>
            <w:vMerge w:val="restart"/>
            <w:shd w:val="clear" w:color="auto" w:fill="F1F2F2"/>
          </w:tcPr>
          <w:p>
            <w:pPr>
              <w:jc w:val="right"/>
              <w:ind w:right="17"/>
              <w:spacing w:after="0"/>
              <w:rPr>
                <w:sz w:val="20"/>
                <w:szCs w:val="20"/>
                <w:color w:val="auto"/>
              </w:rPr>
            </w:pPr>
            <w:r>
              <w:rPr>
                <w:rFonts w:ascii="Arial" w:cs="Arial" w:eastAsia="Arial" w:hAnsi="Arial"/>
                <w:sz w:val="13"/>
                <w:szCs w:val="13"/>
                <w:color w:val="auto"/>
              </w:rPr>
              <w:t>634,653</w:t>
            </w:r>
          </w:p>
        </w:tc>
        <w:tc>
          <w:tcPr>
            <w:tcW w:w="1280" w:type="dxa"/>
            <w:vAlign w:val="bottom"/>
            <w:vMerge w:val="restart"/>
            <w:shd w:val="clear" w:color="auto" w:fill="F1F2F2"/>
          </w:tcPr>
          <w:p>
            <w:pPr>
              <w:jc w:val="right"/>
              <w:ind w:right="137"/>
              <w:spacing w:after="0"/>
              <w:rPr>
                <w:sz w:val="20"/>
                <w:szCs w:val="20"/>
                <w:color w:val="auto"/>
              </w:rPr>
            </w:pPr>
            <w:r>
              <w:rPr>
                <w:rFonts w:ascii="Arial" w:cs="Arial" w:eastAsia="Arial" w:hAnsi="Arial"/>
                <w:sz w:val="13"/>
                <w:szCs w:val="13"/>
                <w:color w:val="auto"/>
              </w:rPr>
              <w:t>4,358</w:t>
            </w:r>
          </w:p>
        </w:tc>
        <w:tc>
          <w:tcPr>
            <w:tcW w:w="1100" w:type="dxa"/>
            <w:vAlign w:val="bottom"/>
            <w:vMerge w:val="restart"/>
            <w:shd w:val="clear" w:color="auto" w:fill="F1F2F2"/>
          </w:tcPr>
          <w:p>
            <w:pPr>
              <w:jc w:val="right"/>
              <w:ind w:right="97"/>
              <w:spacing w:after="0"/>
              <w:rPr>
                <w:sz w:val="20"/>
                <w:szCs w:val="20"/>
                <w:color w:val="auto"/>
              </w:rPr>
            </w:pPr>
            <w:r>
              <w:rPr>
                <w:rFonts w:ascii="Arial" w:cs="Arial" w:eastAsia="Arial" w:hAnsi="Arial"/>
                <w:sz w:val="13"/>
                <w:szCs w:val="13"/>
                <w:color w:val="auto"/>
              </w:rPr>
              <w:t>2,116,158</w:t>
            </w:r>
          </w:p>
        </w:tc>
        <w:tc>
          <w:tcPr>
            <w:tcW w:w="0" w:type="dxa"/>
            <w:vAlign w:val="bottom"/>
          </w:tcPr>
          <w:p>
            <w:pPr>
              <w:spacing w:after="0"/>
              <w:rPr>
                <w:sz w:val="1"/>
                <w:szCs w:val="1"/>
                <w:color w:val="auto"/>
              </w:rPr>
            </w:pPr>
          </w:p>
        </w:tc>
      </w:tr>
      <w:tr>
        <w:trPr>
          <w:trHeight w:val="54"/>
        </w:trPr>
        <w:tc>
          <w:tcPr>
            <w:tcW w:w="1220" w:type="dxa"/>
            <w:vAlign w:val="bottom"/>
            <w:shd w:val="clear" w:color="auto" w:fill="F1F2F2"/>
          </w:tcPr>
          <w:p>
            <w:pPr>
              <w:spacing w:after="0"/>
              <w:rPr>
                <w:sz w:val="4"/>
                <w:szCs w:val="4"/>
                <w:color w:val="auto"/>
              </w:rPr>
            </w:pPr>
          </w:p>
        </w:tc>
        <w:tc>
          <w:tcPr>
            <w:tcW w:w="880" w:type="dxa"/>
            <w:vAlign w:val="bottom"/>
            <w:vMerge w:val="continue"/>
            <w:shd w:val="clear" w:color="auto" w:fill="F1F2F2"/>
          </w:tcPr>
          <w:p>
            <w:pPr>
              <w:spacing w:after="0"/>
              <w:rPr>
                <w:sz w:val="4"/>
                <w:szCs w:val="4"/>
                <w:color w:val="auto"/>
              </w:rPr>
            </w:pPr>
          </w:p>
        </w:tc>
        <w:tc>
          <w:tcPr>
            <w:tcW w:w="1060" w:type="dxa"/>
            <w:vAlign w:val="bottom"/>
            <w:vMerge w:val="continue"/>
            <w:shd w:val="clear" w:color="auto" w:fill="F1F2F2"/>
          </w:tcPr>
          <w:p>
            <w:pPr>
              <w:spacing w:after="0"/>
              <w:rPr>
                <w:sz w:val="4"/>
                <w:szCs w:val="4"/>
                <w:color w:val="auto"/>
              </w:rPr>
            </w:pPr>
          </w:p>
        </w:tc>
        <w:tc>
          <w:tcPr>
            <w:tcW w:w="40" w:type="dxa"/>
            <w:vAlign w:val="bottom"/>
            <w:shd w:val="clear" w:color="auto" w:fill="F1F2F2"/>
          </w:tcPr>
          <w:p>
            <w:pPr>
              <w:spacing w:after="0"/>
              <w:rPr>
                <w:sz w:val="4"/>
                <w:szCs w:val="4"/>
                <w:color w:val="auto"/>
              </w:rPr>
            </w:pPr>
          </w:p>
        </w:tc>
        <w:tc>
          <w:tcPr>
            <w:tcW w:w="1460" w:type="dxa"/>
            <w:vAlign w:val="bottom"/>
            <w:vMerge w:val="continue"/>
            <w:shd w:val="clear" w:color="auto" w:fill="F1F2F2"/>
          </w:tcPr>
          <w:p>
            <w:pPr>
              <w:spacing w:after="0"/>
              <w:rPr>
                <w:sz w:val="4"/>
                <w:szCs w:val="4"/>
                <w:color w:val="auto"/>
              </w:rPr>
            </w:pPr>
          </w:p>
        </w:tc>
        <w:tc>
          <w:tcPr>
            <w:tcW w:w="980" w:type="dxa"/>
            <w:vAlign w:val="bottom"/>
            <w:vMerge w:val="continue"/>
            <w:shd w:val="clear" w:color="auto" w:fill="F1F2F2"/>
          </w:tcPr>
          <w:p>
            <w:pPr>
              <w:spacing w:after="0"/>
              <w:rPr>
                <w:sz w:val="4"/>
                <w:szCs w:val="4"/>
                <w:color w:val="auto"/>
              </w:rPr>
            </w:pPr>
          </w:p>
        </w:tc>
        <w:tc>
          <w:tcPr>
            <w:tcW w:w="920" w:type="dxa"/>
            <w:vAlign w:val="bottom"/>
            <w:vMerge w:val="continue"/>
            <w:shd w:val="clear" w:color="auto" w:fill="F1F2F2"/>
          </w:tcPr>
          <w:p>
            <w:pPr>
              <w:spacing w:after="0"/>
              <w:rPr>
                <w:sz w:val="4"/>
                <w:szCs w:val="4"/>
                <w:color w:val="auto"/>
              </w:rPr>
            </w:pPr>
          </w:p>
        </w:tc>
        <w:tc>
          <w:tcPr>
            <w:tcW w:w="1160" w:type="dxa"/>
            <w:vAlign w:val="bottom"/>
            <w:gridSpan w:val="2"/>
            <w:vMerge w:val="continue"/>
            <w:shd w:val="clear" w:color="auto" w:fill="F1F2F2"/>
          </w:tcPr>
          <w:p>
            <w:pPr>
              <w:spacing w:after="0"/>
              <w:rPr>
                <w:sz w:val="4"/>
                <w:szCs w:val="4"/>
                <w:color w:val="auto"/>
              </w:rPr>
            </w:pPr>
          </w:p>
        </w:tc>
        <w:tc>
          <w:tcPr>
            <w:tcW w:w="1140" w:type="dxa"/>
            <w:vAlign w:val="bottom"/>
            <w:vMerge w:val="continue"/>
            <w:shd w:val="clear" w:color="auto" w:fill="F1F2F2"/>
          </w:tcPr>
          <w:p>
            <w:pPr>
              <w:spacing w:after="0"/>
              <w:rPr>
                <w:sz w:val="4"/>
                <w:szCs w:val="4"/>
                <w:color w:val="auto"/>
              </w:rPr>
            </w:pPr>
          </w:p>
        </w:tc>
        <w:tc>
          <w:tcPr>
            <w:tcW w:w="1280" w:type="dxa"/>
            <w:vAlign w:val="bottom"/>
            <w:vMerge w:val="continue"/>
            <w:shd w:val="clear" w:color="auto" w:fill="F1F2F2"/>
          </w:tcPr>
          <w:p>
            <w:pPr>
              <w:spacing w:after="0"/>
              <w:rPr>
                <w:sz w:val="4"/>
                <w:szCs w:val="4"/>
                <w:color w:val="auto"/>
              </w:rPr>
            </w:pPr>
          </w:p>
        </w:tc>
        <w:tc>
          <w:tcPr>
            <w:tcW w:w="1100" w:type="dxa"/>
            <w:vAlign w:val="bottom"/>
            <w:vMerge w:val="continue"/>
            <w:shd w:val="clear" w:color="auto" w:fill="F1F2F2"/>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220" w:type="dxa"/>
            <w:vAlign w:val="bottom"/>
            <w:shd w:val="clear" w:color="auto" w:fill="F1F2F2"/>
          </w:tcPr>
          <w:p>
            <w:pPr>
              <w:spacing w:after="0"/>
              <w:rPr>
                <w:sz w:val="24"/>
                <w:szCs w:val="24"/>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12/10/2021</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556</w:t>
            </w:r>
          </w:p>
        </w:tc>
        <w:tc>
          <w:tcPr>
            <w:tcW w:w="40" w:type="dxa"/>
            <w:vAlign w:val="bottom"/>
            <w:shd w:val="clear" w:color="auto" w:fill="F1F2F2"/>
          </w:tcPr>
          <w:p>
            <w:pPr>
              <w:spacing w:after="0"/>
              <w:rPr>
                <w:sz w:val="24"/>
                <w:szCs w:val="24"/>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328.65</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12/10/2028</w:t>
            </w:r>
          </w:p>
        </w:tc>
        <w:tc>
          <w:tcPr>
            <w:tcW w:w="80" w:type="dxa"/>
            <w:vAlign w:val="bottom"/>
            <w:shd w:val="clear" w:color="auto" w:fill="F1F2F2"/>
          </w:tcPr>
          <w:p>
            <w:pPr>
              <w:spacing w:after="0"/>
              <w:rPr>
                <w:sz w:val="24"/>
                <w:szCs w:val="24"/>
                <w:color w:val="auto"/>
              </w:rPr>
            </w:pPr>
          </w:p>
        </w:tc>
        <w:tc>
          <w:tcPr>
            <w:tcW w:w="1080" w:type="dxa"/>
            <w:vAlign w:val="bottom"/>
            <w:shd w:val="clear" w:color="auto" w:fill="F1F2F2"/>
          </w:tcPr>
          <w:p>
            <w:pPr>
              <w:spacing w:after="0"/>
              <w:rPr>
                <w:sz w:val="24"/>
                <w:szCs w:val="24"/>
                <w:color w:val="auto"/>
              </w:rPr>
            </w:pPr>
          </w:p>
        </w:tc>
        <w:tc>
          <w:tcPr>
            <w:tcW w:w="1140" w:type="dxa"/>
            <w:vAlign w:val="bottom"/>
            <w:shd w:val="clear" w:color="auto" w:fill="F1F2F2"/>
          </w:tcPr>
          <w:p>
            <w:pPr>
              <w:spacing w:after="0"/>
              <w:rPr>
                <w:sz w:val="24"/>
                <w:szCs w:val="24"/>
                <w:color w:val="auto"/>
              </w:rPr>
            </w:pPr>
          </w:p>
        </w:tc>
        <w:tc>
          <w:tcPr>
            <w:tcW w:w="1280" w:type="dxa"/>
            <w:vAlign w:val="bottom"/>
            <w:shd w:val="clear" w:color="auto" w:fill="F1F2F2"/>
          </w:tcPr>
          <w:p>
            <w:pPr>
              <w:spacing w:after="0"/>
              <w:rPr>
                <w:sz w:val="24"/>
                <w:szCs w:val="24"/>
                <w:color w:val="auto"/>
              </w:rPr>
            </w:pPr>
          </w:p>
        </w:tc>
        <w:tc>
          <w:tcPr>
            <w:tcW w:w="110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20" w:type="dxa"/>
            <w:vAlign w:val="bottom"/>
            <w:shd w:val="clear" w:color="auto" w:fill="F1F2F2"/>
          </w:tcPr>
          <w:p>
            <w:pPr>
              <w:spacing w:after="0"/>
              <w:rPr>
                <w:sz w:val="23"/>
                <w:szCs w:val="23"/>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12/9/2022</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632</w:t>
            </w:r>
          </w:p>
        </w:tc>
        <w:tc>
          <w:tcPr>
            <w:tcW w:w="40" w:type="dxa"/>
            <w:vAlign w:val="bottom"/>
            <w:shd w:val="clear" w:color="auto" w:fill="F1F2F2"/>
          </w:tcPr>
          <w:p>
            <w:pPr>
              <w:spacing w:after="0"/>
              <w:rPr>
                <w:sz w:val="23"/>
                <w:szCs w:val="23"/>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259.56</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12/9/2029</w:t>
            </w:r>
          </w:p>
        </w:tc>
        <w:tc>
          <w:tcPr>
            <w:tcW w:w="80" w:type="dxa"/>
            <w:vAlign w:val="bottom"/>
            <w:shd w:val="clear" w:color="auto" w:fill="F1F2F2"/>
          </w:tcPr>
          <w:p>
            <w:pPr>
              <w:spacing w:after="0"/>
              <w:rPr>
                <w:sz w:val="23"/>
                <w:szCs w:val="23"/>
                <w:color w:val="auto"/>
              </w:rPr>
            </w:pPr>
          </w:p>
        </w:tc>
        <w:tc>
          <w:tcPr>
            <w:tcW w:w="1080" w:type="dxa"/>
            <w:vAlign w:val="bottom"/>
            <w:shd w:val="clear" w:color="auto" w:fill="F1F2F2"/>
          </w:tcPr>
          <w:p>
            <w:pPr>
              <w:spacing w:after="0"/>
              <w:rPr>
                <w:sz w:val="23"/>
                <w:szCs w:val="23"/>
                <w:color w:val="auto"/>
              </w:rPr>
            </w:pPr>
          </w:p>
        </w:tc>
        <w:tc>
          <w:tcPr>
            <w:tcW w:w="1140" w:type="dxa"/>
            <w:vAlign w:val="bottom"/>
            <w:shd w:val="clear" w:color="auto" w:fill="F1F2F2"/>
          </w:tcPr>
          <w:p>
            <w:pPr>
              <w:spacing w:after="0"/>
              <w:rPr>
                <w:sz w:val="23"/>
                <w:szCs w:val="23"/>
                <w:color w:val="auto"/>
              </w:rPr>
            </w:pPr>
          </w:p>
        </w:tc>
        <w:tc>
          <w:tcPr>
            <w:tcW w:w="1280" w:type="dxa"/>
            <w:vAlign w:val="bottom"/>
            <w:shd w:val="clear" w:color="auto" w:fill="F1F2F2"/>
          </w:tcPr>
          <w:p>
            <w:pPr>
              <w:spacing w:after="0"/>
              <w:rPr>
                <w:sz w:val="23"/>
                <w:szCs w:val="23"/>
                <w:color w:val="auto"/>
              </w:rPr>
            </w:pPr>
          </w:p>
        </w:tc>
        <w:tc>
          <w:tcPr>
            <w:tcW w:w="1100" w:type="dxa"/>
            <w:vAlign w:val="bottom"/>
            <w:shd w:val="clear" w:color="auto" w:fill="F1F2F2"/>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F1F2F2"/>
          </w:tcPr>
          <w:p>
            <w:pPr>
              <w:spacing w:after="0"/>
              <w:rPr>
                <w:sz w:val="17"/>
                <w:szCs w:val="17"/>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489</w:t>
            </w:r>
          </w:p>
        </w:tc>
        <w:tc>
          <w:tcPr>
            <w:tcW w:w="40" w:type="dxa"/>
            <w:vAlign w:val="bottom"/>
            <w:shd w:val="clear" w:color="auto" w:fill="F1F2F2"/>
          </w:tcPr>
          <w:p>
            <w:pPr>
              <w:spacing w:after="0"/>
              <w:rPr>
                <w:sz w:val="17"/>
                <w:szCs w:val="17"/>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978</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418.69</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2/5/2031</w:t>
            </w:r>
          </w:p>
        </w:tc>
        <w:tc>
          <w:tcPr>
            <w:tcW w:w="8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1280" w:type="dxa"/>
            <w:vAlign w:val="bottom"/>
            <w:shd w:val="clear" w:color="auto" w:fill="F1F2F2"/>
          </w:tcPr>
          <w:p>
            <w:pPr>
              <w:spacing w:after="0"/>
              <w:rPr>
                <w:sz w:val="17"/>
                <w:szCs w:val="17"/>
                <w:color w:val="auto"/>
              </w:rPr>
            </w:pPr>
          </w:p>
        </w:tc>
        <w:tc>
          <w:tcPr>
            <w:tcW w:w="1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F1F2F2"/>
            </w:tcBorders>
            <w:shd w:val="clear" w:color="auto" w:fill="F1F2F2"/>
          </w:tcPr>
          <w:p>
            <w:pPr>
              <w:spacing w:after="0"/>
              <w:rPr>
                <w:sz w:val="18"/>
                <w:szCs w:val="18"/>
                <w:color w:val="auto"/>
              </w:rPr>
            </w:pPr>
          </w:p>
        </w:tc>
        <w:tc>
          <w:tcPr>
            <w:tcW w:w="1460" w:type="dxa"/>
            <w:vAlign w:val="bottom"/>
            <w:tcBorders>
              <w:bottom w:val="single" w:sz="8" w:color="F1F2F2"/>
            </w:tcBorders>
            <w:shd w:val="clear" w:color="auto" w:fill="F1F2F2"/>
          </w:tcPr>
          <w:p>
            <w:pPr>
              <w:jc w:val="right"/>
              <w:ind w:right="177"/>
              <w:spacing w:after="0"/>
              <w:rPr>
                <w:sz w:val="20"/>
                <w:szCs w:val="20"/>
                <w:color w:val="auto"/>
              </w:rPr>
            </w:pPr>
            <w:r>
              <w:rPr>
                <w:rFonts w:ascii="Arial" w:cs="Arial" w:eastAsia="Arial" w:hAnsi="Arial"/>
                <w:sz w:val="13"/>
                <w:szCs w:val="13"/>
                <w:color w:val="auto"/>
              </w:rPr>
              <w:t>1,479</w:t>
            </w:r>
          </w:p>
        </w:tc>
        <w:tc>
          <w:tcPr>
            <w:tcW w:w="98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576.28</w:t>
            </w:r>
          </w:p>
        </w:tc>
        <w:tc>
          <w:tcPr>
            <w:tcW w:w="9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2/3/2032</w:t>
            </w:r>
          </w:p>
        </w:tc>
        <w:tc>
          <w:tcPr>
            <w:tcW w:w="80" w:type="dxa"/>
            <w:vAlign w:val="bottom"/>
            <w:tcBorders>
              <w:bottom w:val="single" w:sz="8" w:color="F1F2F2"/>
            </w:tcBorders>
            <w:shd w:val="clear" w:color="auto" w:fill="F1F2F2"/>
          </w:tcPr>
          <w:p>
            <w:pPr>
              <w:spacing w:after="0"/>
              <w:rPr>
                <w:sz w:val="18"/>
                <w:szCs w:val="18"/>
                <w:color w:val="auto"/>
              </w:rPr>
            </w:pPr>
          </w:p>
        </w:tc>
        <w:tc>
          <w:tcPr>
            <w:tcW w:w="1080" w:type="dxa"/>
            <w:vAlign w:val="bottom"/>
            <w:tcBorders>
              <w:bottom w:val="single" w:sz="8" w:color="F1F2F2"/>
            </w:tcBorders>
            <w:shd w:val="clear" w:color="auto" w:fill="F1F2F2"/>
          </w:tcPr>
          <w:p>
            <w:pPr>
              <w:spacing w:after="0"/>
              <w:rPr>
                <w:sz w:val="18"/>
                <w:szCs w:val="18"/>
                <w:color w:val="auto"/>
              </w:rPr>
            </w:pPr>
          </w:p>
        </w:tc>
        <w:tc>
          <w:tcPr>
            <w:tcW w:w="1140" w:type="dxa"/>
            <w:vAlign w:val="bottom"/>
            <w:tcBorders>
              <w:bottom w:val="single" w:sz="8" w:color="F1F2F2"/>
            </w:tcBorders>
            <w:shd w:val="clear" w:color="auto" w:fill="F1F2F2"/>
          </w:tcPr>
          <w:p>
            <w:pPr>
              <w:spacing w:after="0"/>
              <w:rPr>
                <w:sz w:val="18"/>
                <w:szCs w:val="18"/>
                <w:color w:val="auto"/>
              </w:rPr>
            </w:pPr>
          </w:p>
        </w:tc>
        <w:tc>
          <w:tcPr>
            <w:tcW w:w="1280" w:type="dxa"/>
            <w:vAlign w:val="bottom"/>
            <w:tcBorders>
              <w:bottom w:val="single" w:sz="8" w:color="F1F2F2"/>
            </w:tcBorders>
            <w:shd w:val="clear" w:color="auto" w:fill="F1F2F2"/>
          </w:tcPr>
          <w:p>
            <w:pPr>
              <w:spacing w:after="0"/>
              <w:rPr>
                <w:sz w:val="18"/>
                <w:szCs w:val="18"/>
                <w:color w:val="auto"/>
              </w:rPr>
            </w:pPr>
          </w:p>
        </w:tc>
        <w:tc>
          <w:tcPr>
            <w:tcW w:w="1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Sarah R. Martin</w:t>
            </w:r>
          </w:p>
        </w:tc>
        <w:tc>
          <w:tcPr>
            <w:tcW w:w="88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1,647</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799,750</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1,412</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685,639</w:t>
            </w: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220" w:type="dxa"/>
            <w:vAlign w:val="bottom"/>
            <w:shd w:val="clear" w:color="auto" w:fill="F1F2F2"/>
          </w:tcPr>
          <w:p>
            <w:pPr>
              <w:ind w:left="100"/>
              <w:spacing w:after="0"/>
              <w:rPr>
                <w:sz w:val="20"/>
                <w:szCs w:val="20"/>
                <w:color w:val="auto"/>
              </w:rPr>
            </w:pPr>
            <w:r>
              <w:rPr>
                <w:rFonts w:ascii="Arial" w:cs="Arial" w:eastAsia="Arial" w:hAnsi="Arial"/>
                <w:sz w:val="13"/>
                <w:szCs w:val="13"/>
                <w:color w:val="auto"/>
              </w:rPr>
              <w:t>Joseph F. Nassab</w:t>
            </w: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12/13/2019</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1,517</w:t>
            </w:r>
          </w:p>
        </w:tc>
        <w:tc>
          <w:tcPr>
            <w:tcW w:w="40" w:type="dxa"/>
            <w:vAlign w:val="bottom"/>
            <w:shd w:val="clear" w:color="auto" w:fill="F1F2F2"/>
          </w:tcPr>
          <w:p>
            <w:pPr>
              <w:spacing w:after="0"/>
              <w:rPr>
                <w:sz w:val="15"/>
                <w:szCs w:val="15"/>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257.08</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12/13/2026</w:t>
            </w:r>
          </w:p>
        </w:tc>
        <w:tc>
          <w:tcPr>
            <w:tcW w:w="116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1,421</w:t>
            </w:r>
          </w:p>
        </w:tc>
        <w:tc>
          <w:tcPr>
            <w:tcW w:w="1140" w:type="dxa"/>
            <w:vAlign w:val="bottom"/>
            <w:shd w:val="clear" w:color="auto" w:fill="F1F2F2"/>
          </w:tcPr>
          <w:p>
            <w:pPr>
              <w:jc w:val="right"/>
              <w:ind w:right="17"/>
              <w:spacing w:after="0"/>
              <w:rPr>
                <w:sz w:val="20"/>
                <w:szCs w:val="20"/>
                <w:color w:val="auto"/>
              </w:rPr>
            </w:pPr>
            <w:r>
              <w:rPr>
                <w:rFonts w:ascii="Arial" w:cs="Arial" w:eastAsia="Arial" w:hAnsi="Arial"/>
                <w:sz w:val="13"/>
                <w:szCs w:val="13"/>
                <w:color w:val="auto"/>
              </w:rPr>
              <w:t>690,009</w:t>
            </w:r>
          </w:p>
        </w:tc>
        <w:tc>
          <w:tcPr>
            <w:tcW w:w="12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4,738</w:t>
            </w:r>
          </w:p>
        </w:tc>
        <w:tc>
          <w:tcPr>
            <w:tcW w:w="11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2,300,678</w:t>
            </w:r>
          </w:p>
        </w:tc>
        <w:tc>
          <w:tcPr>
            <w:tcW w:w="0" w:type="dxa"/>
            <w:vAlign w:val="bottom"/>
          </w:tcPr>
          <w:p>
            <w:pPr>
              <w:spacing w:after="0"/>
              <w:rPr>
                <w:sz w:val="1"/>
                <w:szCs w:val="1"/>
                <w:color w:val="auto"/>
              </w:rPr>
            </w:pPr>
          </w:p>
        </w:tc>
      </w:tr>
      <w:tr>
        <w:trPr>
          <w:trHeight w:val="203"/>
        </w:trPr>
        <w:tc>
          <w:tcPr>
            <w:tcW w:w="1220" w:type="dxa"/>
            <w:vAlign w:val="bottom"/>
            <w:shd w:val="clear" w:color="auto" w:fill="F1F2F2"/>
          </w:tcPr>
          <w:p>
            <w:pPr>
              <w:spacing w:after="0"/>
              <w:rPr>
                <w:sz w:val="17"/>
                <w:szCs w:val="17"/>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5"/>
              </w:rPr>
              <w:t>12/11/2020</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1,000</w:t>
            </w:r>
          </w:p>
        </w:tc>
        <w:tc>
          <w:tcPr>
            <w:tcW w:w="40" w:type="dxa"/>
            <w:vAlign w:val="bottom"/>
            <w:shd w:val="clear" w:color="auto" w:fill="F1F2F2"/>
          </w:tcPr>
          <w:p>
            <w:pPr>
              <w:spacing w:after="0"/>
              <w:rPr>
                <w:sz w:val="17"/>
                <w:szCs w:val="17"/>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278.00</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12/11/2027</w:t>
            </w:r>
          </w:p>
        </w:tc>
        <w:tc>
          <w:tcPr>
            <w:tcW w:w="8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1280" w:type="dxa"/>
            <w:vAlign w:val="bottom"/>
            <w:shd w:val="clear" w:color="auto" w:fill="F1F2F2"/>
          </w:tcPr>
          <w:p>
            <w:pPr>
              <w:spacing w:after="0"/>
              <w:rPr>
                <w:sz w:val="17"/>
                <w:szCs w:val="17"/>
                <w:color w:val="auto"/>
              </w:rPr>
            </w:pPr>
          </w:p>
        </w:tc>
        <w:tc>
          <w:tcPr>
            <w:tcW w:w="1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F1F2F2"/>
          </w:tcPr>
          <w:p>
            <w:pPr>
              <w:spacing w:after="0"/>
              <w:rPr>
                <w:sz w:val="17"/>
                <w:szCs w:val="17"/>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8"/>
              </w:rPr>
              <w:t>12/10/2021</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973</w:t>
            </w:r>
          </w:p>
        </w:tc>
        <w:tc>
          <w:tcPr>
            <w:tcW w:w="40" w:type="dxa"/>
            <w:vAlign w:val="bottom"/>
            <w:shd w:val="clear" w:color="auto" w:fill="F1F2F2"/>
          </w:tcPr>
          <w:p>
            <w:pPr>
              <w:spacing w:after="0"/>
              <w:rPr>
                <w:sz w:val="17"/>
                <w:szCs w:val="17"/>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328.65</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12/10/2028</w:t>
            </w:r>
          </w:p>
        </w:tc>
        <w:tc>
          <w:tcPr>
            <w:tcW w:w="8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1280" w:type="dxa"/>
            <w:vAlign w:val="bottom"/>
            <w:shd w:val="clear" w:color="auto" w:fill="F1F2F2"/>
          </w:tcPr>
          <w:p>
            <w:pPr>
              <w:spacing w:after="0"/>
              <w:rPr>
                <w:sz w:val="17"/>
                <w:szCs w:val="17"/>
                <w:color w:val="auto"/>
              </w:rPr>
            </w:pPr>
          </w:p>
        </w:tc>
        <w:tc>
          <w:tcPr>
            <w:tcW w:w="1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F1F2F2"/>
          </w:tcPr>
          <w:p>
            <w:pPr>
              <w:spacing w:after="0"/>
              <w:rPr>
                <w:sz w:val="17"/>
                <w:szCs w:val="17"/>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6"/>
              </w:rPr>
              <w:t>12/9/2022</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2,859</w:t>
            </w:r>
          </w:p>
        </w:tc>
        <w:tc>
          <w:tcPr>
            <w:tcW w:w="40" w:type="dxa"/>
            <w:vAlign w:val="bottom"/>
            <w:shd w:val="clear" w:color="auto" w:fill="F1F2F2"/>
          </w:tcPr>
          <w:p>
            <w:pPr>
              <w:spacing w:after="0"/>
              <w:rPr>
                <w:sz w:val="17"/>
                <w:szCs w:val="17"/>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259.56</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12/9/2029</w:t>
            </w:r>
          </w:p>
        </w:tc>
        <w:tc>
          <w:tcPr>
            <w:tcW w:w="8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1280" w:type="dxa"/>
            <w:vAlign w:val="bottom"/>
            <w:shd w:val="clear" w:color="auto" w:fill="F1F2F2"/>
          </w:tcPr>
          <w:p>
            <w:pPr>
              <w:spacing w:after="0"/>
              <w:rPr>
                <w:sz w:val="17"/>
                <w:szCs w:val="17"/>
                <w:color w:val="auto"/>
              </w:rPr>
            </w:pPr>
          </w:p>
        </w:tc>
        <w:tc>
          <w:tcPr>
            <w:tcW w:w="1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shd w:val="clear" w:color="auto" w:fill="F1F2F2"/>
          </w:tcPr>
          <w:p>
            <w:pPr>
              <w:spacing w:after="0"/>
              <w:rPr>
                <w:sz w:val="17"/>
                <w:szCs w:val="17"/>
                <w:color w:val="auto"/>
              </w:rPr>
            </w:pPr>
          </w:p>
        </w:tc>
        <w:tc>
          <w:tcPr>
            <w:tcW w:w="880" w:type="dxa"/>
            <w:vAlign w:val="bottom"/>
            <w:shd w:val="clear" w:color="auto" w:fill="F1F2F2"/>
          </w:tcPr>
          <w:p>
            <w:pPr>
              <w:jc w:val="center"/>
              <w:spacing w:after="0"/>
              <w:rPr>
                <w:sz w:val="20"/>
                <w:szCs w:val="20"/>
                <w:color w:val="auto"/>
              </w:rPr>
            </w:pPr>
            <w:r>
              <w:rPr>
                <w:rFonts w:ascii="Arial" w:cs="Arial" w:eastAsia="Arial" w:hAnsi="Arial"/>
                <w:sz w:val="13"/>
                <w:szCs w:val="13"/>
                <w:color w:val="auto"/>
                <w:w w:val="94"/>
              </w:rPr>
              <w:t>2/5/2024</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color w:val="auto"/>
              </w:rPr>
              <w:t>586</w:t>
            </w:r>
          </w:p>
        </w:tc>
        <w:tc>
          <w:tcPr>
            <w:tcW w:w="40" w:type="dxa"/>
            <w:vAlign w:val="bottom"/>
            <w:shd w:val="clear" w:color="auto" w:fill="F1F2F2"/>
          </w:tcPr>
          <w:p>
            <w:pPr>
              <w:spacing w:after="0"/>
              <w:rPr>
                <w:sz w:val="17"/>
                <w:szCs w:val="17"/>
                <w:color w:val="auto"/>
              </w:rPr>
            </w:pPr>
          </w:p>
        </w:tc>
        <w:tc>
          <w:tcPr>
            <w:tcW w:w="1460" w:type="dxa"/>
            <w:vAlign w:val="bottom"/>
            <w:shd w:val="clear" w:color="auto" w:fill="F1F2F2"/>
          </w:tcPr>
          <w:p>
            <w:pPr>
              <w:jc w:val="right"/>
              <w:ind w:right="177"/>
              <w:spacing w:after="0"/>
              <w:rPr>
                <w:sz w:val="20"/>
                <w:szCs w:val="20"/>
                <w:color w:val="auto"/>
              </w:rPr>
            </w:pPr>
            <w:r>
              <w:rPr>
                <w:rFonts w:ascii="Arial" w:cs="Arial" w:eastAsia="Arial" w:hAnsi="Arial"/>
                <w:sz w:val="13"/>
                <w:szCs w:val="13"/>
                <w:color w:val="auto"/>
              </w:rPr>
              <w:t>1,174</w:t>
            </w:r>
          </w:p>
        </w:tc>
        <w:tc>
          <w:tcPr>
            <w:tcW w:w="980" w:type="dxa"/>
            <w:vAlign w:val="bottom"/>
            <w:shd w:val="clear" w:color="auto" w:fill="F1F2F2"/>
          </w:tcPr>
          <w:p>
            <w:pPr>
              <w:jc w:val="right"/>
              <w:ind w:right="137"/>
              <w:spacing w:after="0"/>
              <w:rPr>
                <w:sz w:val="20"/>
                <w:szCs w:val="20"/>
                <w:color w:val="auto"/>
              </w:rPr>
            </w:pPr>
            <w:r>
              <w:rPr>
                <w:rFonts w:ascii="Arial" w:cs="Arial" w:eastAsia="Arial" w:hAnsi="Arial"/>
                <w:sz w:val="13"/>
                <w:szCs w:val="13"/>
                <w:color w:val="auto"/>
              </w:rPr>
              <w:t>418.69</w:t>
            </w:r>
          </w:p>
        </w:tc>
        <w:tc>
          <w:tcPr>
            <w:tcW w:w="920" w:type="dxa"/>
            <w:vAlign w:val="bottom"/>
            <w:shd w:val="clear" w:color="auto" w:fill="F1F2F2"/>
          </w:tcPr>
          <w:p>
            <w:pPr>
              <w:jc w:val="right"/>
              <w:spacing w:after="0"/>
              <w:rPr>
                <w:sz w:val="20"/>
                <w:szCs w:val="20"/>
                <w:color w:val="auto"/>
              </w:rPr>
            </w:pPr>
            <w:r>
              <w:rPr>
                <w:rFonts w:ascii="Arial" w:cs="Arial" w:eastAsia="Arial" w:hAnsi="Arial"/>
                <w:sz w:val="13"/>
                <w:szCs w:val="13"/>
                <w:color w:val="auto"/>
              </w:rPr>
              <w:t>2/5/2031</w:t>
            </w:r>
          </w:p>
        </w:tc>
        <w:tc>
          <w:tcPr>
            <w:tcW w:w="80" w:type="dxa"/>
            <w:vAlign w:val="bottom"/>
            <w:shd w:val="clear" w:color="auto" w:fill="F1F2F2"/>
          </w:tcPr>
          <w:p>
            <w:pPr>
              <w:spacing w:after="0"/>
              <w:rPr>
                <w:sz w:val="17"/>
                <w:szCs w:val="17"/>
                <w:color w:val="auto"/>
              </w:rPr>
            </w:pPr>
          </w:p>
        </w:tc>
        <w:tc>
          <w:tcPr>
            <w:tcW w:w="1080" w:type="dxa"/>
            <w:vAlign w:val="bottom"/>
            <w:shd w:val="clear" w:color="auto" w:fill="F1F2F2"/>
          </w:tcPr>
          <w:p>
            <w:pPr>
              <w:spacing w:after="0"/>
              <w:rPr>
                <w:sz w:val="17"/>
                <w:szCs w:val="17"/>
                <w:color w:val="auto"/>
              </w:rPr>
            </w:pPr>
          </w:p>
        </w:tc>
        <w:tc>
          <w:tcPr>
            <w:tcW w:w="1140" w:type="dxa"/>
            <w:vAlign w:val="bottom"/>
            <w:shd w:val="clear" w:color="auto" w:fill="F1F2F2"/>
          </w:tcPr>
          <w:p>
            <w:pPr>
              <w:spacing w:after="0"/>
              <w:rPr>
                <w:sz w:val="17"/>
                <w:szCs w:val="17"/>
                <w:color w:val="auto"/>
              </w:rPr>
            </w:pPr>
          </w:p>
        </w:tc>
        <w:tc>
          <w:tcPr>
            <w:tcW w:w="1280" w:type="dxa"/>
            <w:vAlign w:val="bottom"/>
            <w:shd w:val="clear" w:color="auto" w:fill="F1F2F2"/>
          </w:tcPr>
          <w:p>
            <w:pPr>
              <w:spacing w:after="0"/>
              <w:rPr>
                <w:sz w:val="17"/>
                <w:szCs w:val="17"/>
                <w:color w:val="auto"/>
              </w:rPr>
            </w:pPr>
          </w:p>
        </w:tc>
        <w:tc>
          <w:tcPr>
            <w:tcW w:w="1100" w:type="dxa"/>
            <w:vAlign w:val="bottom"/>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F1F2F2"/>
            </w:tcBorders>
            <w:shd w:val="clear" w:color="auto" w:fill="F1F2F2"/>
          </w:tcPr>
          <w:p>
            <w:pPr>
              <w:spacing w:after="0"/>
              <w:rPr>
                <w:sz w:val="18"/>
                <w:szCs w:val="18"/>
                <w:color w:val="auto"/>
              </w:rPr>
            </w:pPr>
          </w:p>
        </w:tc>
        <w:tc>
          <w:tcPr>
            <w:tcW w:w="88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3"/>
                <w:szCs w:val="13"/>
                <w:color w:val="auto"/>
                <w:w w:val="94"/>
              </w:rPr>
              <w:t>2/3/2025</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F1F2F2"/>
            </w:tcBorders>
            <w:shd w:val="clear" w:color="auto" w:fill="F1F2F2"/>
          </w:tcPr>
          <w:p>
            <w:pPr>
              <w:spacing w:after="0"/>
              <w:rPr>
                <w:sz w:val="18"/>
                <w:szCs w:val="18"/>
                <w:color w:val="auto"/>
              </w:rPr>
            </w:pPr>
          </w:p>
        </w:tc>
        <w:tc>
          <w:tcPr>
            <w:tcW w:w="1460" w:type="dxa"/>
            <w:vAlign w:val="bottom"/>
            <w:tcBorders>
              <w:bottom w:val="single" w:sz="8" w:color="F1F2F2"/>
            </w:tcBorders>
            <w:shd w:val="clear" w:color="auto" w:fill="F1F2F2"/>
          </w:tcPr>
          <w:p>
            <w:pPr>
              <w:jc w:val="right"/>
              <w:ind w:right="177"/>
              <w:spacing w:after="0"/>
              <w:rPr>
                <w:sz w:val="20"/>
                <w:szCs w:val="20"/>
                <w:color w:val="auto"/>
              </w:rPr>
            </w:pPr>
            <w:r>
              <w:rPr>
                <w:rFonts w:ascii="Arial" w:cs="Arial" w:eastAsia="Arial" w:hAnsi="Arial"/>
                <w:sz w:val="13"/>
                <w:szCs w:val="13"/>
                <w:color w:val="auto"/>
              </w:rPr>
              <w:t>1,424</w:t>
            </w:r>
          </w:p>
        </w:tc>
        <w:tc>
          <w:tcPr>
            <w:tcW w:w="98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576.28</w:t>
            </w:r>
          </w:p>
        </w:tc>
        <w:tc>
          <w:tcPr>
            <w:tcW w:w="9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2/3/2032</w:t>
            </w:r>
          </w:p>
        </w:tc>
        <w:tc>
          <w:tcPr>
            <w:tcW w:w="80" w:type="dxa"/>
            <w:vAlign w:val="bottom"/>
            <w:tcBorders>
              <w:bottom w:val="single" w:sz="8" w:color="F1F2F2"/>
            </w:tcBorders>
            <w:shd w:val="clear" w:color="auto" w:fill="F1F2F2"/>
          </w:tcPr>
          <w:p>
            <w:pPr>
              <w:spacing w:after="0"/>
              <w:rPr>
                <w:sz w:val="18"/>
                <w:szCs w:val="18"/>
                <w:color w:val="auto"/>
              </w:rPr>
            </w:pPr>
          </w:p>
        </w:tc>
        <w:tc>
          <w:tcPr>
            <w:tcW w:w="1080" w:type="dxa"/>
            <w:vAlign w:val="bottom"/>
            <w:tcBorders>
              <w:bottom w:val="single" w:sz="8" w:color="F1F2F2"/>
            </w:tcBorders>
            <w:shd w:val="clear" w:color="auto" w:fill="F1F2F2"/>
          </w:tcPr>
          <w:p>
            <w:pPr>
              <w:spacing w:after="0"/>
              <w:rPr>
                <w:sz w:val="18"/>
                <w:szCs w:val="18"/>
                <w:color w:val="auto"/>
              </w:rPr>
            </w:pPr>
          </w:p>
        </w:tc>
        <w:tc>
          <w:tcPr>
            <w:tcW w:w="1140" w:type="dxa"/>
            <w:vAlign w:val="bottom"/>
            <w:tcBorders>
              <w:bottom w:val="single" w:sz="8" w:color="F1F2F2"/>
            </w:tcBorders>
            <w:shd w:val="clear" w:color="auto" w:fill="F1F2F2"/>
          </w:tcPr>
          <w:p>
            <w:pPr>
              <w:spacing w:after="0"/>
              <w:rPr>
                <w:sz w:val="18"/>
                <w:szCs w:val="18"/>
                <w:color w:val="auto"/>
              </w:rPr>
            </w:pPr>
          </w:p>
        </w:tc>
        <w:tc>
          <w:tcPr>
            <w:tcW w:w="1280" w:type="dxa"/>
            <w:vAlign w:val="bottom"/>
            <w:tcBorders>
              <w:bottom w:val="single" w:sz="8" w:color="F1F2F2"/>
            </w:tcBorders>
            <w:shd w:val="clear" w:color="auto" w:fill="F1F2F2"/>
          </w:tcPr>
          <w:p>
            <w:pPr>
              <w:spacing w:after="0"/>
              <w:rPr>
                <w:sz w:val="18"/>
                <w:szCs w:val="18"/>
                <w:color w:val="auto"/>
              </w:rPr>
            </w:pPr>
          </w:p>
        </w:tc>
        <w:tc>
          <w:tcPr>
            <w:tcW w:w="11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20" w:type="dxa"/>
            <w:vAlign w:val="bottom"/>
          </w:tcPr>
          <w:p>
            <w:pPr>
              <w:ind w:left="100"/>
              <w:spacing w:after="0"/>
              <w:rPr>
                <w:sz w:val="20"/>
                <w:szCs w:val="20"/>
                <w:color w:val="auto"/>
              </w:rPr>
            </w:pPr>
            <w:r>
              <w:rPr>
                <w:rFonts w:ascii="Arial" w:cs="Arial" w:eastAsia="Arial" w:hAnsi="Arial"/>
                <w:sz w:val="13"/>
                <w:szCs w:val="13"/>
                <w:color w:val="auto"/>
              </w:rPr>
              <w:t>Daniel M. Sessa</w:t>
            </w: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12/13/2019</w:t>
            </w:r>
          </w:p>
        </w:tc>
        <w:tc>
          <w:tcPr>
            <w:tcW w:w="1060" w:type="dxa"/>
            <w:vAlign w:val="bottom"/>
          </w:tcPr>
          <w:p>
            <w:pPr>
              <w:jc w:val="right"/>
              <w:spacing w:after="0"/>
              <w:rPr>
                <w:sz w:val="20"/>
                <w:szCs w:val="20"/>
                <w:color w:val="auto"/>
              </w:rPr>
            </w:pPr>
            <w:r>
              <w:rPr>
                <w:rFonts w:ascii="Arial" w:cs="Arial" w:eastAsia="Arial" w:hAnsi="Arial"/>
                <w:sz w:val="13"/>
                <w:szCs w:val="13"/>
                <w:color w:val="auto"/>
              </w:rPr>
              <w:t>5,058</w:t>
            </w:r>
          </w:p>
        </w:tc>
        <w:tc>
          <w:tcPr>
            <w:tcW w:w="40" w:type="dxa"/>
            <w:vAlign w:val="bottom"/>
          </w:tcPr>
          <w:p>
            <w:pPr>
              <w:spacing w:after="0"/>
              <w:rPr>
                <w:sz w:val="15"/>
                <w:szCs w:val="15"/>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257.08</w:t>
            </w:r>
          </w:p>
        </w:tc>
        <w:tc>
          <w:tcPr>
            <w:tcW w:w="920" w:type="dxa"/>
            <w:vAlign w:val="bottom"/>
          </w:tcPr>
          <w:p>
            <w:pPr>
              <w:jc w:val="right"/>
              <w:spacing w:after="0"/>
              <w:rPr>
                <w:sz w:val="20"/>
                <w:szCs w:val="20"/>
                <w:color w:val="auto"/>
              </w:rPr>
            </w:pPr>
            <w:r>
              <w:rPr>
                <w:rFonts w:ascii="Arial" w:cs="Arial" w:eastAsia="Arial" w:hAnsi="Arial"/>
                <w:sz w:val="13"/>
                <w:szCs w:val="13"/>
                <w:color w:val="auto"/>
              </w:rPr>
              <w:t>12/13/2026</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1,398</w:t>
            </w: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678,841</w:t>
            </w:r>
          </w:p>
        </w:tc>
        <w:tc>
          <w:tcPr>
            <w:tcW w:w="1280" w:type="dxa"/>
            <w:vAlign w:val="bottom"/>
          </w:tcPr>
          <w:p>
            <w:pPr>
              <w:jc w:val="right"/>
              <w:ind w:right="137"/>
              <w:spacing w:after="0"/>
              <w:rPr>
                <w:sz w:val="20"/>
                <w:szCs w:val="20"/>
                <w:color w:val="auto"/>
              </w:rPr>
            </w:pPr>
            <w:r>
              <w:rPr>
                <w:rFonts w:ascii="Arial" w:cs="Arial" w:eastAsia="Arial" w:hAnsi="Arial"/>
                <w:sz w:val="13"/>
                <w:szCs w:val="13"/>
                <w:color w:val="auto"/>
              </w:rPr>
              <w:t>4,660</w:t>
            </w: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2,262,803</w:t>
            </w: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5"/>
              </w:rPr>
              <w:t>12/11/2020</w:t>
            </w:r>
          </w:p>
        </w:tc>
        <w:tc>
          <w:tcPr>
            <w:tcW w:w="1060" w:type="dxa"/>
            <w:vAlign w:val="bottom"/>
          </w:tcPr>
          <w:p>
            <w:pPr>
              <w:jc w:val="right"/>
              <w:spacing w:after="0"/>
              <w:rPr>
                <w:sz w:val="20"/>
                <w:szCs w:val="20"/>
                <w:color w:val="auto"/>
              </w:rPr>
            </w:pPr>
            <w:r>
              <w:rPr>
                <w:rFonts w:ascii="Arial" w:cs="Arial" w:eastAsia="Arial" w:hAnsi="Arial"/>
                <w:sz w:val="13"/>
                <w:szCs w:val="13"/>
                <w:color w:val="auto"/>
              </w:rPr>
              <w:t>3,334</w:t>
            </w:r>
          </w:p>
        </w:tc>
        <w:tc>
          <w:tcPr>
            <w:tcW w:w="40" w:type="dxa"/>
            <w:vAlign w:val="bottom"/>
          </w:tcPr>
          <w:p>
            <w:pPr>
              <w:spacing w:after="0"/>
              <w:rPr>
                <w:sz w:val="17"/>
                <w:szCs w:val="17"/>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278.00</w:t>
            </w:r>
          </w:p>
        </w:tc>
        <w:tc>
          <w:tcPr>
            <w:tcW w:w="920" w:type="dxa"/>
            <w:vAlign w:val="bottom"/>
          </w:tcPr>
          <w:p>
            <w:pPr>
              <w:jc w:val="right"/>
              <w:spacing w:after="0"/>
              <w:rPr>
                <w:sz w:val="20"/>
                <w:szCs w:val="20"/>
                <w:color w:val="auto"/>
              </w:rPr>
            </w:pPr>
            <w:r>
              <w:rPr>
                <w:rFonts w:ascii="Arial" w:cs="Arial" w:eastAsia="Arial" w:hAnsi="Arial"/>
                <w:sz w:val="13"/>
                <w:szCs w:val="13"/>
                <w:color w:val="auto"/>
              </w:rPr>
              <w:t>12/11/2027</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8"/>
              </w:rPr>
              <w:t>12/10/2021</w:t>
            </w:r>
          </w:p>
        </w:tc>
        <w:tc>
          <w:tcPr>
            <w:tcW w:w="1060" w:type="dxa"/>
            <w:vAlign w:val="bottom"/>
          </w:tcPr>
          <w:p>
            <w:pPr>
              <w:jc w:val="right"/>
              <w:spacing w:after="0"/>
              <w:rPr>
                <w:sz w:val="20"/>
                <w:szCs w:val="20"/>
                <w:color w:val="auto"/>
              </w:rPr>
            </w:pPr>
            <w:r>
              <w:rPr>
                <w:rFonts w:ascii="Arial" w:cs="Arial" w:eastAsia="Arial" w:hAnsi="Arial"/>
                <w:sz w:val="13"/>
                <w:szCs w:val="13"/>
                <w:color w:val="auto"/>
              </w:rPr>
              <w:t>3,059</w:t>
            </w:r>
          </w:p>
        </w:tc>
        <w:tc>
          <w:tcPr>
            <w:tcW w:w="40" w:type="dxa"/>
            <w:vAlign w:val="bottom"/>
          </w:tcPr>
          <w:p>
            <w:pPr>
              <w:spacing w:after="0"/>
              <w:rPr>
                <w:sz w:val="17"/>
                <w:szCs w:val="17"/>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328.65</w:t>
            </w:r>
          </w:p>
        </w:tc>
        <w:tc>
          <w:tcPr>
            <w:tcW w:w="920" w:type="dxa"/>
            <w:vAlign w:val="bottom"/>
          </w:tcPr>
          <w:p>
            <w:pPr>
              <w:jc w:val="right"/>
              <w:spacing w:after="0"/>
              <w:rPr>
                <w:sz w:val="20"/>
                <w:szCs w:val="20"/>
                <w:color w:val="auto"/>
              </w:rPr>
            </w:pPr>
            <w:r>
              <w:rPr>
                <w:rFonts w:ascii="Arial" w:cs="Arial" w:eastAsia="Arial" w:hAnsi="Arial"/>
                <w:sz w:val="13"/>
                <w:szCs w:val="13"/>
                <w:color w:val="auto"/>
              </w:rPr>
              <w:t>12/10/2028</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6"/>
              </w:rPr>
              <w:t>12/9/2022</w:t>
            </w:r>
          </w:p>
        </w:tc>
        <w:tc>
          <w:tcPr>
            <w:tcW w:w="1060" w:type="dxa"/>
            <w:vAlign w:val="bottom"/>
          </w:tcPr>
          <w:p>
            <w:pPr>
              <w:jc w:val="right"/>
              <w:spacing w:after="0"/>
              <w:rPr>
                <w:sz w:val="20"/>
                <w:szCs w:val="20"/>
                <w:color w:val="auto"/>
              </w:rPr>
            </w:pPr>
            <w:r>
              <w:rPr>
                <w:rFonts w:ascii="Arial" w:cs="Arial" w:eastAsia="Arial" w:hAnsi="Arial"/>
                <w:sz w:val="13"/>
                <w:szCs w:val="13"/>
                <w:color w:val="auto"/>
              </w:rPr>
              <w:t>3,461</w:t>
            </w:r>
          </w:p>
        </w:tc>
        <w:tc>
          <w:tcPr>
            <w:tcW w:w="40" w:type="dxa"/>
            <w:vAlign w:val="bottom"/>
          </w:tcPr>
          <w:p>
            <w:pPr>
              <w:spacing w:after="0"/>
              <w:rPr>
                <w:sz w:val="17"/>
                <w:szCs w:val="17"/>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259.56</w:t>
            </w:r>
          </w:p>
        </w:tc>
        <w:tc>
          <w:tcPr>
            <w:tcW w:w="920" w:type="dxa"/>
            <w:vAlign w:val="bottom"/>
          </w:tcPr>
          <w:p>
            <w:pPr>
              <w:jc w:val="right"/>
              <w:spacing w:after="0"/>
              <w:rPr>
                <w:sz w:val="20"/>
                <w:szCs w:val="20"/>
                <w:color w:val="auto"/>
              </w:rPr>
            </w:pPr>
            <w:r>
              <w:rPr>
                <w:rFonts w:ascii="Arial" w:cs="Arial" w:eastAsia="Arial" w:hAnsi="Arial"/>
                <w:sz w:val="13"/>
                <w:szCs w:val="13"/>
                <w:color w:val="auto"/>
              </w:rPr>
              <w:t>12/9/2029</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4"/>
              </w:rPr>
              <w:t>2/5/2024</w:t>
            </w:r>
          </w:p>
        </w:tc>
        <w:tc>
          <w:tcPr>
            <w:tcW w:w="1060" w:type="dxa"/>
            <w:vAlign w:val="bottom"/>
          </w:tcPr>
          <w:p>
            <w:pPr>
              <w:jc w:val="right"/>
              <w:spacing w:after="0"/>
              <w:rPr>
                <w:sz w:val="20"/>
                <w:szCs w:val="20"/>
                <w:color w:val="auto"/>
              </w:rPr>
            </w:pPr>
            <w:r>
              <w:rPr>
                <w:rFonts w:ascii="Arial" w:cs="Arial" w:eastAsia="Arial" w:hAnsi="Arial"/>
                <w:sz w:val="13"/>
                <w:szCs w:val="13"/>
                <w:color w:val="auto"/>
              </w:rPr>
              <w:t>586</w:t>
            </w:r>
          </w:p>
        </w:tc>
        <w:tc>
          <w:tcPr>
            <w:tcW w:w="40" w:type="dxa"/>
            <w:vAlign w:val="bottom"/>
          </w:tcPr>
          <w:p>
            <w:pPr>
              <w:spacing w:after="0"/>
              <w:rPr>
                <w:sz w:val="17"/>
                <w:szCs w:val="17"/>
                <w:color w:val="auto"/>
              </w:rPr>
            </w:pP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1,174</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418.69</w:t>
            </w:r>
          </w:p>
        </w:tc>
        <w:tc>
          <w:tcPr>
            <w:tcW w:w="920" w:type="dxa"/>
            <w:vAlign w:val="bottom"/>
          </w:tcPr>
          <w:p>
            <w:pPr>
              <w:jc w:val="right"/>
              <w:spacing w:after="0"/>
              <w:rPr>
                <w:sz w:val="20"/>
                <w:szCs w:val="20"/>
                <w:color w:val="auto"/>
              </w:rPr>
            </w:pPr>
            <w:r>
              <w:rPr>
                <w:rFonts w:ascii="Arial" w:cs="Arial" w:eastAsia="Arial" w:hAnsi="Arial"/>
                <w:sz w:val="13"/>
                <w:szCs w:val="13"/>
                <w:color w:val="auto"/>
              </w:rPr>
              <w:t>2/5/2031</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4"/>
              </w:rPr>
              <w:t>2/3/2025</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177"/>
              <w:spacing w:after="0"/>
              <w:rPr>
                <w:sz w:val="20"/>
                <w:szCs w:val="20"/>
                <w:color w:val="auto"/>
              </w:rPr>
            </w:pPr>
            <w:r>
              <w:rPr>
                <w:rFonts w:ascii="Arial" w:cs="Arial" w:eastAsia="Arial" w:hAnsi="Arial"/>
                <w:sz w:val="13"/>
                <w:szCs w:val="13"/>
                <w:color w:val="auto"/>
              </w:rPr>
              <w:t>1,369</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576.28</w:t>
            </w:r>
          </w:p>
        </w:tc>
        <w:tc>
          <w:tcPr>
            <w:tcW w:w="920" w:type="dxa"/>
            <w:vAlign w:val="bottom"/>
          </w:tcPr>
          <w:p>
            <w:pPr>
              <w:jc w:val="right"/>
              <w:spacing w:after="0"/>
              <w:rPr>
                <w:sz w:val="20"/>
                <w:szCs w:val="20"/>
                <w:color w:val="auto"/>
              </w:rPr>
            </w:pPr>
            <w:r>
              <w:rPr>
                <w:rFonts w:ascii="Arial" w:cs="Arial" w:eastAsia="Arial" w:hAnsi="Arial"/>
                <w:sz w:val="13"/>
                <w:szCs w:val="13"/>
                <w:color w:val="auto"/>
              </w:rPr>
              <w:t>2/3/2032</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-4088130</wp:posOffset>
            </wp:positionV>
            <wp:extent cx="6300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87" w:lineRule="exact"/>
        <w:rPr>
          <w:sz w:val="20"/>
          <w:szCs w:val="20"/>
          <w:color w:val="auto"/>
        </w:rPr>
      </w:pPr>
    </w:p>
    <w:p>
      <w:pPr>
        <w:ind w:left="340" w:right="60" w:hanging="332"/>
        <w:spacing w:after="0" w:line="30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Outstanding unvested SARs vest in one-third increments on each of the first three anniversaries of the date of grant, with the first anniversary date occurring one year after the date of grant.</w:t>
      </w:r>
    </w:p>
    <w:p>
      <w:pPr>
        <w:spacing w:after="0" w:line="49" w:lineRule="exact"/>
        <w:rPr>
          <w:rFonts w:ascii="Arial" w:cs="Arial" w:eastAsia="Arial" w:hAnsi="Arial"/>
          <w:sz w:val="14"/>
          <w:szCs w:val="14"/>
          <w:color w:val="auto"/>
        </w:rPr>
      </w:pPr>
    </w:p>
    <w:p>
      <w:pPr>
        <w:ind w:left="340" w:right="520" w:hanging="332"/>
        <w:spacing w:after="0" w:line="305" w:lineRule="auto"/>
        <w:tabs>
          <w:tab w:leader="none" w:pos="327" w:val="left"/>
        </w:tabs>
        <w:numPr>
          <w:ilvl w:val="0"/>
          <w:numId w:val="75"/>
        </w:numPr>
        <w:rPr>
          <w:rFonts w:ascii="Arial" w:cs="Arial" w:eastAsia="Arial" w:hAnsi="Arial"/>
          <w:sz w:val="14"/>
          <w:szCs w:val="14"/>
          <w:color w:val="auto"/>
        </w:rPr>
      </w:pPr>
      <w:r>
        <w:rPr>
          <w:rFonts w:ascii="Arial" w:cs="Arial" w:eastAsia="Arial" w:hAnsi="Arial"/>
          <w:sz w:val="14"/>
          <w:szCs w:val="14"/>
          <w:color w:val="auto"/>
        </w:rPr>
        <w:t>Pursuant to the 2019 Equity and Incentive Compensation Plan, the exercise price for all outstanding SARs is based on the grant date fair market value, which is the average of the high and low NYSE trading prices of our common stock on the date of grant.</w:t>
      </w:r>
    </w:p>
    <w:p>
      <w:pPr>
        <w:spacing w:after="0" w:line="36"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represent all outstanding RSUs held by the NEOs. Refer to column (a) of the table in footnote 5 below for the vesting dates of such awards.</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shown are based on the NYSE closing price of our common stock on December 31, 2025 ($485.58).</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5" w:name="page56"/>
    <w:bookmarkEnd w:id="55"/>
    <w:p>
      <w:pPr>
        <w:ind w:left="340" w:right="420" w:hanging="332"/>
        <w:spacing w:after="0" w:line="305" w:lineRule="auto"/>
        <w:tabs>
          <w:tab w:leader="none" w:pos="327"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amounts shown represent outstanding PSUs held by the NEOs. Refer to column (b) of the table below for the vesting dates of such awards and the performance assumptions used to calculate the number of unvested PSUs.</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3560" w:type="dxa"/>
            <w:vAlign w:val="bottom"/>
            <w:shd w:val="clear" w:color="auto" w:fill="C60C35"/>
          </w:tcPr>
          <w:p>
            <w:pPr>
              <w:spacing w:after="0"/>
              <w:rPr>
                <w:sz w:val="13"/>
                <w:szCs w:val="13"/>
                <w:color w:val="auto"/>
              </w:rPr>
            </w:pPr>
          </w:p>
        </w:tc>
        <w:tc>
          <w:tcPr>
            <w:tcW w:w="1600" w:type="dxa"/>
            <w:vAlign w:val="bottom"/>
            <w:gridSpan w:val="2"/>
            <w:shd w:val="clear" w:color="auto" w:fill="C60C35"/>
          </w:tcPr>
          <w:p>
            <w:pPr>
              <w:jc w:val="center"/>
              <w:ind w:left="1017"/>
              <w:spacing w:after="0"/>
              <w:rPr>
                <w:sz w:val="20"/>
                <w:szCs w:val="20"/>
                <w:color w:val="auto"/>
              </w:rPr>
            </w:pPr>
            <w:r>
              <w:rPr>
                <w:rFonts w:ascii="Arial" w:cs="Arial" w:eastAsia="Arial" w:hAnsi="Arial"/>
                <w:sz w:val="13"/>
                <w:szCs w:val="13"/>
                <w:b w:val="1"/>
                <w:bCs w:val="1"/>
                <w:color w:val="FFFFFF"/>
              </w:rPr>
              <w:t>(a)</w:t>
            </w:r>
          </w:p>
        </w:tc>
        <w:tc>
          <w:tcPr>
            <w:tcW w:w="1120" w:type="dxa"/>
            <w:vAlign w:val="bottom"/>
            <w:shd w:val="clear" w:color="auto" w:fill="C60C35"/>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shd w:val="clear" w:color="auto" w:fill="C60C35"/>
          </w:tcPr>
          <w:p>
            <w:pPr>
              <w:spacing w:after="0"/>
              <w:rPr>
                <w:sz w:val="13"/>
                <w:szCs w:val="13"/>
                <w:color w:val="auto"/>
              </w:rPr>
            </w:pPr>
          </w:p>
        </w:tc>
        <w:tc>
          <w:tcPr>
            <w:tcW w:w="1540" w:type="dxa"/>
            <w:vAlign w:val="bottom"/>
            <w:shd w:val="clear" w:color="auto" w:fill="C60C35"/>
          </w:tcPr>
          <w:p>
            <w:pPr>
              <w:jc w:val="center"/>
              <w:ind w:right="277"/>
              <w:spacing w:after="0"/>
              <w:rPr>
                <w:sz w:val="20"/>
                <w:szCs w:val="20"/>
                <w:color w:val="auto"/>
              </w:rPr>
            </w:pPr>
            <w:r>
              <w:rPr>
                <w:rFonts w:ascii="Arial" w:cs="Arial" w:eastAsia="Arial" w:hAnsi="Arial"/>
                <w:sz w:val="13"/>
                <w:szCs w:val="13"/>
                <w:b w:val="1"/>
                <w:bCs w:val="1"/>
                <w:color w:val="FFFFFF"/>
                <w:w w:val="96"/>
              </w:rPr>
              <w:t>(b)</w:t>
            </w:r>
          </w:p>
        </w:tc>
        <w:tc>
          <w:tcPr>
            <w:tcW w:w="1220" w:type="dxa"/>
            <w:vAlign w:val="bottom"/>
            <w:shd w:val="clear" w:color="auto" w:fill="C60C35"/>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shd w:val="clear" w:color="auto" w:fill="C60C35"/>
          </w:tcPr>
          <w:p>
            <w:pPr>
              <w:spacing w:after="0"/>
              <w:rPr>
                <w:sz w:val="12"/>
                <w:szCs w:val="12"/>
                <w:color w:val="auto"/>
              </w:rPr>
            </w:pPr>
          </w:p>
        </w:tc>
        <w:tc>
          <w:tcPr>
            <w:tcW w:w="2720" w:type="dxa"/>
            <w:vAlign w:val="bottom"/>
            <w:gridSpan w:val="3"/>
            <w:shd w:val="clear" w:color="auto" w:fill="C60C35"/>
          </w:tcPr>
          <w:p>
            <w:pPr>
              <w:jc w:val="center"/>
              <w:spacing w:after="0"/>
              <w:rPr>
                <w:sz w:val="20"/>
                <w:szCs w:val="20"/>
                <w:color w:val="auto"/>
              </w:rPr>
            </w:pPr>
            <w:r>
              <w:rPr>
                <w:rFonts w:ascii="Arial" w:cs="Arial" w:eastAsia="Arial" w:hAnsi="Arial"/>
                <w:sz w:val="13"/>
                <w:szCs w:val="13"/>
                <w:b w:val="1"/>
                <w:bCs w:val="1"/>
                <w:color w:val="FFFFFF"/>
                <w:w w:val="97"/>
              </w:rPr>
              <w:t>Shares or Units of Stock That Have Not</w:t>
            </w:r>
          </w:p>
        </w:tc>
        <w:tc>
          <w:tcPr>
            <w:tcW w:w="100" w:type="dxa"/>
            <w:vAlign w:val="bottom"/>
          </w:tcPr>
          <w:p>
            <w:pPr>
              <w:spacing w:after="0"/>
              <w:rPr>
                <w:sz w:val="12"/>
                <w:szCs w:val="12"/>
                <w:color w:val="auto"/>
              </w:rPr>
            </w:pPr>
          </w:p>
        </w:tc>
        <w:tc>
          <w:tcPr>
            <w:tcW w:w="4140" w:type="dxa"/>
            <w:vAlign w:val="bottom"/>
            <w:gridSpan w:val="3"/>
            <w:shd w:val="clear" w:color="auto" w:fill="C60C35"/>
          </w:tcPr>
          <w:p>
            <w:pPr>
              <w:jc w:val="center"/>
              <w:ind w:right="57"/>
              <w:spacing w:after="0"/>
              <w:rPr>
                <w:sz w:val="20"/>
                <w:szCs w:val="20"/>
                <w:color w:val="auto"/>
              </w:rPr>
            </w:pPr>
            <w:r>
              <w:rPr>
                <w:rFonts w:ascii="Arial" w:cs="Arial" w:eastAsia="Arial" w:hAnsi="Arial"/>
                <w:sz w:val="13"/>
                <w:szCs w:val="13"/>
                <w:b w:val="1"/>
                <w:bCs w:val="1"/>
                <w:color w:val="FFFFFF"/>
                <w:w w:val="96"/>
              </w:rPr>
              <w:t>Equity Incentive Plan Awards: Unearned Shares, Units or Other</w:t>
            </w:r>
          </w:p>
        </w:tc>
        <w:tc>
          <w:tcPr>
            <w:tcW w:w="0" w:type="dxa"/>
            <w:vAlign w:val="bottom"/>
          </w:tcPr>
          <w:p>
            <w:pPr>
              <w:spacing w:after="0"/>
              <w:rPr>
                <w:sz w:val="1"/>
                <w:szCs w:val="1"/>
                <w:color w:val="auto"/>
              </w:rPr>
            </w:pPr>
          </w:p>
        </w:tc>
      </w:tr>
      <w:tr>
        <w:trPr>
          <w:trHeight w:val="172"/>
        </w:trPr>
        <w:tc>
          <w:tcPr>
            <w:tcW w:w="3560" w:type="dxa"/>
            <w:vAlign w:val="bottom"/>
            <w:shd w:val="clear" w:color="auto" w:fill="C60C35"/>
          </w:tcPr>
          <w:p>
            <w:pPr>
              <w:spacing w:after="0"/>
              <w:rPr>
                <w:sz w:val="14"/>
                <w:szCs w:val="14"/>
                <w:color w:val="auto"/>
              </w:rPr>
            </w:pPr>
          </w:p>
        </w:tc>
        <w:tc>
          <w:tcPr>
            <w:tcW w:w="1600" w:type="dxa"/>
            <w:vAlign w:val="bottom"/>
            <w:gridSpan w:val="2"/>
            <w:shd w:val="clear" w:color="auto" w:fill="C60C35"/>
          </w:tcPr>
          <w:p>
            <w:pPr>
              <w:jc w:val="center"/>
              <w:ind w:left="1057"/>
              <w:spacing w:after="0"/>
              <w:rPr>
                <w:sz w:val="20"/>
                <w:szCs w:val="20"/>
                <w:color w:val="auto"/>
              </w:rPr>
            </w:pPr>
            <w:r>
              <w:rPr>
                <w:rFonts w:ascii="Arial" w:cs="Arial" w:eastAsia="Arial" w:hAnsi="Arial"/>
                <w:sz w:val="13"/>
                <w:szCs w:val="13"/>
                <w:b w:val="1"/>
                <w:bCs w:val="1"/>
                <w:color w:val="FFFFFF"/>
                <w:w w:val="93"/>
              </w:rPr>
              <w:t>Vested</w:t>
            </w:r>
          </w:p>
        </w:tc>
        <w:tc>
          <w:tcPr>
            <w:tcW w:w="1120" w:type="dxa"/>
            <w:vAlign w:val="bottom"/>
            <w:shd w:val="clear" w:color="auto" w:fill="C60C35"/>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gridSpan w:val="2"/>
            <w:shd w:val="clear" w:color="auto" w:fill="C60C35"/>
          </w:tcPr>
          <w:p>
            <w:pPr>
              <w:jc w:val="center"/>
              <w:ind w:left="1017"/>
              <w:spacing w:after="0"/>
              <w:rPr>
                <w:sz w:val="20"/>
                <w:szCs w:val="20"/>
                <w:color w:val="auto"/>
              </w:rPr>
            </w:pPr>
            <w:r>
              <w:rPr>
                <w:rFonts w:ascii="Arial" w:cs="Arial" w:eastAsia="Arial" w:hAnsi="Arial"/>
                <w:sz w:val="13"/>
                <w:szCs w:val="13"/>
                <w:b w:val="1"/>
                <w:bCs w:val="1"/>
                <w:color w:val="FFFFFF"/>
                <w:w w:val="96"/>
              </w:rPr>
              <w:t>Rights That Have Not Vested</w:t>
            </w:r>
          </w:p>
        </w:tc>
        <w:tc>
          <w:tcPr>
            <w:tcW w:w="122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560" w:type="dxa"/>
            <w:vAlign w:val="bottom"/>
            <w:shd w:val="clear" w:color="auto" w:fill="C60C35"/>
          </w:tcPr>
          <w:p>
            <w:pPr>
              <w:spacing w:after="0"/>
              <w:rPr>
                <w:sz w:val="22"/>
                <w:szCs w:val="22"/>
                <w:color w:val="auto"/>
              </w:rPr>
            </w:pPr>
          </w:p>
        </w:tc>
        <w:tc>
          <w:tcPr>
            <w:tcW w:w="1340" w:type="dxa"/>
            <w:vAlign w:val="bottom"/>
            <w:shd w:val="clear" w:color="auto" w:fill="C60C35"/>
          </w:tcPr>
          <w:p>
            <w:pPr>
              <w:spacing w:after="0"/>
              <w:rPr>
                <w:sz w:val="22"/>
                <w:szCs w:val="22"/>
                <w:color w:val="auto"/>
              </w:rPr>
            </w:pPr>
          </w:p>
        </w:tc>
        <w:tc>
          <w:tcPr>
            <w:tcW w:w="260" w:type="dxa"/>
            <w:vAlign w:val="bottom"/>
            <w:shd w:val="clear" w:color="auto" w:fill="C60C35"/>
          </w:tcPr>
          <w:p>
            <w:pPr>
              <w:spacing w:after="0"/>
              <w:rPr>
                <w:sz w:val="22"/>
                <w:szCs w:val="22"/>
                <w:color w:val="auto"/>
              </w:rPr>
            </w:pPr>
          </w:p>
        </w:tc>
        <w:tc>
          <w:tcPr>
            <w:tcW w:w="1120" w:type="dxa"/>
            <w:vAlign w:val="bottom"/>
            <w:shd w:val="clear" w:color="auto" w:fill="C60C35"/>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shd w:val="clear" w:color="auto" w:fill="C60C35"/>
          </w:tcPr>
          <w:p>
            <w:pPr>
              <w:spacing w:after="0"/>
              <w:rPr>
                <w:sz w:val="22"/>
                <w:szCs w:val="22"/>
                <w:color w:val="auto"/>
              </w:rPr>
            </w:pPr>
          </w:p>
        </w:tc>
        <w:tc>
          <w:tcPr>
            <w:tcW w:w="1540" w:type="dxa"/>
            <w:vAlign w:val="bottom"/>
            <w:shd w:val="clear" w:color="auto" w:fill="C60C35"/>
          </w:tcPr>
          <w:p>
            <w:pPr>
              <w:spacing w:after="0"/>
              <w:rPr>
                <w:sz w:val="22"/>
                <w:szCs w:val="22"/>
                <w:color w:val="auto"/>
              </w:rPr>
            </w:pPr>
          </w:p>
        </w:tc>
        <w:tc>
          <w:tcPr>
            <w:tcW w:w="1220" w:type="dxa"/>
            <w:vAlign w:val="bottom"/>
            <w:shd w:val="clear" w:color="auto" w:fill="C60C35"/>
          </w:tcPr>
          <w:p>
            <w:pPr>
              <w:jc w:val="center"/>
              <w:ind w:right="237"/>
              <w:spacing w:after="0"/>
              <w:rPr>
                <w:sz w:val="20"/>
                <w:szCs w:val="20"/>
                <w:color w:val="auto"/>
              </w:rPr>
            </w:pPr>
            <w:r>
              <w:rPr>
                <w:rFonts w:ascii="Arial" w:cs="Arial" w:eastAsia="Arial" w:hAnsi="Arial"/>
                <w:sz w:val="13"/>
                <w:szCs w:val="13"/>
                <w:b w:val="1"/>
                <w:bCs w:val="1"/>
                <w:color w:val="FFFFFF"/>
                <w:w w:val="95"/>
              </w:rPr>
              <w:t>Performance</w:t>
            </w:r>
          </w:p>
        </w:tc>
        <w:tc>
          <w:tcPr>
            <w:tcW w:w="0" w:type="dxa"/>
            <w:vAlign w:val="bottom"/>
          </w:tcPr>
          <w:p>
            <w:pPr>
              <w:spacing w:after="0"/>
              <w:rPr>
                <w:sz w:val="1"/>
                <w:szCs w:val="1"/>
                <w:color w:val="auto"/>
              </w:rPr>
            </w:pPr>
          </w:p>
        </w:tc>
      </w:tr>
      <w:tr>
        <w:trPr>
          <w:trHeight w:val="172"/>
        </w:trPr>
        <w:tc>
          <w:tcPr>
            <w:tcW w:w="3560" w:type="dxa"/>
            <w:vAlign w:val="bottom"/>
            <w:shd w:val="clear" w:color="auto" w:fill="C60C35"/>
          </w:tcPr>
          <w:p>
            <w:pPr>
              <w:ind w:left="100"/>
              <w:spacing w:after="0"/>
              <w:rPr>
                <w:sz w:val="20"/>
                <w:szCs w:val="20"/>
                <w:color w:val="auto"/>
              </w:rPr>
            </w:pPr>
            <w:r>
              <w:rPr>
                <w:rFonts w:ascii="Arial" w:cs="Arial" w:eastAsia="Arial" w:hAnsi="Arial"/>
                <w:sz w:val="13"/>
                <w:szCs w:val="13"/>
                <w:b w:val="1"/>
                <w:bCs w:val="1"/>
                <w:color w:val="FFFFFF"/>
              </w:rPr>
              <w:t>Name</w:t>
            </w:r>
          </w:p>
        </w:tc>
        <w:tc>
          <w:tcPr>
            <w:tcW w:w="13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Number of Awards</w:t>
            </w:r>
          </w:p>
        </w:tc>
        <w:tc>
          <w:tcPr>
            <w:tcW w:w="260" w:type="dxa"/>
            <w:vAlign w:val="bottom"/>
            <w:shd w:val="clear" w:color="auto" w:fill="C60C35"/>
          </w:tcPr>
          <w:p>
            <w:pPr>
              <w:spacing w:after="0"/>
              <w:rPr>
                <w:sz w:val="14"/>
                <w:szCs w:val="14"/>
                <w:color w:val="auto"/>
              </w:rPr>
            </w:pPr>
          </w:p>
        </w:tc>
        <w:tc>
          <w:tcPr>
            <w:tcW w:w="1120" w:type="dxa"/>
            <w:vAlign w:val="bottom"/>
            <w:shd w:val="clear" w:color="auto" w:fill="C60C35"/>
          </w:tcPr>
          <w:p>
            <w:pPr>
              <w:ind w:left="60"/>
              <w:spacing w:after="0"/>
              <w:rPr>
                <w:sz w:val="20"/>
                <w:szCs w:val="20"/>
                <w:color w:val="auto"/>
              </w:rPr>
            </w:pPr>
            <w:r>
              <w:rPr>
                <w:rFonts w:ascii="Arial" w:cs="Arial" w:eastAsia="Arial" w:hAnsi="Arial"/>
                <w:sz w:val="13"/>
                <w:szCs w:val="13"/>
                <w:b w:val="1"/>
                <w:bCs w:val="1"/>
                <w:color w:val="FFFFFF"/>
              </w:rPr>
              <w:t>Vesting Date</w:t>
            </w:r>
          </w:p>
        </w:tc>
        <w:tc>
          <w:tcPr>
            <w:tcW w:w="100" w:type="dxa"/>
            <w:vAlign w:val="bottom"/>
          </w:tcPr>
          <w:p>
            <w:pPr>
              <w:spacing w:after="0"/>
              <w:rPr>
                <w:sz w:val="14"/>
                <w:szCs w:val="14"/>
                <w:color w:val="auto"/>
              </w:rPr>
            </w:pPr>
          </w:p>
        </w:tc>
        <w:tc>
          <w:tcPr>
            <w:tcW w:w="138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Number of Awards</w:t>
            </w:r>
          </w:p>
        </w:tc>
        <w:tc>
          <w:tcPr>
            <w:tcW w:w="1540" w:type="dxa"/>
            <w:vAlign w:val="bottom"/>
            <w:shd w:val="clear" w:color="auto" w:fill="C60C35"/>
          </w:tcPr>
          <w:p>
            <w:pPr>
              <w:jc w:val="center"/>
              <w:ind w:right="117"/>
              <w:spacing w:after="0"/>
              <w:rPr>
                <w:sz w:val="20"/>
                <w:szCs w:val="20"/>
                <w:color w:val="auto"/>
              </w:rPr>
            </w:pPr>
            <w:r>
              <w:rPr>
                <w:rFonts w:ascii="Arial" w:cs="Arial" w:eastAsia="Arial" w:hAnsi="Arial"/>
                <w:sz w:val="13"/>
                <w:szCs w:val="13"/>
                <w:b w:val="1"/>
                <w:bCs w:val="1"/>
                <w:color w:val="FFFFFF"/>
                <w:w w:val="96"/>
              </w:rPr>
              <w:t>Vesting Date</w:t>
            </w:r>
          </w:p>
        </w:tc>
        <w:tc>
          <w:tcPr>
            <w:tcW w:w="1220" w:type="dxa"/>
            <w:vAlign w:val="bottom"/>
            <w:shd w:val="clear" w:color="auto" w:fill="C60C35"/>
          </w:tcPr>
          <w:p>
            <w:pPr>
              <w:jc w:val="center"/>
              <w:ind w:right="237"/>
              <w:spacing w:after="0"/>
              <w:rPr>
                <w:sz w:val="20"/>
                <w:szCs w:val="20"/>
                <w:color w:val="auto"/>
              </w:rPr>
            </w:pPr>
            <w:r>
              <w:rPr>
                <w:rFonts w:ascii="Arial" w:cs="Arial" w:eastAsia="Arial" w:hAnsi="Arial"/>
                <w:sz w:val="13"/>
                <w:szCs w:val="13"/>
                <w:b w:val="1"/>
                <w:bCs w:val="1"/>
                <w:color w:val="FFFFFF"/>
                <w:w w:val="95"/>
              </w:rPr>
              <w:t>Assumption</w:t>
            </w:r>
          </w:p>
        </w:tc>
        <w:tc>
          <w:tcPr>
            <w:tcW w:w="0" w:type="dxa"/>
            <w:vAlign w:val="bottom"/>
          </w:tcPr>
          <w:p>
            <w:pPr>
              <w:spacing w:after="0"/>
              <w:rPr>
                <w:sz w:val="1"/>
                <w:szCs w:val="1"/>
                <w:color w:val="auto"/>
              </w:rPr>
            </w:pPr>
          </w:p>
        </w:tc>
      </w:tr>
      <w:tr>
        <w:trPr>
          <w:trHeight w:val="76"/>
        </w:trPr>
        <w:tc>
          <w:tcPr>
            <w:tcW w:w="356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26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shd w:val="clear" w:color="auto" w:fill="C60C35"/>
          </w:tcPr>
          <w:p>
            <w:pPr>
              <w:spacing w:after="0"/>
              <w:rPr>
                <w:sz w:val="6"/>
                <w:szCs w:val="6"/>
                <w:color w:val="auto"/>
              </w:rPr>
            </w:pPr>
          </w:p>
        </w:tc>
        <w:tc>
          <w:tcPr>
            <w:tcW w:w="1540" w:type="dxa"/>
            <w:vAlign w:val="bottom"/>
            <w:shd w:val="clear" w:color="auto" w:fill="C60C35"/>
          </w:tcPr>
          <w:p>
            <w:pPr>
              <w:spacing w:after="0"/>
              <w:rPr>
                <w:sz w:val="6"/>
                <w:szCs w:val="6"/>
                <w:color w:val="auto"/>
              </w:rPr>
            </w:pPr>
          </w:p>
        </w:tc>
        <w:tc>
          <w:tcPr>
            <w:tcW w:w="122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 Maskara</w:t>
            </w:r>
          </w:p>
        </w:tc>
        <w:tc>
          <w:tcPr>
            <w:tcW w:w="1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3,889</w:t>
            </w:r>
          </w:p>
        </w:tc>
        <w:tc>
          <w:tcPr>
            <w:tcW w:w="260" w:type="dxa"/>
            <w:vAlign w:val="bottom"/>
            <w:shd w:val="clear" w:color="auto" w:fill="F1F2F2"/>
          </w:tcPr>
          <w:p>
            <w:pPr>
              <w:spacing w:after="0"/>
              <w:rPr>
                <w:sz w:val="15"/>
                <w:szCs w:val="15"/>
                <w:color w:val="auto"/>
              </w:rPr>
            </w:pPr>
          </w:p>
        </w:tc>
        <w:tc>
          <w:tcPr>
            <w:tcW w:w="1120" w:type="dxa"/>
            <w:vAlign w:val="bottom"/>
            <w:shd w:val="clear" w:color="auto" w:fill="F1F2F2"/>
          </w:tcPr>
          <w:p>
            <w:pPr>
              <w:jc w:val="center"/>
              <w:ind w:right="197"/>
              <w:spacing w:after="0"/>
              <w:rPr>
                <w:sz w:val="20"/>
                <w:szCs w:val="20"/>
                <w:color w:val="auto"/>
              </w:rPr>
            </w:pPr>
            <w:r>
              <w:rPr>
                <w:rFonts w:ascii="Arial" w:cs="Arial" w:eastAsia="Arial" w:hAnsi="Arial"/>
                <w:sz w:val="13"/>
                <w:szCs w:val="13"/>
                <w:color w:val="auto"/>
                <w:w w:val="98"/>
              </w:rPr>
              <w:t>2/5/2027</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12,964</w:t>
            </w:r>
          </w:p>
        </w:tc>
        <w:tc>
          <w:tcPr>
            <w:tcW w:w="1540" w:type="dxa"/>
            <w:vAlign w:val="bottom"/>
            <w:shd w:val="clear" w:color="auto" w:fill="F1F2F2"/>
          </w:tcPr>
          <w:p>
            <w:pPr>
              <w:jc w:val="center"/>
              <w:ind w:right="117"/>
              <w:spacing w:after="0"/>
              <w:rPr>
                <w:sz w:val="20"/>
                <w:szCs w:val="20"/>
                <w:color w:val="auto"/>
              </w:rPr>
            </w:pPr>
            <w:r>
              <w:rPr>
                <w:rFonts w:ascii="Arial" w:cs="Arial" w:eastAsia="Arial" w:hAnsi="Arial"/>
                <w:sz w:val="13"/>
                <w:szCs w:val="13"/>
                <w:color w:val="auto"/>
                <w:w w:val="98"/>
              </w:rPr>
              <w:t>12/31/2026</w:t>
            </w:r>
          </w:p>
        </w:tc>
        <w:tc>
          <w:tcPr>
            <w:tcW w:w="1220" w:type="dxa"/>
            <w:vAlign w:val="bottom"/>
            <w:shd w:val="clear" w:color="auto" w:fill="F1F2F2"/>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F1F2F2"/>
            </w:tcBorders>
            <w:shd w:val="clear" w:color="auto" w:fill="F1F2F2"/>
          </w:tcPr>
          <w:p>
            <w:pPr>
              <w:spacing w:after="0"/>
              <w:rPr>
                <w:sz w:val="20"/>
                <w:szCs w:val="20"/>
                <w:color w:val="auto"/>
              </w:rPr>
            </w:pPr>
          </w:p>
        </w:tc>
        <w:tc>
          <w:tcPr>
            <w:tcW w:w="13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3,011</w:t>
            </w:r>
          </w:p>
        </w:tc>
        <w:tc>
          <w:tcPr>
            <w:tcW w:w="260" w:type="dxa"/>
            <w:vAlign w:val="bottom"/>
            <w:tcBorders>
              <w:bottom w:val="single" w:sz="8" w:color="F1F2F2"/>
            </w:tcBorders>
            <w:shd w:val="clear" w:color="auto" w:fill="F1F2F2"/>
          </w:tcPr>
          <w:p>
            <w:pPr>
              <w:spacing w:after="0"/>
              <w:rPr>
                <w:sz w:val="20"/>
                <w:szCs w:val="20"/>
                <w:color w:val="auto"/>
              </w:rPr>
            </w:pPr>
          </w:p>
        </w:tc>
        <w:tc>
          <w:tcPr>
            <w:tcW w:w="1120" w:type="dxa"/>
            <w:vAlign w:val="bottom"/>
            <w:tcBorders>
              <w:bottom w:val="single" w:sz="8" w:color="F1F2F2"/>
            </w:tcBorders>
            <w:shd w:val="clear" w:color="auto" w:fill="F1F2F2"/>
          </w:tcPr>
          <w:p>
            <w:pPr>
              <w:jc w:val="center"/>
              <w:ind w:right="197"/>
              <w:spacing w:after="0"/>
              <w:rPr>
                <w:sz w:val="20"/>
                <w:szCs w:val="20"/>
                <w:color w:val="auto"/>
              </w:rPr>
            </w:pPr>
            <w:r>
              <w:rPr>
                <w:rFonts w:ascii="Arial" w:cs="Arial" w:eastAsia="Arial" w:hAnsi="Arial"/>
                <w:sz w:val="13"/>
                <w:szCs w:val="13"/>
                <w:color w:val="auto"/>
                <w:w w:val="98"/>
              </w:rPr>
              <w:t>2/3/2028</w:t>
            </w: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3"/>
                <w:szCs w:val="13"/>
                <w:color w:val="auto"/>
              </w:rPr>
              <w:t>10,036</w:t>
            </w:r>
          </w:p>
        </w:tc>
        <w:tc>
          <w:tcPr>
            <w:tcW w:w="1540" w:type="dxa"/>
            <w:vAlign w:val="bottom"/>
            <w:tcBorders>
              <w:bottom w:val="single" w:sz="8" w:color="F1F2F2"/>
            </w:tcBorders>
            <w:shd w:val="clear" w:color="auto" w:fill="F1F2F2"/>
          </w:tcPr>
          <w:p>
            <w:pPr>
              <w:jc w:val="center"/>
              <w:ind w:right="117"/>
              <w:spacing w:after="0"/>
              <w:rPr>
                <w:sz w:val="20"/>
                <w:szCs w:val="20"/>
                <w:color w:val="auto"/>
              </w:rPr>
            </w:pPr>
            <w:r>
              <w:rPr>
                <w:rFonts w:ascii="Arial" w:cs="Arial" w:eastAsia="Arial" w:hAnsi="Arial"/>
                <w:sz w:val="13"/>
                <w:szCs w:val="13"/>
                <w:color w:val="auto"/>
                <w:w w:val="98"/>
              </w:rPr>
              <w:t>12/31/2027</w:t>
            </w:r>
          </w:p>
        </w:tc>
        <w:tc>
          <w:tcPr>
            <w:tcW w:w="1220" w:type="dxa"/>
            <w:vAlign w:val="bottom"/>
            <w:tcBorders>
              <w:bottom w:val="single" w:sz="8" w:color="F1F2F2"/>
            </w:tcBorders>
            <w:shd w:val="clear" w:color="auto" w:fill="F1F2F2"/>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176"/>
        </w:trPr>
        <w:tc>
          <w:tcPr>
            <w:tcW w:w="3560" w:type="dxa"/>
            <w:vAlign w:val="bottom"/>
            <w:tcBorders>
              <w:top w:val="single" w:sz="8" w:color="F1F2F2"/>
              <w:bottom w:val="single" w:sz="8" w:color="F1F2F2"/>
            </w:tcBorders>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top w:val="single" w:sz="8" w:color="auto"/>
              <w:bottom w:val="single" w:sz="8" w:color="F1F2F2"/>
            </w:tcBorders>
            <w:shd w:val="clear" w:color="auto" w:fill="F1F2F2"/>
          </w:tcPr>
          <w:p>
            <w:pPr>
              <w:jc w:val="right"/>
              <w:spacing w:after="0"/>
              <w:rPr>
                <w:sz w:val="20"/>
                <w:szCs w:val="20"/>
                <w:color w:val="auto"/>
              </w:rPr>
            </w:pPr>
            <w:r>
              <w:rPr>
                <w:rFonts w:ascii="Arial" w:cs="Arial" w:eastAsia="Arial" w:hAnsi="Arial"/>
                <w:sz w:val="13"/>
                <w:szCs w:val="13"/>
                <w:b w:val="1"/>
                <w:bCs w:val="1"/>
                <w:color w:val="auto"/>
              </w:rPr>
              <w:t>6,900</w:t>
            </w:r>
          </w:p>
        </w:tc>
        <w:tc>
          <w:tcPr>
            <w:tcW w:w="260" w:type="dxa"/>
            <w:vAlign w:val="bottom"/>
            <w:tcBorders>
              <w:top w:val="single" w:sz="8" w:color="F1F2F2"/>
              <w:bottom w:val="single" w:sz="8" w:color="F1F2F2"/>
            </w:tcBorders>
            <w:shd w:val="clear" w:color="auto" w:fill="F1F2F2"/>
          </w:tcPr>
          <w:p>
            <w:pPr>
              <w:spacing w:after="0"/>
              <w:rPr>
                <w:sz w:val="15"/>
                <w:szCs w:val="15"/>
                <w:color w:val="auto"/>
              </w:rPr>
            </w:pPr>
          </w:p>
        </w:tc>
        <w:tc>
          <w:tcPr>
            <w:tcW w:w="1120" w:type="dxa"/>
            <w:vAlign w:val="bottom"/>
            <w:tcBorders>
              <w:top w:val="single" w:sz="8" w:color="F1F2F2"/>
              <w:bottom w:val="single" w:sz="8" w:color="F1F2F2"/>
            </w:tcBorders>
            <w:shd w:val="clear" w:color="auto" w:fill="F1F2F2"/>
          </w:tcPr>
          <w:p>
            <w:pPr>
              <w:spacing w:after="0"/>
              <w:rPr>
                <w:sz w:val="15"/>
                <w:szCs w:val="15"/>
                <w:color w:val="auto"/>
              </w:rPr>
            </w:pPr>
          </w:p>
        </w:tc>
        <w:tc>
          <w:tcPr>
            <w:tcW w:w="100" w:type="dxa"/>
            <w:vAlign w:val="bottom"/>
            <w:tcBorders>
              <w:top w:val="single" w:sz="8" w:color="F1F2F2"/>
              <w:bottom w:val="single" w:sz="8" w:color="F1F2F2"/>
            </w:tcBorders>
            <w:shd w:val="clear" w:color="auto" w:fill="F1F2F2"/>
          </w:tcPr>
          <w:p>
            <w:pPr>
              <w:spacing w:after="0"/>
              <w:rPr>
                <w:sz w:val="15"/>
                <w:szCs w:val="15"/>
                <w:color w:val="auto"/>
              </w:rPr>
            </w:pPr>
          </w:p>
        </w:tc>
        <w:tc>
          <w:tcPr>
            <w:tcW w:w="1380" w:type="dxa"/>
            <w:vAlign w:val="bottom"/>
            <w:tcBorders>
              <w:top w:val="single" w:sz="8" w:color="auto"/>
              <w:bottom w:val="single" w:sz="8" w:color="F1F2F2"/>
            </w:tcBorders>
            <w:shd w:val="clear" w:color="auto" w:fill="F1F2F2"/>
          </w:tcPr>
          <w:p>
            <w:pPr>
              <w:jc w:val="right"/>
              <w:spacing w:after="0"/>
              <w:rPr>
                <w:sz w:val="20"/>
                <w:szCs w:val="20"/>
                <w:color w:val="auto"/>
              </w:rPr>
            </w:pPr>
            <w:r>
              <w:rPr>
                <w:rFonts w:ascii="Arial" w:cs="Arial" w:eastAsia="Arial" w:hAnsi="Arial"/>
                <w:sz w:val="13"/>
                <w:szCs w:val="13"/>
                <w:b w:val="1"/>
                <w:bCs w:val="1"/>
                <w:color w:val="auto"/>
              </w:rPr>
              <w:t>23,000</w:t>
            </w:r>
          </w:p>
        </w:tc>
        <w:tc>
          <w:tcPr>
            <w:tcW w:w="1540" w:type="dxa"/>
            <w:vAlign w:val="bottom"/>
            <w:tcBorders>
              <w:top w:val="single" w:sz="8" w:color="F1F2F2"/>
              <w:bottom w:val="single" w:sz="8" w:color="F1F2F2"/>
            </w:tcBorders>
            <w:shd w:val="clear" w:color="auto" w:fill="F1F2F2"/>
          </w:tcPr>
          <w:p>
            <w:pPr>
              <w:spacing w:after="0"/>
              <w:rPr>
                <w:sz w:val="15"/>
                <w:szCs w:val="15"/>
                <w:color w:val="auto"/>
              </w:rPr>
            </w:pPr>
          </w:p>
        </w:tc>
        <w:tc>
          <w:tcPr>
            <w:tcW w:w="1220" w:type="dxa"/>
            <w:vAlign w:val="bottom"/>
            <w:tcBorders>
              <w:top w:val="single" w:sz="8" w:color="F1F2F2"/>
              <w:bottom w:val="single" w:sz="8" w:color="F1F2F2"/>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100"/>
              <w:spacing w:after="0"/>
              <w:rPr>
                <w:sz w:val="20"/>
                <w:szCs w:val="20"/>
                <w:color w:val="auto"/>
              </w:rPr>
            </w:pPr>
            <w:r>
              <w:rPr>
                <w:rFonts w:ascii="Arial" w:cs="Arial" w:eastAsia="Arial" w:hAnsi="Arial"/>
                <w:sz w:val="13"/>
                <w:szCs w:val="13"/>
                <w:color w:val="auto"/>
              </w:rPr>
              <w:t>Michael P. Quenzer</w:t>
            </w:r>
          </w:p>
        </w:tc>
        <w:tc>
          <w:tcPr>
            <w:tcW w:w="1340" w:type="dxa"/>
            <w:vAlign w:val="bottom"/>
          </w:tcPr>
          <w:p>
            <w:pPr>
              <w:jc w:val="right"/>
              <w:spacing w:after="0"/>
              <w:rPr>
                <w:sz w:val="20"/>
                <w:szCs w:val="20"/>
                <w:color w:val="auto"/>
              </w:rPr>
            </w:pPr>
            <w:r>
              <w:rPr>
                <w:rFonts w:ascii="Arial" w:cs="Arial" w:eastAsia="Arial" w:hAnsi="Arial"/>
                <w:sz w:val="13"/>
                <w:szCs w:val="13"/>
                <w:color w:val="auto"/>
              </w:rPr>
              <w:t>682</w:t>
            </w: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color w:val="auto"/>
                <w:w w:val="98"/>
              </w:rPr>
              <w:t>2/5/2027</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2,274</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98"/>
              </w:rPr>
              <w:t>12/31/2026</w:t>
            </w:r>
          </w:p>
        </w:tc>
        <w:tc>
          <w:tcPr>
            <w:tcW w:w="1220" w:type="dxa"/>
            <w:vAlign w:val="bottom"/>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625</w:t>
            </w:r>
          </w:p>
        </w:tc>
        <w:tc>
          <w:tcPr>
            <w:tcW w:w="260" w:type="dxa"/>
            <w:vAlign w:val="bottom"/>
          </w:tcPr>
          <w:p>
            <w:pPr>
              <w:spacing w:after="0"/>
              <w:rPr>
                <w:sz w:val="17"/>
                <w:szCs w:val="17"/>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color w:val="auto"/>
                <w:w w:val="98"/>
              </w:rPr>
              <w:t>2/3/2028</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2,084</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98"/>
              </w:rPr>
              <w:t>12/31/2027</w:t>
            </w:r>
          </w:p>
        </w:tc>
        <w:tc>
          <w:tcPr>
            <w:tcW w:w="1220" w:type="dxa"/>
            <w:vAlign w:val="bottom"/>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8"/>
        </w:trPr>
        <w:tc>
          <w:tcPr>
            <w:tcW w:w="35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56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1,307</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4,358</w:t>
            </w: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Sarah R. Martin</w:t>
            </w:r>
          </w:p>
        </w:tc>
        <w:tc>
          <w:tcPr>
            <w:tcW w:w="1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823</w:t>
            </w:r>
          </w:p>
        </w:tc>
        <w:tc>
          <w:tcPr>
            <w:tcW w:w="260" w:type="dxa"/>
            <w:vAlign w:val="bottom"/>
            <w:shd w:val="clear" w:color="auto" w:fill="F1F2F2"/>
          </w:tcPr>
          <w:p>
            <w:pPr>
              <w:spacing w:after="0"/>
              <w:rPr>
                <w:sz w:val="15"/>
                <w:szCs w:val="15"/>
                <w:color w:val="auto"/>
              </w:rPr>
            </w:pPr>
          </w:p>
        </w:tc>
        <w:tc>
          <w:tcPr>
            <w:tcW w:w="1120" w:type="dxa"/>
            <w:vAlign w:val="bottom"/>
            <w:shd w:val="clear" w:color="auto" w:fill="F1F2F2"/>
          </w:tcPr>
          <w:p>
            <w:pPr>
              <w:jc w:val="center"/>
              <w:ind w:right="197"/>
              <w:spacing w:after="0"/>
              <w:rPr>
                <w:sz w:val="20"/>
                <w:szCs w:val="20"/>
                <w:color w:val="auto"/>
              </w:rPr>
            </w:pPr>
            <w:r>
              <w:rPr>
                <w:rFonts w:ascii="Arial" w:cs="Arial" w:eastAsia="Arial" w:hAnsi="Arial"/>
                <w:sz w:val="13"/>
                <w:szCs w:val="13"/>
                <w:color w:val="auto"/>
                <w:w w:val="95"/>
              </w:rPr>
              <w:t>10/28/2026</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1,412</w:t>
            </w:r>
          </w:p>
        </w:tc>
        <w:tc>
          <w:tcPr>
            <w:tcW w:w="1540" w:type="dxa"/>
            <w:vAlign w:val="bottom"/>
            <w:shd w:val="clear" w:color="auto" w:fill="F1F2F2"/>
          </w:tcPr>
          <w:p>
            <w:pPr>
              <w:jc w:val="center"/>
              <w:ind w:right="117"/>
              <w:spacing w:after="0"/>
              <w:rPr>
                <w:sz w:val="20"/>
                <w:szCs w:val="20"/>
                <w:color w:val="auto"/>
              </w:rPr>
            </w:pPr>
            <w:r>
              <w:rPr>
                <w:rFonts w:ascii="Arial" w:cs="Arial" w:eastAsia="Arial" w:hAnsi="Arial"/>
                <w:sz w:val="13"/>
                <w:szCs w:val="13"/>
                <w:color w:val="auto"/>
                <w:w w:val="98"/>
              </w:rPr>
              <w:t>12/31/2027</w:t>
            </w:r>
          </w:p>
        </w:tc>
        <w:tc>
          <w:tcPr>
            <w:tcW w:w="1220" w:type="dxa"/>
            <w:vAlign w:val="bottom"/>
            <w:shd w:val="clear" w:color="auto" w:fill="F1F2F2"/>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8"/>
        </w:trPr>
        <w:tc>
          <w:tcPr>
            <w:tcW w:w="3560" w:type="dxa"/>
            <w:vAlign w:val="bottom"/>
            <w:tcBorders>
              <w:bottom w:val="single" w:sz="8" w:color="F1F2F2"/>
            </w:tcBorders>
            <w:shd w:val="clear" w:color="auto" w:fill="F1F2F2"/>
          </w:tcPr>
          <w:p>
            <w:pPr>
              <w:spacing w:after="0"/>
              <w:rPr>
                <w:sz w:val="2"/>
                <w:szCs w:val="2"/>
                <w:color w:val="auto"/>
              </w:rPr>
            </w:pPr>
          </w:p>
        </w:tc>
        <w:tc>
          <w:tcPr>
            <w:tcW w:w="1340" w:type="dxa"/>
            <w:vAlign w:val="bottom"/>
            <w:tcBorders>
              <w:bottom w:val="single" w:sz="8" w:color="F1F2F2"/>
            </w:tcBorders>
            <w:vMerge w:val="restart"/>
            <w:shd w:val="clear" w:color="auto" w:fill="F1F2F2"/>
          </w:tcPr>
          <w:p>
            <w:pPr>
              <w:jc w:val="right"/>
              <w:spacing w:after="0"/>
              <w:rPr>
                <w:sz w:val="20"/>
                <w:szCs w:val="20"/>
                <w:color w:val="auto"/>
              </w:rPr>
            </w:pPr>
            <w:r>
              <w:rPr>
                <w:rFonts w:ascii="Arial" w:cs="Arial" w:eastAsia="Arial" w:hAnsi="Arial"/>
                <w:sz w:val="13"/>
                <w:szCs w:val="13"/>
                <w:color w:val="auto"/>
              </w:rPr>
              <w:t>824</w:t>
            </w:r>
          </w:p>
        </w:tc>
        <w:tc>
          <w:tcPr>
            <w:tcW w:w="260" w:type="dxa"/>
            <w:vAlign w:val="bottom"/>
            <w:tcBorders>
              <w:bottom w:val="single" w:sz="8" w:color="F1F2F2"/>
            </w:tcBorders>
            <w:shd w:val="clear" w:color="auto" w:fill="F1F2F2"/>
          </w:tcPr>
          <w:p>
            <w:pPr>
              <w:spacing w:after="0"/>
              <w:rPr>
                <w:sz w:val="2"/>
                <w:szCs w:val="2"/>
                <w:color w:val="auto"/>
              </w:rPr>
            </w:pPr>
          </w:p>
        </w:tc>
        <w:tc>
          <w:tcPr>
            <w:tcW w:w="1120" w:type="dxa"/>
            <w:vAlign w:val="bottom"/>
            <w:tcBorders>
              <w:bottom w:val="single" w:sz="8" w:color="F1F2F2"/>
            </w:tcBorders>
            <w:vMerge w:val="restart"/>
            <w:shd w:val="clear" w:color="auto" w:fill="F1F2F2"/>
          </w:tcPr>
          <w:p>
            <w:pPr>
              <w:jc w:val="center"/>
              <w:ind w:right="177"/>
              <w:spacing w:after="0"/>
              <w:rPr>
                <w:sz w:val="20"/>
                <w:szCs w:val="20"/>
                <w:color w:val="auto"/>
              </w:rPr>
            </w:pPr>
            <w:r>
              <w:rPr>
                <w:rFonts w:ascii="Arial" w:cs="Arial" w:eastAsia="Arial" w:hAnsi="Arial"/>
                <w:sz w:val="13"/>
                <w:szCs w:val="13"/>
                <w:color w:val="auto"/>
                <w:w w:val="96"/>
              </w:rPr>
              <w:t>4/28/2028</w:t>
            </w:r>
          </w:p>
        </w:tc>
        <w:tc>
          <w:tcPr>
            <w:tcW w:w="100" w:type="dxa"/>
            <w:vAlign w:val="bottom"/>
            <w:tcBorders>
              <w:bottom w:val="single" w:sz="8" w:color="F1F2F2"/>
            </w:tcBorders>
            <w:shd w:val="clear" w:color="auto" w:fill="F1F2F2"/>
          </w:tcPr>
          <w:p>
            <w:pPr>
              <w:spacing w:after="0"/>
              <w:rPr>
                <w:sz w:val="2"/>
                <w:szCs w:val="2"/>
                <w:color w:val="auto"/>
              </w:rPr>
            </w:pPr>
          </w:p>
        </w:tc>
        <w:tc>
          <w:tcPr>
            <w:tcW w:w="1380" w:type="dxa"/>
            <w:vAlign w:val="bottom"/>
            <w:tcBorders>
              <w:bottom w:val="single" w:sz="8" w:color="auto"/>
            </w:tcBorders>
            <w:shd w:val="clear" w:color="auto" w:fill="F1F2F2"/>
          </w:tcPr>
          <w:p>
            <w:pPr>
              <w:spacing w:after="0"/>
              <w:rPr>
                <w:sz w:val="2"/>
                <w:szCs w:val="2"/>
                <w:color w:val="auto"/>
              </w:rPr>
            </w:pPr>
          </w:p>
        </w:tc>
        <w:tc>
          <w:tcPr>
            <w:tcW w:w="1540" w:type="dxa"/>
            <w:vAlign w:val="bottom"/>
            <w:tcBorders>
              <w:bottom w:val="single" w:sz="8" w:color="F1F2F2"/>
            </w:tcBorders>
            <w:shd w:val="clear" w:color="auto" w:fill="F1F2F2"/>
          </w:tcPr>
          <w:p>
            <w:pPr>
              <w:spacing w:after="0"/>
              <w:rPr>
                <w:sz w:val="2"/>
                <w:szCs w:val="2"/>
                <w:color w:val="auto"/>
              </w:rPr>
            </w:pPr>
          </w:p>
        </w:tc>
        <w:tc>
          <w:tcPr>
            <w:tcW w:w="1220" w:type="dxa"/>
            <w:vAlign w:val="bottom"/>
            <w:tcBorders>
              <w:bottom w:val="single" w:sz="8" w:color="F1F2F2"/>
            </w:tcBorders>
            <w:shd w:val="clear" w:color="auto" w:fill="F1F2F2"/>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560" w:type="dxa"/>
            <w:vAlign w:val="bottom"/>
            <w:tcBorders>
              <w:bottom w:val="single" w:sz="8" w:color="F1F2F2"/>
            </w:tcBorders>
            <w:shd w:val="clear" w:color="auto" w:fill="F1F2F2"/>
          </w:tcPr>
          <w:p>
            <w:pPr>
              <w:spacing w:after="0"/>
              <w:rPr>
                <w:sz w:val="17"/>
                <w:szCs w:val="17"/>
                <w:color w:val="auto"/>
              </w:rPr>
            </w:pPr>
          </w:p>
        </w:tc>
        <w:tc>
          <w:tcPr>
            <w:tcW w:w="1340" w:type="dxa"/>
            <w:vAlign w:val="bottom"/>
            <w:tcBorders>
              <w:bottom w:val="single" w:sz="8" w:color="F1F2F2"/>
            </w:tcBorders>
            <w:vMerge w:val="continue"/>
            <w:shd w:val="clear" w:color="auto" w:fill="F1F2F2"/>
          </w:tcPr>
          <w:p>
            <w:pPr>
              <w:spacing w:after="0"/>
              <w:rPr>
                <w:sz w:val="17"/>
                <w:szCs w:val="17"/>
                <w:color w:val="auto"/>
              </w:rPr>
            </w:pPr>
          </w:p>
        </w:tc>
        <w:tc>
          <w:tcPr>
            <w:tcW w:w="260" w:type="dxa"/>
            <w:vAlign w:val="bottom"/>
            <w:tcBorders>
              <w:bottom w:val="single" w:sz="8" w:color="F1F2F2"/>
            </w:tcBorders>
            <w:shd w:val="clear" w:color="auto" w:fill="F1F2F2"/>
          </w:tcPr>
          <w:p>
            <w:pPr>
              <w:spacing w:after="0"/>
              <w:rPr>
                <w:sz w:val="17"/>
                <w:szCs w:val="17"/>
                <w:color w:val="auto"/>
              </w:rPr>
            </w:pPr>
          </w:p>
        </w:tc>
        <w:tc>
          <w:tcPr>
            <w:tcW w:w="1120" w:type="dxa"/>
            <w:vAlign w:val="bottom"/>
            <w:tcBorders>
              <w:bottom w:val="single" w:sz="8" w:color="F1F2F2"/>
            </w:tcBorders>
            <w:vMerge w:val="continue"/>
            <w:shd w:val="clear" w:color="auto" w:fill="F1F2F2"/>
          </w:tcPr>
          <w:p>
            <w:pPr>
              <w:spacing w:after="0"/>
              <w:rPr>
                <w:sz w:val="17"/>
                <w:szCs w:val="17"/>
                <w:color w:val="auto"/>
              </w:rPr>
            </w:pP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3"/>
                <w:szCs w:val="13"/>
                <w:b w:val="1"/>
                <w:bCs w:val="1"/>
                <w:color w:val="auto"/>
              </w:rPr>
              <w:t>1,412</w:t>
            </w:r>
          </w:p>
        </w:tc>
        <w:tc>
          <w:tcPr>
            <w:tcW w:w="1540" w:type="dxa"/>
            <w:vAlign w:val="bottom"/>
            <w:tcBorders>
              <w:bottom w:val="single" w:sz="8" w:color="F1F2F2"/>
            </w:tcBorders>
            <w:shd w:val="clear" w:color="auto" w:fill="F1F2F2"/>
          </w:tcPr>
          <w:p>
            <w:pPr>
              <w:spacing w:after="0"/>
              <w:rPr>
                <w:sz w:val="17"/>
                <w:szCs w:val="17"/>
                <w:color w:val="auto"/>
              </w:rPr>
            </w:pPr>
          </w:p>
        </w:tc>
        <w:tc>
          <w:tcPr>
            <w:tcW w:w="1220" w:type="dxa"/>
            <w:vAlign w:val="bottom"/>
            <w:tcBorders>
              <w:bottom w:val="single" w:sz="8" w:color="F1F2F2"/>
            </w:tcBorders>
            <w:shd w:val="clear" w:color="auto" w:fill="F1F2F2"/>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60" w:type="dxa"/>
            <w:vAlign w:val="bottom"/>
            <w:tcBorders>
              <w:top w:val="single" w:sz="8" w:color="F1F2F2"/>
              <w:bottom w:val="single" w:sz="8" w:color="F1F2F2"/>
            </w:tcBorders>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top w:val="single" w:sz="8" w:color="auto"/>
              <w:bottom w:val="single" w:sz="8" w:color="F1F2F2"/>
            </w:tcBorders>
            <w:shd w:val="clear" w:color="auto" w:fill="F1F2F2"/>
          </w:tcPr>
          <w:p>
            <w:pPr>
              <w:jc w:val="right"/>
              <w:spacing w:after="0"/>
              <w:rPr>
                <w:sz w:val="20"/>
                <w:szCs w:val="20"/>
                <w:color w:val="auto"/>
              </w:rPr>
            </w:pPr>
            <w:r>
              <w:rPr>
                <w:rFonts w:ascii="Arial" w:cs="Arial" w:eastAsia="Arial" w:hAnsi="Arial"/>
                <w:sz w:val="13"/>
                <w:szCs w:val="13"/>
                <w:b w:val="1"/>
                <w:bCs w:val="1"/>
                <w:color w:val="auto"/>
              </w:rPr>
              <w:t>1,647</w:t>
            </w:r>
          </w:p>
        </w:tc>
        <w:tc>
          <w:tcPr>
            <w:tcW w:w="260" w:type="dxa"/>
            <w:vAlign w:val="bottom"/>
            <w:tcBorders>
              <w:top w:val="single" w:sz="8" w:color="F1F2F2"/>
              <w:bottom w:val="single" w:sz="8" w:color="F1F2F2"/>
            </w:tcBorders>
            <w:shd w:val="clear" w:color="auto" w:fill="F1F2F2"/>
          </w:tcPr>
          <w:p>
            <w:pPr>
              <w:spacing w:after="0"/>
              <w:rPr>
                <w:sz w:val="15"/>
                <w:szCs w:val="15"/>
                <w:color w:val="auto"/>
              </w:rPr>
            </w:pPr>
          </w:p>
        </w:tc>
        <w:tc>
          <w:tcPr>
            <w:tcW w:w="1120" w:type="dxa"/>
            <w:vAlign w:val="bottom"/>
            <w:tcBorders>
              <w:top w:val="single" w:sz="8" w:color="F1F2F2"/>
              <w:bottom w:val="single" w:sz="8" w:color="F1F2F2"/>
            </w:tcBorders>
            <w:shd w:val="clear" w:color="auto" w:fill="F1F2F2"/>
          </w:tcPr>
          <w:p>
            <w:pPr>
              <w:spacing w:after="0"/>
              <w:rPr>
                <w:sz w:val="15"/>
                <w:szCs w:val="15"/>
                <w:color w:val="auto"/>
              </w:rPr>
            </w:pPr>
          </w:p>
        </w:tc>
        <w:tc>
          <w:tcPr>
            <w:tcW w:w="100" w:type="dxa"/>
            <w:vAlign w:val="bottom"/>
            <w:tcBorders>
              <w:top w:val="single" w:sz="8" w:color="F1F2F2"/>
              <w:bottom w:val="single" w:sz="8" w:color="F1F2F2"/>
            </w:tcBorders>
            <w:shd w:val="clear" w:color="auto" w:fill="F1F2F2"/>
          </w:tcPr>
          <w:p>
            <w:pPr>
              <w:spacing w:after="0"/>
              <w:rPr>
                <w:sz w:val="15"/>
                <w:szCs w:val="15"/>
                <w:color w:val="auto"/>
              </w:rPr>
            </w:pPr>
          </w:p>
        </w:tc>
        <w:tc>
          <w:tcPr>
            <w:tcW w:w="1380" w:type="dxa"/>
            <w:vAlign w:val="bottom"/>
            <w:tcBorders>
              <w:top w:val="single" w:sz="8" w:color="F1F2F2"/>
              <w:bottom w:val="single" w:sz="8" w:color="F1F2F2"/>
            </w:tcBorders>
            <w:shd w:val="clear" w:color="auto" w:fill="F1F2F2"/>
          </w:tcPr>
          <w:p>
            <w:pPr>
              <w:spacing w:after="0"/>
              <w:rPr>
                <w:sz w:val="15"/>
                <w:szCs w:val="15"/>
                <w:color w:val="auto"/>
              </w:rPr>
            </w:pPr>
          </w:p>
        </w:tc>
        <w:tc>
          <w:tcPr>
            <w:tcW w:w="1540" w:type="dxa"/>
            <w:vAlign w:val="bottom"/>
            <w:tcBorders>
              <w:top w:val="single" w:sz="8" w:color="F1F2F2"/>
              <w:bottom w:val="single" w:sz="8" w:color="F1F2F2"/>
            </w:tcBorders>
            <w:shd w:val="clear" w:color="auto" w:fill="F1F2F2"/>
          </w:tcPr>
          <w:p>
            <w:pPr>
              <w:spacing w:after="0"/>
              <w:rPr>
                <w:sz w:val="15"/>
                <w:szCs w:val="15"/>
                <w:color w:val="auto"/>
              </w:rPr>
            </w:pPr>
          </w:p>
        </w:tc>
        <w:tc>
          <w:tcPr>
            <w:tcW w:w="1220" w:type="dxa"/>
            <w:vAlign w:val="bottom"/>
            <w:tcBorders>
              <w:top w:val="single" w:sz="8" w:color="F1F2F2"/>
              <w:bottom w:val="single" w:sz="8" w:color="F1F2F2"/>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100"/>
              <w:spacing w:after="0"/>
              <w:rPr>
                <w:sz w:val="20"/>
                <w:szCs w:val="20"/>
                <w:color w:val="auto"/>
              </w:rPr>
            </w:pPr>
            <w:r>
              <w:rPr>
                <w:rFonts w:ascii="Arial" w:cs="Arial" w:eastAsia="Arial" w:hAnsi="Arial"/>
                <w:sz w:val="13"/>
                <w:szCs w:val="13"/>
                <w:color w:val="auto"/>
              </w:rPr>
              <w:t>Joseph F. Nassab</w:t>
            </w:r>
          </w:p>
        </w:tc>
        <w:tc>
          <w:tcPr>
            <w:tcW w:w="1340" w:type="dxa"/>
            <w:vAlign w:val="bottom"/>
          </w:tcPr>
          <w:p>
            <w:pPr>
              <w:jc w:val="right"/>
              <w:spacing w:after="0"/>
              <w:rPr>
                <w:sz w:val="20"/>
                <w:szCs w:val="20"/>
                <w:color w:val="auto"/>
              </w:rPr>
            </w:pPr>
            <w:r>
              <w:rPr>
                <w:rFonts w:ascii="Arial" w:cs="Arial" w:eastAsia="Arial" w:hAnsi="Arial"/>
                <w:sz w:val="13"/>
                <w:szCs w:val="13"/>
                <w:color w:val="auto"/>
              </w:rPr>
              <w:t>819</w:t>
            </w: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color w:val="auto"/>
                <w:w w:val="98"/>
              </w:rPr>
              <w:t>2/5/2027</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2,730</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98"/>
              </w:rPr>
              <w:t>12/31/2026</w:t>
            </w:r>
          </w:p>
        </w:tc>
        <w:tc>
          <w:tcPr>
            <w:tcW w:w="1220" w:type="dxa"/>
            <w:vAlign w:val="bottom"/>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602</w:t>
            </w:r>
          </w:p>
        </w:tc>
        <w:tc>
          <w:tcPr>
            <w:tcW w:w="260" w:type="dxa"/>
            <w:vAlign w:val="bottom"/>
          </w:tcPr>
          <w:p>
            <w:pPr>
              <w:spacing w:after="0"/>
              <w:rPr>
                <w:sz w:val="17"/>
                <w:szCs w:val="17"/>
                <w:color w:val="auto"/>
              </w:rPr>
            </w:pPr>
          </w:p>
        </w:tc>
        <w:tc>
          <w:tcPr>
            <w:tcW w:w="1120" w:type="dxa"/>
            <w:vAlign w:val="bottom"/>
          </w:tcPr>
          <w:p>
            <w:pPr>
              <w:jc w:val="center"/>
              <w:ind w:right="197"/>
              <w:spacing w:after="0"/>
              <w:rPr>
                <w:sz w:val="20"/>
                <w:szCs w:val="20"/>
                <w:color w:val="auto"/>
              </w:rPr>
            </w:pPr>
            <w:r>
              <w:rPr>
                <w:rFonts w:ascii="Arial" w:cs="Arial" w:eastAsia="Arial" w:hAnsi="Arial"/>
                <w:sz w:val="13"/>
                <w:szCs w:val="13"/>
                <w:color w:val="auto"/>
                <w:w w:val="98"/>
              </w:rPr>
              <w:t>2/3/2028</w:t>
            </w:r>
          </w:p>
        </w:tc>
        <w:tc>
          <w:tcPr>
            <w:tcW w:w="1480" w:type="dxa"/>
            <w:vAlign w:val="bottom"/>
            <w:gridSpan w:val="2"/>
          </w:tcPr>
          <w:p>
            <w:pPr>
              <w:jc w:val="right"/>
              <w:spacing w:after="0"/>
              <w:rPr>
                <w:sz w:val="20"/>
                <w:szCs w:val="20"/>
                <w:color w:val="auto"/>
              </w:rPr>
            </w:pPr>
            <w:r>
              <w:rPr>
                <w:rFonts w:ascii="Arial" w:cs="Arial" w:eastAsia="Arial" w:hAnsi="Arial"/>
                <w:sz w:val="13"/>
                <w:szCs w:val="13"/>
                <w:color w:val="auto"/>
              </w:rPr>
              <w:t>2,008</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98"/>
              </w:rPr>
              <w:t>12/31/2027</w:t>
            </w:r>
          </w:p>
        </w:tc>
        <w:tc>
          <w:tcPr>
            <w:tcW w:w="1220" w:type="dxa"/>
            <w:vAlign w:val="bottom"/>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8"/>
        </w:trPr>
        <w:tc>
          <w:tcPr>
            <w:tcW w:w="35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56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1,421</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Arial" w:cs="Arial" w:eastAsia="Arial" w:hAnsi="Arial"/>
                <w:sz w:val="13"/>
                <w:szCs w:val="13"/>
                <w:b w:val="1"/>
                <w:bCs w:val="1"/>
                <w:color w:val="auto"/>
              </w:rPr>
              <w:t>4,738</w:t>
            </w:r>
          </w:p>
        </w:tc>
        <w:tc>
          <w:tcPr>
            <w:tcW w:w="1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5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Daniel M. Sessa</w:t>
            </w:r>
          </w:p>
        </w:tc>
        <w:tc>
          <w:tcPr>
            <w:tcW w:w="1340" w:type="dxa"/>
            <w:vAlign w:val="bottom"/>
            <w:shd w:val="clear" w:color="auto" w:fill="F1F2F2"/>
          </w:tcPr>
          <w:p>
            <w:pPr>
              <w:jc w:val="right"/>
              <w:spacing w:after="0"/>
              <w:rPr>
                <w:sz w:val="20"/>
                <w:szCs w:val="20"/>
                <w:color w:val="auto"/>
              </w:rPr>
            </w:pPr>
            <w:r>
              <w:rPr>
                <w:rFonts w:ascii="Arial" w:cs="Arial" w:eastAsia="Arial" w:hAnsi="Arial"/>
                <w:sz w:val="13"/>
                <w:szCs w:val="13"/>
                <w:color w:val="auto"/>
              </w:rPr>
              <w:t>819</w:t>
            </w:r>
          </w:p>
        </w:tc>
        <w:tc>
          <w:tcPr>
            <w:tcW w:w="260" w:type="dxa"/>
            <w:vAlign w:val="bottom"/>
            <w:shd w:val="clear" w:color="auto" w:fill="F1F2F2"/>
          </w:tcPr>
          <w:p>
            <w:pPr>
              <w:spacing w:after="0"/>
              <w:rPr>
                <w:sz w:val="15"/>
                <w:szCs w:val="15"/>
                <w:color w:val="auto"/>
              </w:rPr>
            </w:pPr>
          </w:p>
        </w:tc>
        <w:tc>
          <w:tcPr>
            <w:tcW w:w="1120" w:type="dxa"/>
            <w:vAlign w:val="bottom"/>
            <w:shd w:val="clear" w:color="auto" w:fill="F1F2F2"/>
          </w:tcPr>
          <w:p>
            <w:pPr>
              <w:jc w:val="center"/>
              <w:ind w:right="197"/>
              <w:spacing w:after="0"/>
              <w:rPr>
                <w:sz w:val="20"/>
                <w:szCs w:val="20"/>
                <w:color w:val="auto"/>
              </w:rPr>
            </w:pPr>
            <w:r>
              <w:rPr>
                <w:rFonts w:ascii="Arial" w:cs="Arial" w:eastAsia="Arial" w:hAnsi="Arial"/>
                <w:sz w:val="13"/>
                <w:szCs w:val="13"/>
                <w:color w:val="auto"/>
                <w:w w:val="98"/>
              </w:rPr>
              <w:t>2/5/2027</w:t>
            </w:r>
          </w:p>
        </w:tc>
        <w:tc>
          <w:tcPr>
            <w:tcW w:w="1480" w:type="dxa"/>
            <w:vAlign w:val="bottom"/>
            <w:gridSpan w:val="2"/>
            <w:shd w:val="clear" w:color="auto" w:fill="F1F2F2"/>
          </w:tcPr>
          <w:p>
            <w:pPr>
              <w:jc w:val="right"/>
              <w:spacing w:after="0"/>
              <w:rPr>
                <w:sz w:val="20"/>
                <w:szCs w:val="20"/>
                <w:color w:val="auto"/>
              </w:rPr>
            </w:pPr>
            <w:r>
              <w:rPr>
                <w:rFonts w:ascii="Arial" w:cs="Arial" w:eastAsia="Arial" w:hAnsi="Arial"/>
                <w:sz w:val="13"/>
                <w:szCs w:val="13"/>
                <w:color w:val="auto"/>
              </w:rPr>
              <w:t>2,730</w:t>
            </w:r>
          </w:p>
        </w:tc>
        <w:tc>
          <w:tcPr>
            <w:tcW w:w="1540" w:type="dxa"/>
            <w:vAlign w:val="bottom"/>
            <w:shd w:val="clear" w:color="auto" w:fill="F1F2F2"/>
          </w:tcPr>
          <w:p>
            <w:pPr>
              <w:jc w:val="center"/>
              <w:ind w:right="117"/>
              <w:spacing w:after="0"/>
              <w:rPr>
                <w:sz w:val="20"/>
                <w:szCs w:val="20"/>
                <w:color w:val="auto"/>
              </w:rPr>
            </w:pPr>
            <w:r>
              <w:rPr>
                <w:rFonts w:ascii="Arial" w:cs="Arial" w:eastAsia="Arial" w:hAnsi="Arial"/>
                <w:sz w:val="13"/>
                <w:szCs w:val="13"/>
                <w:color w:val="auto"/>
                <w:w w:val="98"/>
              </w:rPr>
              <w:t>12/31/2026</w:t>
            </w:r>
          </w:p>
        </w:tc>
        <w:tc>
          <w:tcPr>
            <w:tcW w:w="1220" w:type="dxa"/>
            <w:vAlign w:val="bottom"/>
            <w:shd w:val="clear" w:color="auto" w:fill="F1F2F2"/>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235"/>
        </w:trPr>
        <w:tc>
          <w:tcPr>
            <w:tcW w:w="3560" w:type="dxa"/>
            <w:vAlign w:val="bottom"/>
            <w:tcBorders>
              <w:bottom w:val="single" w:sz="8" w:color="F1F2F2"/>
            </w:tcBorders>
            <w:shd w:val="clear" w:color="auto" w:fill="F1F2F2"/>
          </w:tcPr>
          <w:p>
            <w:pPr>
              <w:spacing w:after="0"/>
              <w:rPr>
                <w:sz w:val="20"/>
                <w:szCs w:val="20"/>
                <w:color w:val="auto"/>
              </w:rPr>
            </w:pPr>
          </w:p>
        </w:tc>
        <w:tc>
          <w:tcPr>
            <w:tcW w:w="13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579</w:t>
            </w:r>
          </w:p>
        </w:tc>
        <w:tc>
          <w:tcPr>
            <w:tcW w:w="260" w:type="dxa"/>
            <w:vAlign w:val="bottom"/>
            <w:tcBorders>
              <w:bottom w:val="single" w:sz="8" w:color="F1F2F2"/>
            </w:tcBorders>
            <w:shd w:val="clear" w:color="auto" w:fill="F1F2F2"/>
          </w:tcPr>
          <w:p>
            <w:pPr>
              <w:spacing w:after="0"/>
              <w:rPr>
                <w:sz w:val="20"/>
                <w:szCs w:val="20"/>
                <w:color w:val="auto"/>
              </w:rPr>
            </w:pPr>
          </w:p>
        </w:tc>
        <w:tc>
          <w:tcPr>
            <w:tcW w:w="1120" w:type="dxa"/>
            <w:vAlign w:val="bottom"/>
            <w:tcBorders>
              <w:bottom w:val="single" w:sz="8" w:color="F1F2F2"/>
            </w:tcBorders>
            <w:shd w:val="clear" w:color="auto" w:fill="F1F2F2"/>
          </w:tcPr>
          <w:p>
            <w:pPr>
              <w:jc w:val="center"/>
              <w:ind w:right="197"/>
              <w:spacing w:after="0"/>
              <w:rPr>
                <w:sz w:val="20"/>
                <w:szCs w:val="20"/>
                <w:color w:val="auto"/>
              </w:rPr>
            </w:pPr>
            <w:r>
              <w:rPr>
                <w:rFonts w:ascii="Arial" w:cs="Arial" w:eastAsia="Arial" w:hAnsi="Arial"/>
                <w:sz w:val="13"/>
                <w:szCs w:val="13"/>
                <w:color w:val="auto"/>
                <w:w w:val="98"/>
              </w:rPr>
              <w:t>2/3/2028</w:t>
            </w:r>
          </w:p>
        </w:tc>
        <w:tc>
          <w:tcPr>
            <w:tcW w:w="1480" w:type="dxa"/>
            <w:vAlign w:val="bottom"/>
            <w:tcBorders>
              <w:bottom w:val="single" w:sz="8" w:color="F1F2F2"/>
            </w:tcBorders>
            <w:gridSpan w:val="2"/>
            <w:shd w:val="clear" w:color="auto" w:fill="F1F2F2"/>
          </w:tcPr>
          <w:p>
            <w:pPr>
              <w:jc w:val="right"/>
              <w:spacing w:after="0"/>
              <w:rPr>
                <w:sz w:val="20"/>
                <w:szCs w:val="20"/>
                <w:color w:val="auto"/>
              </w:rPr>
            </w:pPr>
            <w:r>
              <w:rPr>
                <w:rFonts w:ascii="Arial" w:cs="Arial" w:eastAsia="Arial" w:hAnsi="Arial"/>
                <w:sz w:val="13"/>
                <w:szCs w:val="13"/>
                <w:color w:val="auto"/>
              </w:rPr>
              <w:t>1,930</w:t>
            </w:r>
          </w:p>
        </w:tc>
        <w:tc>
          <w:tcPr>
            <w:tcW w:w="1540" w:type="dxa"/>
            <w:vAlign w:val="bottom"/>
            <w:tcBorders>
              <w:bottom w:val="single" w:sz="8" w:color="F1F2F2"/>
            </w:tcBorders>
            <w:shd w:val="clear" w:color="auto" w:fill="F1F2F2"/>
          </w:tcPr>
          <w:p>
            <w:pPr>
              <w:jc w:val="center"/>
              <w:ind w:right="117"/>
              <w:spacing w:after="0"/>
              <w:rPr>
                <w:sz w:val="20"/>
                <w:szCs w:val="20"/>
                <w:color w:val="auto"/>
              </w:rPr>
            </w:pPr>
            <w:r>
              <w:rPr>
                <w:rFonts w:ascii="Arial" w:cs="Arial" w:eastAsia="Arial" w:hAnsi="Arial"/>
                <w:sz w:val="13"/>
                <w:szCs w:val="13"/>
                <w:color w:val="auto"/>
                <w:w w:val="98"/>
              </w:rPr>
              <w:t>12/31/2027</w:t>
            </w:r>
          </w:p>
        </w:tc>
        <w:tc>
          <w:tcPr>
            <w:tcW w:w="1220" w:type="dxa"/>
            <w:vAlign w:val="bottom"/>
            <w:tcBorders>
              <w:bottom w:val="single" w:sz="8" w:color="F1F2F2"/>
            </w:tcBorders>
            <w:shd w:val="clear" w:color="auto" w:fill="F1F2F2"/>
          </w:tcPr>
          <w:p>
            <w:pPr>
              <w:jc w:val="center"/>
              <w:ind w:right="237"/>
              <w:spacing w:after="0"/>
              <w:rPr>
                <w:sz w:val="20"/>
                <w:szCs w:val="20"/>
                <w:color w:val="auto"/>
              </w:rPr>
            </w:pPr>
            <w:r>
              <w:rPr>
                <w:rFonts w:ascii="Arial" w:cs="Arial" w:eastAsia="Arial" w:hAnsi="Arial"/>
                <w:sz w:val="13"/>
                <w:szCs w:val="13"/>
                <w:color w:val="auto"/>
                <w:w w:val="97"/>
              </w:rPr>
              <w:t>Max</w:t>
            </w:r>
          </w:p>
        </w:tc>
        <w:tc>
          <w:tcPr>
            <w:tcW w:w="0" w:type="dxa"/>
            <w:vAlign w:val="bottom"/>
          </w:tcPr>
          <w:p>
            <w:pPr>
              <w:spacing w:after="0"/>
              <w:rPr>
                <w:sz w:val="1"/>
                <w:szCs w:val="1"/>
                <w:color w:val="auto"/>
              </w:rPr>
            </w:pPr>
          </w:p>
        </w:tc>
      </w:tr>
      <w:tr>
        <w:trPr>
          <w:trHeight w:val="174"/>
        </w:trPr>
        <w:tc>
          <w:tcPr>
            <w:tcW w:w="3560" w:type="dxa"/>
            <w:vAlign w:val="bottom"/>
            <w:tcBorders>
              <w:top w:val="single" w:sz="8" w:color="F1F2F2"/>
            </w:tcBorders>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34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3"/>
                <w:szCs w:val="13"/>
                <w:b w:val="1"/>
                <w:bCs w:val="1"/>
                <w:color w:val="auto"/>
              </w:rPr>
              <w:t>1,398</w:t>
            </w:r>
          </w:p>
        </w:tc>
        <w:tc>
          <w:tcPr>
            <w:tcW w:w="260" w:type="dxa"/>
            <w:vAlign w:val="bottom"/>
            <w:tcBorders>
              <w:top w:val="single" w:sz="8" w:color="F1F2F2"/>
            </w:tcBorders>
            <w:shd w:val="clear" w:color="auto" w:fill="F1F2F2"/>
          </w:tcPr>
          <w:p>
            <w:pPr>
              <w:spacing w:after="0"/>
              <w:rPr>
                <w:sz w:val="15"/>
                <w:szCs w:val="15"/>
                <w:color w:val="auto"/>
              </w:rPr>
            </w:pPr>
          </w:p>
        </w:tc>
        <w:tc>
          <w:tcPr>
            <w:tcW w:w="1120" w:type="dxa"/>
            <w:vAlign w:val="bottom"/>
            <w:tcBorders>
              <w:top w:val="single" w:sz="8" w:color="F1F2F2"/>
            </w:tcBorders>
            <w:shd w:val="clear" w:color="auto" w:fill="F1F2F2"/>
          </w:tcPr>
          <w:p>
            <w:pPr>
              <w:spacing w:after="0"/>
              <w:rPr>
                <w:sz w:val="15"/>
                <w:szCs w:val="15"/>
                <w:color w:val="auto"/>
              </w:rPr>
            </w:pPr>
          </w:p>
        </w:tc>
        <w:tc>
          <w:tcPr>
            <w:tcW w:w="100" w:type="dxa"/>
            <w:vAlign w:val="bottom"/>
            <w:tcBorders>
              <w:top w:val="single" w:sz="8" w:color="F1F2F2"/>
            </w:tcBorders>
            <w:shd w:val="clear" w:color="auto" w:fill="F1F2F2"/>
          </w:tcPr>
          <w:p>
            <w:pPr>
              <w:spacing w:after="0"/>
              <w:rPr>
                <w:sz w:val="15"/>
                <w:szCs w:val="15"/>
                <w:color w:val="auto"/>
              </w:rPr>
            </w:pPr>
          </w:p>
        </w:tc>
        <w:tc>
          <w:tcPr>
            <w:tcW w:w="1380" w:type="dxa"/>
            <w:vAlign w:val="bottom"/>
            <w:tcBorders>
              <w:top w:val="single" w:sz="8" w:color="auto"/>
            </w:tcBorders>
            <w:shd w:val="clear" w:color="auto" w:fill="F1F2F2"/>
          </w:tcPr>
          <w:p>
            <w:pPr>
              <w:jc w:val="right"/>
              <w:spacing w:after="0"/>
              <w:rPr>
                <w:sz w:val="20"/>
                <w:szCs w:val="20"/>
                <w:color w:val="auto"/>
              </w:rPr>
            </w:pPr>
            <w:r>
              <w:rPr>
                <w:rFonts w:ascii="Arial" w:cs="Arial" w:eastAsia="Arial" w:hAnsi="Arial"/>
                <w:sz w:val="13"/>
                <w:szCs w:val="13"/>
                <w:b w:val="1"/>
                <w:bCs w:val="1"/>
                <w:color w:val="auto"/>
              </w:rPr>
              <w:t>4,660</w:t>
            </w:r>
          </w:p>
        </w:tc>
        <w:tc>
          <w:tcPr>
            <w:tcW w:w="1540" w:type="dxa"/>
            <w:vAlign w:val="bottom"/>
            <w:tcBorders>
              <w:top w:val="single" w:sz="8" w:color="F1F2F2"/>
            </w:tcBorders>
            <w:shd w:val="clear" w:color="auto" w:fill="F1F2F2"/>
          </w:tcPr>
          <w:p>
            <w:pPr>
              <w:spacing w:after="0"/>
              <w:rPr>
                <w:sz w:val="15"/>
                <w:szCs w:val="15"/>
                <w:color w:val="auto"/>
              </w:rPr>
            </w:pPr>
          </w:p>
        </w:tc>
        <w:tc>
          <w:tcPr>
            <w:tcW w:w="1220" w:type="dxa"/>
            <w:vAlign w:val="bottom"/>
            <w:tcBorders>
              <w:top w:val="single" w:sz="8" w:color="F1F2F2"/>
            </w:tcBorders>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560" w:type="dxa"/>
            <w:vAlign w:val="bottom"/>
            <w:shd w:val="clear" w:color="auto" w:fill="F1F2F2"/>
          </w:tcPr>
          <w:p>
            <w:pPr>
              <w:spacing w:after="0" w:line="20" w:lineRule="exact"/>
              <w:rPr>
                <w:sz w:val="1"/>
                <w:szCs w:val="1"/>
                <w:color w:val="auto"/>
              </w:rPr>
            </w:pPr>
          </w:p>
        </w:tc>
        <w:tc>
          <w:tcPr>
            <w:tcW w:w="1340" w:type="dxa"/>
            <w:vAlign w:val="bottom"/>
            <w:shd w:val="clear" w:color="auto" w:fill="F1F2F2"/>
          </w:tcPr>
          <w:p>
            <w:pPr>
              <w:spacing w:after="0" w:line="20" w:lineRule="exact"/>
              <w:rPr>
                <w:sz w:val="1"/>
                <w:szCs w:val="1"/>
                <w:color w:val="auto"/>
              </w:rPr>
            </w:pPr>
          </w:p>
        </w:tc>
        <w:tc>
          <w:tcPr>
            <w:tcW w:w="260" w:type="dxa"/>
            <w:vAlign w:val="bottom"/>
            <w:shd w:val="clear" w:color="auto" w:fill="F1F2F2"/>
          </w:tcPr>
          <w:p>
            <w:pPr>
              <w:spacing w:after="0" w:line="20" w:lineRule="exact"/>
              <w:rPr>
                <w:sz w:val="1"/>
                <w:szCs w:val="1"/>
                <w:color w:val="auto"/>
              </w:rPr>
            </w:pPr>
          </w:p>
        </w:tc>
        <w:tc>
          <w:tcPr>
            <w:tcW w:w="1120" w:type="dxa"/>
            <w:vAlign w:val="bottom"/>
            <w:shd w:val="clear" w:color="auto" w:fill="F1F2F2"/>
          </w:tcPr>
          <w:p>
            <w:pPr>
              <w:spacing w:after="0" w:line="20" w:lineRule="exact"/>
              <w:rPr>
                <w:sz w:val="1"/>
                <w:szCs w:val="1"/>
                <w:color w:val="auto"/>
              </w:rPr>
            </w:pPr>
          </w:p>
        </w:tc>
        <w:tc>
          <w:tcPr>
            <w:tcW w:w="100" w:type="dxa"/>
            <w:vAlign w:val="bottom"/>
            <w:shd w:val="clear" w:color="auto" w:fill="F1F2F2"/>
          </w:tcPr>
          <w:p>
            <w:pPr>
              <w:spacing w:after="0" w:line="20" w:lineRule="exact"/>
              <w:rPr>
                <w:sz w:val="1"/>
                <w:szCs w:val="1"/>
                <w:color w:val="auto"/>
              </w:rPr>
            </w:pPr>
          </w:p>
        </w:tc>
        <w:tc>
          <w:tcPr>
            <w:tcW w:w="1380" w:type="dxa"/>
            <w:vAlign w:val="bottom"/>
            <w:shd w:val="clear" w:color="auto" w:fill="F1F2F2"/>
          </w:tcPr>
          <w:p>
            <w:pPr>
              <w:spacing w:after="0" w:line="20" w:lineRule="exact"/>
              <w:rPr>
                <w:sz w:val="1"/>
                <w:szCs w:val="1"/>
                <w:color w:val="auto"/>
              </w:rPr>
            </w:pPr>
          </w:p>
        </w:tc>
        <w:tc>
          <w:tcPr>
            <w:tcW w:w="1540" w:type="dxa"/>
            <w:vAlign w:val="bottom"/>
            <w:shd w:val="clear" w:color="auto" w:fill="F1F2F2"/>
          </w:tcPr>
          <w:p>
            <w:pPr>
              <w:spacing w:after="0" w:line="20" w:lineRule="exact"/>
              <w:rPr>
                <w:sz w:val="1"/>
                <w:szCs w:val="1"/>
                <w:color w:val="auto"/>
              </w:rPr>
            </w:pPr>
          </w:p>
        </w:tc>
        <w:tc>
          <w:tcPr>
            <w:tcW w:w="122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-2245360</wp:posOffset>
            </wp:positionV>
            <wp:extent cx="43376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C60C35"/>
        </w:rPr>
        <w:t>2025 Option/SAR Exercises and Stock Vested</w:t>
      </w:r>
    </w:p>
    <w:p>
      <w:pPr>
        <w:spacing w:after="0" w:line="54"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The following table provides information regarding the exercise of SARs by our NEOs and the vesting of RSUs and PSUs held by our NEOs for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shd w:val="clear" w:color="auto" w:fill="C60C35"/>
          </w:tcPr>
          <w:p>
            <w:pPr>
              <w:spacing w:after="0"/>
              <w:rPr>
                <w:sz w:val="18"/>
                <w:szCs w:val="18"/>
                <w:color w:val="auto"/>
              </w:rPr>
            </w:pPr>
          </w:p>
        </w:tc>
        <w:tc>
          <w:tcPr>
            <w:tcW w:w="3020" w:type="dxa"/>
            <w:vAlign w:val="bottom"/>
            <w:gridSpan w:val="2"/>
            <w:shd w:val="clear" w:color="auto" w:fill="C60C35"/>
          </w:tcPr>
          <w:p>
            <w:pPr>
              <w:jc w:val="right"/>
              <w:ind w:right="708"/>
              <w:spacing w:after="0"/>
              <w:rPr>
                <w:sz w:val="20"/>
                <w:szCs w:val="20"/>
                <w:color w:val="auto"/>
              </w:rPr>
            </w:pPr>
            <w:r>
              <w:rPr>
                <w:rFonts w:ascii="Arial" w:cs="Arial" w:eastAsia="Arial" w:hAnsi="Arial"/>
                <w:sz w:val="14"/>
                <w:szCs w:val="14"/>
                <w:b w:val="1"/>
                <w:bCs w:val="1"/>
                <w:color w:val="FFFFFF"/>
              </w:rPr>
              <w:t>Options/SAR Awards</w:t>
            </w:r>
          </w:p>
        </w:tc>
        <w:tc>
          <w:tcPr>
            <w:tcW w:w="100" w:type="dxa"/>
            <w:vAlign w:val="bottom"/>
          </w:tcPr>
          <w:p>
            <w:pPr>
              <w:spacing w:after="0"/>
              <w:rPr>
                <w:sz w:val="18"/>
                <w:szCs w:val="18"/>
                <w:color w:val="auto"/>
              </w:rPr>
            </w:pPr>
          </w:p>
        </w:tc>
        <w:tc>
          <w:tcPr>
            <w:tcW w:w="900" w:type="dxa"/>
            <w:vAlign w:val="bottom"/>
            <w:shd w:val="clear" w:color="auto" w:fill="C60C35"/>
          </w:tcPr>
          <w:p>
            <w:pPr>
              <w:spacing w:after="0"/>
              <w:rPr>
                <w:sz w:val="18"/>
                <w:szCs w:val="18"/>
                <w:color w:val="auto"/>
              </w:rPr>
            </w:pPr>
          </w:p>
        </w:tc>
        <w:tc>
          <w:tcPr>
            <w:tcW w:w="2120" w:type="dxa"/>
            <w:vAlign w:val="bottom"/>
            <w:shd w:val="clear" w:color="auto" w:fill="C60C35"/>
          </w:tcPr>
          <w:p>
            <w:pPr>
              <w:jc w:val="right"/>
              <w:ind w:right="328"/>
              <w:spacing w:after="0"/>
              <w:rPr>
                <w:sz w:val="20"/>
                <w:szCs w:val="20"/>
                <w:color w:val="auto"/>
              </w:rPr>
            </w:pPr>
            <w:r>
              <w:rPr>
                <w:rFonts w:ascii="Arial" w:cs="Arial" w:eastAsia="Arial" w:hAnsi="Arial"/>
                <w:sz w:val="14"/>
                <w:szCs w:val="14"/>
                <w:b w:val="1"/>
                <w:bCs w:val="1"/>
                <w:color w:val="FFFFFF"/>
              </w:rPr>
              <w:t>Stock Awards</w:t>
            </w:r>
          </w:p>
        </w:tc>
        <w:tc>
          <w:tcPr>
            <w:tcW w:w="1400" w:type="dxa"/>
            <w:vAlign w:val="bottom"/>
            <w:shd w:val="clear" w:color="auto" w:fill="C60C35"/>
          </w:tcPr>
          <w:p>
            <w:pPr>
              <w:spacing w:after="0"/>
              <w:rPr>
                <w:sz w:val="18"/>
                <w:szCs w:val="18"/>
                <w:color w:val="auto"/>
              </w:rPr>
            </w:pPr>
          </w:p>
        </w:tc>
      </w:tr>
      <w:tr>
        <w:trPr>
          <w:trHeight w:val="220"/>
        </w:trPr>
        <w:tc>
          <w:tcPr>
            <w:tcW w:w="3700" w:type="dxa"/>
            <w:vAlign w:val="bottom"/>
            <w:shd w:val="clear" w:color="auto" w:fill="C60C35"/>
          </w:tcPr>
          <w:p>
            <w:pPr>
              <w:spacing w:after="0"/>
              <w:rPr>
                <w:sz w:val="19"/>
                <w:szCs w:val="19"/>
                <w:color w:val="auto"/>
              </w:rPr>
            </w:pPr>
          </w:p>
        </w:tc>
        <w:tc>
          <w:tcPr>
            <w:tcW w:w="1520" w:type="dxa"/>
            <w:vAlign w:val="bottom"/>
            <w:shd w:val="clear" w:color="auto" w:fill="C60C35"/>
          </w:tcPr>
          <w:p>
            <w:pPr>
              <w:spacing w:after="0"/>
              <w:rPr>
                <w:sz w:val="19"/>
                <w:szCs w:val="19"/>
                <w:color w:val="auto"/>
              </w:rPr>
            </w:pPr>
          </w:p>
        </w:tc>
        <w:tc>
          <w:tcPr>
            <w:tcW w:w="1500" w:type="dxa"/>
            <w:vAlign w:val="bottom"/>
            <w:shd w:val="clear" w:color="auto" w:fill="C60C35"/>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60C35"/>
          </w:tcPr>
          <w:p>
            <w:pPr>
              <w:spacing w:after="0"/>
              <w:rPr>
                <w:sz w:val="19"/>
                <w:szCs w:val="19"/>
                <w:color w:val="auto"/>
              </w:rPr>
            </w:pPr>
          </w:p>
        </w:tc>
        <w:tc>
          <w:tcPr>
            <w:tcW w:w="212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Number of</w:t>
            </w:r>
          </w:p>
        </w:tc>
        <w:tc>
          <w:tcPr>
            <w:tcW w:w="1400" w:type="dxa"/>
            <w:vAlign w:val="bottom"/>
            <w:shd w:val="clear" w:color="auto" w:fill="C60C35"/>
          </w:tcPr>
          <w:p>
            <w:pPr>
              <w:spacing w:after="0"/>
              <w:rPr>
                <w:sz w:val="19"/>
                <w:szCs w:val="19"/>
                <w:color w:val="auto"/>
              </w:rPr>
            </w:pPr>
          </w:p>
        </w:tc>
      </w:tr>
      <w:tr>
        <w:trPr>
          <w:trHeight w:val="175"/>
        </w:trPr>
        <w:tc>
          <w:tcPr>
            <w:tcW w:w="3700" w:type="dxa"/>
            <w:vAlign w:val="bottom"/>
            <w:shd w:val="clear" w:color="auto" w:fill="C60C35"/>
          </w:tcPr>
          <w:p>
            <w:pPr>
              <w:spacing w:after="0"/>
              <w:rPr>
                <w:sz w:val="15"/>
                <w:szCs w:val="15"/>
                <w:color w:val="auto"/>
              </w:rPr>
            </w:pPr>
          </w:p>
        </w:tc>
        <w:tc>
          <w:tcPr>
            <w:tcW w:w="15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SARs</w:t>
            </w:r>
          </w:p>
        </w:tc>
        <w:tc>
          <w:tcPr>
            <w:tcW w:w="15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Value Realized</w:t>
            </w:r>
          </w:p>
        </w:tc>
        <w:tc>
          <w:tcPr>
            <w:tcW w:w="100" w:type="dxa"/>
            <w:vAlign w:val="bottom"/>
          </w:tcPr>
          <w:p>
            <w:pPr>
              <w:spacing w:after="0"/>
              <w:rPr>
                <w:sz w:val="15"/>
                <w:szCs w:val="15"/>
                <w:color w:val="auto"/>
              </w:rPr>
            </w:pPr>
          </w:p>
        </w:tc>
        <w:tc>
          <w:tcPr>
            <w:tcW w:w="900" w:type="dxa"/>
            <w:vAlign w:val="bottom"/>
            <w:shd w:val="clear" w:color="auto" w:fill="C60C35"/>
          </w:tcPr>
          <w:p>
            <w:pPr>
              <w:spacing w:after="0"/>
              <w:rPr>
                <w:sz w:val="15"/>
                <w:szCs w:val="15"/>
                <w:color w:val="auto"/>
              </w:rPr>
            </w:pPr>
          </w:p>
        </w:tc>
        <w:tc>
          <w:tcPr>
            <w:tcW w:w="212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Shares Acquired</w:t>
            </w:r>
          </w:p>
        </w:tc>
        <w:tc>
          <w:tcPr>
            <w:tcW w:w="14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Value Realized</w:t>
            </w:r>
          </w:p>
        </w:tc>
      </w:tr>
      <w:tr>
        <w:trPr>
          <w:trHeight w:val="162"/>
        </w:trPr>
        <w:tc>
          <w:tcPr>
            <w:tcW w:w="3700" w:type="dxa"/>
            <w:vAlign w:val="bottom"/>
            <w:shd w:val="clear" w:color="auto" w:fill="C60C35"/>
          </w:tcPr>
          <w:p>
            <w:pPr>
              <w:spacing w:after="0"/>
              <w:rPr>
                <w:sz w:val="14"/>
                <w:szCs w:val="14"/>
                <w:color w:val="auto"/>
              </w:rPr>
            </w:pPr>
          </w:p>
        </w:tc>
        <w:tc>
          <w:tcPr>
            <w:tcW w:w="15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Exercised</w:t>
            </w:r>
          </w:p>
        </w:tc>
        <w:tc>
          <w:tcPr>
            <w:tcW w:w="150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on Exercise</w:t>
            </w:r>
          </w:p>
        </w:tc>
        <w:tc>
          <w:tcPr>
            <w:tcW w:w="100" w:type="dxa"/>
            <w:vAlign w:val="bottom"/>
          </w:tcPr>
          <w:p>
            <w:pPr>
              <w:spacing w:after="0"/>
              <w:rPr>
                <w:sz w:val="14"/>
                <w:szCs w:val="14"/>
                <w:color w:val="auto"/>
              </w:rPr>
            </w:pPr>
          </w:p>
        </w:tc>
        <w:tc>
          <w:tcPr>
            <w:tcW w:w="900" w:type="dxa"/>
            <w:vAlign w:val="bottom"/>
            <w:shd w:val="clear" w:color="auto" w:fill="C60C35"/>
          </w:tcPr>
          <w:p>
            <w:pPr>
              <w:spacing w:after="0"/>
              <w:rPr>
                <w:sz w:val="14"/>
                <w:szCs w:val="14"/>
                <w:color w:val="auto"/>
              </w:rPr>
            </w:pPr>
          </w:p>
        </w:tc>
        <w:tc>
          <w:tcPr>
            <w:tcW w:w="2120" w:type="dxa"/>
            <w:vAlign w:val="bottom"/>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on Vesting</w:t>
            </w:r>
          </w:p>
        </w:tc>
        <w:tc>
          <w:tcPr>
            <w:tcW w:w="14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on Vesting</w:t>
            </w:r>
          </w:p>
        </w:tc>
      </w:tr>
      <w:tr>
        <w:trPr>
          <w:trHeight w:val="246"/>
        </w:trPr>
        <w:tc>
          <w:tcPr>
            <w:tcW w:w="3700" w:type="dxa"/>
            <w:vAlign w:val="bottom"/>
            <w:tcBorders>
              <w:bottom w:val="single" w:sz="8" w:color="C60C35"/>
            </w:tcBorders>
            <w:shd w:val="clear" w:color="auto" w:fill="C60C35"/>
          </w:tcPr>
          <w:p>
            <w:pPr>
              <w:ind w:left="100"/>
              <w:spacing w:after="0"/>
              <w:rPr>
                <w:sz w:val="20"/>
                <w:szCs w:val="20"/>
                <w:color w:val="auto"/>
              </w:rPr>
            </w:pPr>
            <w:r>
              <w:rPr>
                <w:rFonts w:ascii="Arial" w:cs="Arial" w:eastAsia="Arial" w:hAnsi="Arial"/>
                <w:sz w:val="14"/>
                <w:szCs w:val="14"/>
                <w:b w:val="1"/>
                <w:bCs w:val="1"/>
                <w:color w:val="FFFFFF"/>
              </w:rPr>
              <w:t> Name</w:t>
            </w:r>
          </w:p>
        </w:tc>
        <w:tc>
          <w:tcPr>
            <w:tcW w:w="15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50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Pr>
          <w:p>
            <w:pPr>
              <w:spacing w:after="0"/>
              <w:rPr>
                <w:sz w:val="21"/>
                <w:szCs w:val="21"/>
                <w:color w:val="auto"/>
              </w:rPr>
            </w:pPr>
          </w:p>
        </w:tc>
        <w:tc>
          <w:tcPr>
            <w:tcW w:w="900" w:type="dxa"/>
            <w:vAlign w:val="bottom"/>
            <w:tcBorders>
              <w:bottom w:val="single" w:sz="8" w:color="C60C35"/>
            </w:tcBorders>
            <w:shd w:val="clear" w:color="auto" w:fill="C60C35"/>
          </w:tcPr>
          <w:p>
            <w:pPr>
              <w:ind w:left="460"/>
              <w:spacing w:after="0"/>
              <w:rPr>
                <w:sz w:val="20"/>
                <w:szCs w:val="20"/>
                <w:color w:val="auto"/>
              </w:rPr>
            </w:pPr>
            <w:r>
              <w:rPr>
                <w:rFonts w:ascii="Arial" w:cs="Arial" w:eastAsia="Arial" w:hAnsi="Arial"/>
                <w:sz w:val="14"/>
                <w:szCs w:val="14"/>
                <w:b w:val="1"/>
                <w:bCs w:val="1"/>
                <w:color w:val="FFFFFF"/>
              </w:rPr>
              <w:t xml:space="preserve">       </w:t>
            </w:r>
          </w:p>
        </w:tc>
        <w:tc>
          <w:tcPr>
            <w:tcW w:w="2120" w:type="dxa"/>
            <w:vAlign w:val="bottom"/>
            <w:tcBorders>
              <w:bottom w:val="single" w:sz="8" w:color="C60C35"/>
            </w:tcBorders>
            <w:shd w:val="clear" w:color="auto" w:fill="C60C35"/>
          </w:tcPr>
          <w:p>
            <w:pPr>
              <w:jc w:val="right"/>
              <w:ind w:right="188"/>
              <w:spacing w:after="0"/>
              <w:rPr>
                <w:sz w:val="20"/>
                <w:szCs w:val="20"/>
                <w:color w:val="auto"/>
              </w:rPr>
            </w:pPr>
            <w:r>
              <w:rPr>
                <w:rFonts w:ascii="Arial" w:cs="Arial" w:eastAsia="Arial" w:hAnsi="Arial"/>
                <w:sz w:val="14"/>
                <w:szCs w:val="14"/>
                <w:b w:val="1"/>
                <w:bCs w:val="1"/>
                <w:color w:val="FFFFFF"/>
              </w:rPr>
              <w:t>(#)</w:t>
            </w:r>
          </w:p>
        </w:tc>
        <w:tc>
          <w:tcPr>
            <w:tcW w:w="1400" w:type="dxa"/>
            <w:vAlign w:val="bottom"/>
            <w:tcBorders>
              <w:bottom w:val="single" w:sz="8" w:color="C60C35"/>
            </w:tcBorders>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8"/>
                <w:szCs w:val="18"/>
                <w:b w:val="1"/>
                <w:bCs w:val="1"/>
                <w:color w:val="FFFFFF"/>
                <w:vertAlign w:val="superscript"/>
              </w:rPr>
              <w:t>(1)</w:t>
            </w:r>
          </w:p>
        </w:tc>
      </w:tr>
      <w:tr>
        <w:trPr>
          <w:trHeight w:val="208"/>
        </w:trPr>
        <w:tc>
          <w:tcPr>
            <w:tcW w:w="37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spacing w:after="0"/>
              <w:rPr>
                <w:sz w:val="18"/>
                <w:szCs w:val="18"/>
                <w:color w:val="auto"/>
              </w:rPr>
            </w:pPr>
          </w:p>
        </w:tc>
        <w:tc>
          <w:tcPr>
            <w:tcW w:w="900" w:type="dxa"/>
            <w:vAlign w:val="bottom"/>
            <w:shd w:val="clear" w:color="auto" w:fill="F1F2F2"/>
          </w:tcPr>
          <w:p>
            <w:pPr>
              <w:ind w:left="300"/>
              <w:spacing w:after="0"/>
              <w:rPr>
                <w:sz w:val="20"/>
                <w:szCs w:val="20"/>
                <w:color w:val="auto"/>
              </w:rPr>
            </w:pPr>
            <w:r>
              <w:rPr>
                <w:rFonts w:ascii="Arial" w:cs="Arial" w:eastAsia="Arial" w:hAnsi="Arial"/>
                <w:sz w:val="14"/>
                <w:szCs w:val="14"/>
                <w:color w:val="auto"/>
              </w:rPr>
              <w:t>RSU</w:t>
            </w:r>
          </w:p>
        </w:tc>
        <w:tc>
          <w:tcPr>
            <w:tcW w:w="212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5,861</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2,931,233</w:t>
            </w:r>
          </w:p>
        </w:tc>
      </w:tr>
      <w:tr>
        <w:trPr>
          <w:trHeight w:val="231"/>
        </w:trPr>
        <w:tc>
          <w:tcPr>
            <w:tcW w:w="3700" w:type="dxa"/>
            <w:vAlign w:val="bottom"/>
            <w:tcBorders>
              <w:bottom w:val="single" w:sz="8" w:color="F1F2F2"/>
            </w:tcBorders>
            <w:shd w:val="clear" w:color="auto" w:fill="F1F2F2"/>
          </w:tcPr>
          <w:p>
            <w:pPr>
              <w:spacing w:after="0"/>
              <w:rPr>
                <w:sz w:val="20"/>
                <w:szCs w:val="20"/>
                <w:color w:val="auto"/>
              </w:rPr>
            </w:pPr>
          </w:p>
        </w:tc>
        <w:tc>
          <w:tcPr>
            <w:tcW w:w="1520" w:type="dxa"/>
            <w:vAlign w:val="bottom"/>
            <w:tcBorders>
              <w:bottom w:val="single" w:sz="8" w:color="F1F2F2"/>
            </w:tcBorders>
            <w:shd w:val="clear" w:color="auto" w:fill="F1F2F2"/>
          </w:tcPr>
          <w:p>
            <w:pPr>
              <w:spacing w:after="0"/>
              <w:rPr>
                <w:sz w:val="20"/>
                <w:szCs w:val="20"/>
                <w:color w:val="auto"/>
              </w:rPr>
            </w:pPr>
          </w:p>
        </w:tc>
        <w:tc>
          <w:tcPr>
            <w:tcW w:w="1500" w:type="dxa"/>
            <w:vAlign w:val="bottom"/>
            <w:tcBorders>
              <w:bottom w:val="single" w:sz="8" w:color="F1F2F2"/>
            </w:tcBorders>
            <w:shd w:val="clear" w:color="auto" w:fill="F1F2F2"/>
          </w:tcPr>
          <w:p>
            <w:pPr>
              <w:spacing w:after="0"/>
              <w:rPr>
                <w:sz w:val="20"/>
                <w:szCs w:val="20"/>
                <w:color w:val="auto"/>
              </w:rPr>
            </w:pPr>
          </w:p>
        </w:tc>
        <w:tc>
          <w:tcPr>
            <w:tcW w:w="100" w:type="dxa"/>
            <w:vAlign w:val="bottom"/>
            <w:tcBorders>
              <w:bottom w:val="single" w:sz="8" w:color="F1F2F2"/>
            </w:tcBorders>
            <w:shd w:val="clear" w:color="auto" w:fill="F1F2F2"/>
          </w:tcPr>
          <w:p>
            <w:pPr>
              <w:spacing w:after="0"/>
              <w:rPr>
                <w:sz w:val="20"/>
                <w:szCs w:val="20"/>
                <w:color w:val="auto"/>
              </w:rPr>
            </w:pPr>
          </w:p>
        </w:tc>
        <w:tc>
          <w:tcPr>
            <w:tcW w:w="900" w:type="dxa"/>
            <w:vAlign w:val="bottom"/>
            <w:tcBorders>
              <w:bottom w:val="single" w:sz="8" w:color="F1F2F2"/>
            </w:tcBorders>
            <w:shd w:val="clear" w:color="auto" w:fill="F1F2F2"/>
          </w:tcPr>
          <w:p>
            <w:pPr>
              <w:ind w:left="300"/>
              <w:spacing w:after="0"/>
              <w:rPr>
                <w:sz w:val="20"/>
                <w:szCs w:val="20"/>
                <w:color w:val="auto"/>
              </w:rPr>
            </w:pPr>
            <w:r>
              <w:rPr>
                <w:rFonts w:ascii="Arial" w:cs="Arial" w:eastAsia="Arial" w:hAnsi="Arial"/>
                <w:sz w:val="14"/>
                <w:szCs w:val="14"/>
                <w:color w:val="auto"/>
              </w:rPr>
              <w:t>PSU</w:t>
            </w:r>
          </w:p>
        </w:tc>
        <w:tc>
          <w:tcPr>
            <w:tcW w:w="212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19,184</w:t>
            </w:r>
          </w:p>
        </w:tc>
        <w:tc>
          <w:tcPr>
            <w:tcW w:w="14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9,217,480</w:t>
            </w:r>
          </w:p>
        </w:tc>
      </w:tr>
      <w:tr>
        <w:trPr>
          <w:trHeight w:val="208"/>
        </w:trPr>
        <w:tc>
          <w:tcPr>
            <w:tcW w:w="3700" w:type="dxa"/>
            <w:vAlign w:val="bottom"/>
          </w:tcPr>
          <w:p>
            <w:pPr>
              <w:ind w:left="100"/>
              <w:spacing w:after="0"/>
              <w:rPr>
                <w:sz w:val="20"/>
                <w:szCs w:val="20"/>
                <w:color w:val="auto"/>
              </w:rPr>
            </w:pPr>
            <w:r>
              <w:rPr>
                <w:rFonts w:ascii="Arial" w:cs="Arial" w:eastAsia="Arial" w:hAnsi="Arial"/>
                <w:sz w:val="14"/>
                <w:szCs w:val="14"/>
                <w:color w:val="auto"/>
              </w:rPr>
              <w:t>Michael P. Quenzer</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RSU</w:t>
            </w:r>
          </w:p>
        </w:tc>
        <w:tc>
          <w:tcPr>
            <w:tcW w:w="2120" w:type="dxa"/>
            <w:vAlign w:val="bottom"/>
          </w:tcPr>
          <w:p>
            <w:pPr>
              <w:jc w:val="right"/>
              <w:ind w:right="188"/>
              <w:spacing w:after="0"/>
              <w:rPr>
                <w:sz w:val="20"/>
                <w:szCs w:val="20"/>
                <w:color w:val="auto"/>
              </w:rPr>
            </w:pPr>
            <w:r>
              <w:rPr>
                <w:rFonts w:ascii="Arial" w:cs="Arial" w:eastAsia="Arial" w:hAnsi="Arial"/>
                <w:sz w:val="14"/>
                <w:szCs w:val="14"/>
                <w:color w:val="auto"/>
              </w:rPr>
              <w:t>246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123,031</w:t>
            </w:r>
          </w:p>
        </w:tc>
      </w:tr>
      <w:tr>
        <w:trPr>
          <w:trHeight w:val="230"/>
        </w:trPr>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PSU</w:t>
            </w:r>
          </w:p>
        </w:tc>
        <w:tc>
          <w:tcPr>
            <w:tcW w:w="2120" w:type="dxa"/>
            <w:vAlign w:val="bottom"/>
          </w:tcPr>
          <w:p>
            <w:pPr>
              <w:jc w:val="right"/>
              <w:ind w:right="188"/>
              <w:spacing w:after="0"/>
              <w:rPr>
                <w:sz w:val="20"/>
                <w:szCs w:val="20"/>
                <w:color w:val="auto"/>
              </w:rPr>
            </w:pPr>
            <w:r>
              <w:rPr>
                <w:rFonts w:ascii="Arial" w:cs="Arial" w:eastAsia="Arial" w:hAnsi="Arial"/>
                <w:sz w:val="14"/>
                <w:szCs w:val="14"/>
                <w:color w:val="auto"/>
              </w:rPr>
              <w:t>805</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386,784</w:t>
            </w:r>
          </w:p>
        </w:tc>
      </w:tr>
      <w:tr>
        <w:trPr>
          <w:trHeight w:val="22"/>
        </w:trPr>
        <w:tc>
          <w:tcPr>
            <w:tcW w:w="3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8"/>
        </w:trPr>
        <w:tc>
          <w:tcPr>
            <w:tcW w:w="37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Sarah R. Martin</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spacing w:after="0"/>
              <w:rPr>
                <w:sz w:val="18"/>
                <w:szCs w:val="18"/>
                <w:color w:val="auto"/>
              </w:rPr>
            </w:pPr>
          </w:p>
        </w:tc>
        <w:tc>
          <w:tcPr>
            <w:tcW w:w="900" w:type="dxa"/>
            <w:vAlign w:val="bottom"/>
            <w:shd w:val="clear" w:color="auto" w:fill="F1F2F2"/>
          </w:tcPr>
          <w:p>
            <w:pPr>
              <w:ind w:left="300"/>
              <w:spacing w:after="0"/>
              <w:rPr>
                <w:sz w:val="20"/>
                <w:szCs w:val="20"/>
                <w:color w:val="auto"/>
              </w:rPr>
            </w:pPr>
            <w:r>
              <w:rPr>
                <w:rFonts w:ascii="Arial" w:cs="Arial" w:eastAsia="Arial" w:hAnsi="Arial"/>
                <w:sz w:val="14"/>
                <w:szCs w:val="14"/>
                <w:color w:val="auto"/>
              </w:rPr>
              <w:t>RSU</w:t>
            </w:r>
          </w:p>
        </w:tc>
        <w:tc>
          <w:tcPr>
            <w:tcW w:w="212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31"/>
        </w:trPr>
        <w:tc>
          <w:tcPr>
            <w:tcW w:w="3700" w:type="dxa"/>
            <w:vAlign w:val="bottom"/>
            <w:tcBorders>
              <w:bottom w:val="single" w:sz="8" w:color="F1F2F2"/>
            </w:tcBorders>
            <w:shd w:val="clear" w:color="auto" w:fill="F1F2F2"/>
          </w:tcPr>
          <w:p>
            <w:pPr>
              <w:spacing w:after="0"/>
              <w:rPr>
                <w:sz w:val="20"/>
                <w:szCs w:val="20"/>
                <w:color w:val="auto"/>
              </w:rPr>
            </w:pPr>
          </w:p>
        </w:tc>
        <w:tc>
          <w:tcPr>
            <w:tcW w:w="1520" w:type="dxa"/>
            <w:vAlign w:val="bottom"/>
            <w:tcBorders>
              <w:bottom w:val="single" w:sz="8" w:color="F1F2F2"/>
            </w:tcBorders>
            <w:shd w:val="clear" w:color="auto" w:fill="F1F2F2"/>
          </w:tcPr>
          <w:p>
            <w:pPr>
              <w:spacing w:after="0"/>
              <w:rPr>
                <w:sz w:val="20"/>
                <w:szCs w:val="20"/>
                <w:color w:val="auto"/>
              </w:rPr>
            </w:pPr>
          </w:p>
        </w:tc>
        <w:tc>
          <w:tcPr>
            <w:tcW w:w="1500" w:type="dxa"/>
            <w:vAlign w:val="bottom"/>
            <w:tcBorders>
              <w:bottom w:val="single" w:sz="8" w:color="F1F2F2"/>
            </w:tcBorders>
            <w:shd w:val="clear" w:color="auto" w:fill="F1F2F2"/>
          </w:tcPr>
          <w:p>
            <w:pPr>
              <w:spacing w:after="0"/>
              <w:rPr>
                <w:sz w:val="20"/>
                <w:szCs w:val="20"/>
                <w:color w:val="auto"/>
              </w:rPr>
            </w:pPr>
          </w:p>
        </w:tc>
        <w:tc>
          <w:tcPr>
            <w:tcW w:w="100" w:type="dxa"/>
            <w:vAlign w:val="bottom"/>
            <w:tcBorders>
              <w:bottom w:val="single" w:sz="8" w:color="F1F2F2"/>
            </w:tcBorders>
            <w:shd w:val="clear" w:color="auto" w:fill="F1F2F2"/>
          </w:tcPr>
          <w:p>
            <w:pPr>
              <w:spacing w:after="0"/>
              <w:rPr>
                <w:sz w:val="20"/>
                <w:szCs w:val="20"/>
                <w:color w:val="auto"/>
              </w:rPr>
            </w:pPr>
          </w:p>
        </w:tc>
        <w:tc>
          <w:tcPr>
            <w:tcW w:w="900" w:type="dxa"/>
            <w:vAlign w:val="bottom"/>
            <w:tcBorders>
              <w:bottom w:val="single" w:sz="8" w:color="F1F2F2"/>
            </w:tcBorders>
            <w:shd w:val="clear" w:color="auto" w:fill="F1F2F2"/>
          </w:tcPr>
          <w:p>
            <w:pPr>
              <w:ind w:left="300"/>
              <w:spacing w:after="0"/>
              <w:rPr>
                <w:sz w:val="20"/>
                <w:szCs w:val="20"/>
                <w:color w:val="auto"/>
              </w:rPr>
            </w:pPr>
            <w:r>
              <w:rPr>
                <w:rFonts w:ascii="Arial" w:cs="Arial" w:eastAsia="Arial" w:hAnsi="Arial"/>
                <w:sz w:val="14"/>
                <w:szCs w:val="14"/>
                <w:color w:val="auto"/>
              </w:rPr>
              <w:t>PSU</w:t>
            </w:r>
          </w:p>
        </w:tc>
        <w:tc>
          <w:tcPr>
            <w:tcW w:w="2120" w:type="dxa"/>
            <w:vAlign w:val="bottom"/>
            <w:tcBorders>
              <w:bottom w:val="single" w:sz="8" w:color="F1F2F2"/>
            </w:tcBorders>
            <w:shd w:val="clear" w:color="auto" w:fill="F1F2F2"/>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w:t>
            </w:r>
          </w:p>
        </w:tc>
      </w:tr>
      <w:tr>
        <w:trPr>
          <w:trHeight w:val="208"/>
        </w:trPr>
        <w:tc>
          <w:tcPr>
            <w:tcW w:w="3700" w:type="dxa"/>
            <w:vAlign w:val="bottom"/>
          </w:tcPr>
          <w:p>
            <w:pPr>
              <w:ind w:left="100"/>
              <w:spacing w:after="0"/>
              <w:rPr>
                <w:sz w:val="20"/>
                <w:szCs w:val="20"/>
                <w:color w:val="auto"/>
              </w:rPr>
            </w:pPr>
            <w:r>
              <w:rPr>
                <w:rFonts w:ascii="Arial" w:cs="Arial" w:eastAsia="Arial" w:hAnsi="Arial"/>
                <w:sz w:val="14"/>
                <w:szCs w:val="14"/>
                <w:color w:val="auto"/>
              </w:rPr>
              <w:t>Joseph F. Nassab</w:t>
            </w:r>
          </w:p>
        </w:tc>
        <w:tc>
          <w:tcPr>
            <w:tcW w:w="15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RSU</w:t>
            </w:r>
          </w:p>
        </w:tc>
        <w:tc>
          <w:tcPr>
            <w:tcW w:w="2120" w:type="dxa"/>
            <w:vAlign w:val="bottom"/>
          </w:tcPr>
          <w:p>
            <w:pPr>
              <w:jc w:val="right"/>
              <w:ind w:right="188"/>
              <w:spacing w:after="0"/>
              <w:rPr>
                <w:sz w:val="20"/>
                <w:szCs w:val="20"/>
                <w:color w:val="auto"/>
              </w:rPr>
            </w:pPr>
            <w:r>
              <w:rPr>
                <w:rFonts w:ascii="Arial" w:cs="Arial" w:eastAsia="Arial" w:hAnsi="Arial"/>
                <w:sz w:val="14"/>
                <w:szCs w:val="14"/>
                <w:color w:val="auto"/>
              </w:rPr>
              <w:t>2,312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1,306,500</w:t>
            </w:r>
          </w:p>
        </w:tc>
      </w:tr>
      <w:tr>
        <w:trPr>
          <w:trHeight w:val="230"/>
        </w:trPr>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RSU</w:t>
            </w:r>
          </w:p>
        </w:tc>
        <w:tc>
          <w:tcPr>
            <w:tcW w:w="2120" w:type="dxa"/>
            <w:vAlign w:val="bottom"/>
          </w:tcPr>
          <w:p>
            <w:pPr>
              <w:jc w:val="right"/>
              <w:ind w:right="188"/>
              <w:spacing w:after="0"/>
              <w:rPr>
                <w:sz w:val="20"/>
                <w:szCs w:val="20"/>
                <w:color w:val="auto"/>
              </w:rPr>
            </w:pPr>
            <w:r>
              <w:rPr>
                <w:rFonts w:ascii="Arial" w:cs="Arial" w:eastAsia="Arial" w:hAnsi="Arial"/>
                <w:sz w:val="14"/>
                <w:szCs w:val="14"/>
                <w:color w:val="auto"/>
              </w:rPr>
              <w:t>1,114</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557,139</w:t>
            </w:r>
          </w:p>
        </w:tc>
      </w:tr>
      <w:tr>
        <w:trPr>
          <w:trHeight w:val="230"/>
        </w:trPr>
        <w:tc>
          <w:tcPr>
            <w:tcW w:w="3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Arial" w:cs="Arial" w:eastAsia="Arial" w:hAnsi="Arial"/>
                <w:sz w:val="14"/>
                <w:szCs w:val="14"/>
                <w:color w:val="auto"/>
              </w:rPr>
              <w:t>PSU</w:t>
            </w:r>
          </w:p>
        </w:tc>
        <w:tc>
          <w:tcPr>
            <w:tcW w:w="2120" w:type="dxa"/>
            <w:vAlign w:val="bottom"/>
          </w:tcPr>
          <w:p>
            <w:pPr>
              <w:jc w:val="right"/>
              <w:ind w:right="188"/>
              <w:spacing w:after="0"/>
              <w:rPr>
                <w:sz w:val="20"/>
                <w:szCs w:val="20"/>
                <w:color w:val="auto"/>
              </w:rPr>
            </w:pPr>
            <w:r>
              <w:rPr>
                <w:rFonts w:ascii="Arial" w:cs="Arial" w:eastAsia="Arial" w:hAnsi="Arial"/>
                <w:sz w:val="14"/>
                <w:szCs w:val="14"/>
                <w:color w:val="auto"/>
              </w:rPr>
              <w:t>3,645</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1,751,340</w:t>
            </w:r>
          </w:p>
        </w:tc>
      </w:tr>
      <w:tr>
        <w:trPr>
          <w:trHeight w:val="22"/>
        </w:trPr>
        <w:tc>
          <w:tcPr>
            <w:tcW w:w="3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08"/>
        </w:trPr>
        <w:tc>
          <w:tcPr>
            <w:tcW w:w="37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152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1F2F2"/>
          </w:tcPr>
          <w:p>
            <w:pPr>
              <w:spacing w:after="0"/>
              <w:rPr>
                <w:sz w:val="18"/>
                <w:szCs w:val="18"/>
                <w:color w:val="auto"/>
              </w:rPr>
            </w:pPr>
          </w:p>
        </w:tc>
        <w:tc>
          <w:tcPr>
            <w:tcW w:w="900" w:type="dxa"/>
            <w:vAlign w:val="bottom"/>
            <w:shd w:val="clear" w:color="auto" w:fill="F1F2F2"/>
          </w:tcPr>
          <w:p>
            <w:pPr>
              <w:ind w:left="300"/>
              <w:spacing w:after="0"/>
              <w:rPr>
                <w:sz w:val="20"/>
                <w:szCs w:val="20"/>
                <w:color w:val="auto"/>
              </w:rPr>
            </w:pPr>
            <w:r>
              <w:rPr>
                <w:rFonts w:ascii="Arial" w:cs="Arial" w:eastAsia="Arial" w:hAnsi="Arial"/>
                <w:sz w:val="14"/>
                <w:szCs w:val="14"/>
                <w:color w:val="auto"/>
              </w:rPr>
              <w:t>RSU</w:t>
            </w:r>
          </w:p>
        </w:tc>
        <w:tc>
          <w:tcPr>
            <w:tcW w:w="212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1,348</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674,169</w:t>
            </w:r>
          </w:p>
        </w:tc>
      </w:tr>
      <w:tr>
        <w:trPr>
          <w:trHeight w:val="229"/>
        </w:trPr>
        <w:tc>
          <w:tcPr>
            <w:tcW w:w="3700" w:type="dxa"/>
            <w:vAlign w:val="bottom"/>
            <w:shd w:val="clear" w:color="auto" w:fill="F1F2F2"/>
          </w:tcPr>
          <w:p>
            <w:pPr>
              <w:spacing w:after="0"/>
              <w:rPr>
                <w:sz w:val="19"/>
                <w:szCs w:val="19"/>
                <w:color w:val="auto"/>
              </w:rPr>
            </w:pPr>
          </w:p>
        </w:tc>
        <w:tc>
          <w:tcPr>
            <w:tcW w:w="1520" w:type="dxa"/>
            <w:vAlign w:val="bottom"/>
            <w:shd w:val="clear" w:color="auto" w:fill="F1F2F2"/>
          </w:tcPr>
          <w:p>
            <w:pPr>
              <w:spacing w:after="0"/>
              <w:rPr>
                <w:sz w:val="19"/>
                <w:szCs w:val="19"/>
                <w:color w:val="auto"/>
              </w:rPr>
            </w:pPr>
          </w:p>
        </w:tc>
        <w:tc>
          <w:tcPr>
            <w:tcW w:w="1500" w:type="dxa"/>
            <w:vAlign w:val="bottom"/>
            <w:shd w:val="clear" w:color="auto" w:fill="F1F2F2"/>
          </w:tcPr>
          <w:p>
            <w:pPr>
              <w:spacing w:after="0"/>
              <w:rPr>
                <w:sz w:val="19"/>
                <w:szCs w:val="19"/>
                <w:color w:val="auto"/>
              </w:rPr>
            </w:pPr>
          </w:p>
        </w:tc>
        <w:tc>
          <w:tcPr>
            <w:tcW w:w="100" w:type="dxa"/>
            <w:vAlign w:val="bottom"/>
            <w:shd w:val="clear" w:color="auto" w:fill="F1F2F2"/>
          </w:tcPr>
          <w:p>
            <w:pPr>
              <w:spacing w:after="0"/>
              <w:rPr>
                <w:sz w:val="19"/>
                <w:szCs w:val="19"/>
                <w:color w:val="auto"/>
              </w:rPr>
            </w:pPr>
          </w:p>
        </w:tc>
        <w:tc>
          <w:tcPr>
            <w:tcW w:w="900" w:type="dxa"/>
            <w:vAlign w:val="bottom"/>
            <w:shd w:val="clear" w:color="auto" w:fill="F1F2F2"/>
          </w:tcPr>
          <w:p>
            <w:pPr>
              <w:ind w:left="300"/>
              <w:spacing w:after="0"/>
              <w:rPr>
                <w:sz w:val="20"/>
                <w:szCs w:val="20"/>
                <w:color w:val="auto"/>
              </w:rPr>
            </w:pPr>
            <w:r>
              <w:rPr>
                <w:rFonts w:ascii="Arial" w:cs="Arial" w:eastAsia="Arial" w:hAnsi="Arial"/>
                <w:sz w:val="14"/>
                <w:szCs w:val="14"/>
                <w:color w:val="auto"/>
              </w:rPr>
              <w:t>PSU</w:t>
            </w:r>
          </w:p>
        </w:tc>
        <w:tc>
          <w:tcPr>
            <w:tcW w:w="2120" w:type="dxa"/>
            <w:vAlign w:val="bottom"/>
            <w:shd w:val="clear" w:color="auto" w:fill="F1F2F2"/>
          </w:tcPr>
          <w:p>
            <w:pPr>
              <w:jc w:val="right"/>
              <w:ind w:right="188"/>
              <w:spacing w:after="0"/>
              <w:rPr>
                <w:sz w:val="20"/>
                <w:szCs w:val="20"/>
                <w:color w:val="auto"/>
              </w:rPr>
            </w:pPr>
            <w:r>
              <w:rPr>
                <w:rFonts w:ascii="Arial" w:cs="Arial" w:eastAsia="Arial" w:hAnsi="Arial"/>
                <w:sz w:val="14"/>
                <w:szCs w:val="14"/>
                <w:color w:val="auto"/>
              </w:rPr>
              <w:t>4,413</w:t>
            </w:r>
          </w:p>
        </w:tc>
        <w:tc>
          <w:tcPr>
            <w:tcW w:w="140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2,120,347</w:t>
            </w:r>
          </w:p>
        </w:tc>
      </w:tr>
      <w:tr>
        <w:trPr>
          <w:trHeight w:val="22"/>
        </w:trPr>
        <w:tc>
          <w:tcPr>
            <w:tcW w:w="3700" w:type="dxa"/>
            <w:vAlign w:val="bottom"/>
            <w:shd w:val="clear" w:color="auto" w:fill="F1F2F2"/>
          </w:tcPr>
          <w:p>
            <w:pPr>
              <w:spacing w:after="0" w:line="20" w:lineRule="exact"/>
              <w:rPr>
                <w:sz w:val="1"/>
                <w:szCs w:val="1"/>
                <w:color w:val="auto"/>
              </w:rPr>
            </w:pPr>
          </w:p>
        </w:tc>
        <w:tc>
          <w:tcPr>
            <w:tcW w:w="1520" w:type="dxa"/>
            <w:vAlign w:val="bottom"/>
            <w:shd w:val="clear" w:color="auto" w:fill="F1F2F2"/>
          </w:tcPr>
          <w:p>
            <w:pPr>
              <w:spacing w:after="0" w:line="20" w:lineRule="exact"/>
              <w:rPr>
                <w:sz w:val="1"/>
                <w:szCs w:val="1"/>
                <w:color w:val="auto"/>
              </w:rPr>
            </w:pPr>
          </w:p>
        </w:tc>
        <w:tc>
          <w:tcPr>
            <w:tcW w:w="1500" w:type="dxa"/>
            <w:vAlign w:val="bottom"/>
            <w:shd w:val="clear" w:color="auto" w:fill="F1F2F2"/>
          </w:tcPr>
          <w:p>
            <w:pPr>
              <w:spacing w:after="0" w:line="20" w:lineRule="exact"/>
              <w:rPr>
                <w:sz w:val="1"/>
                <w:szCs w:val="1"/>
                <w:color w:val="auto"/>
              </w:rPr>
            </w:pPr>
          </w:p>
        </w:tc>
        <w:tc>
          <w:tcPr>
            <w:tcW w:w="100" w:type="dxa"/>
            <w:vAlign w:val="bottom"/>
            <w:shd w:val="clear" w:color="auto" w:fill="F1F2F2"/>
          </w:tcPr>
          <w:p>
            <w:pPr>
              <w:spacing w:after="0" w:line="20" w:lineRule="exact"/>
              <w:rPr>
                <w:sz w:val="1"/>
                <w:szCs w:val="1"/>
                <w:color w:val="auto"/>
              </w:rPr>
            </w:pPr>
          </w:p>
        </w:tc>
        <w:tc>
          <w:tcPr>
            <w:tcW w:w="900" w:type="dxa"/>
            <w:vAlign w:val="bottom"/>
            <w:shd w:val="clear" w:color="auto" w:fill="F1F2F2"/>
          </w:tcPr>
          <w:p>
            <w:pPr>
              <w:spacing w:after="0" w:line="20" w:lineRule="exact"/>
              <w:rPr>
                <w:sz w:val="1"/>
                <w:szCs w:val="1"/>
                <w:color w:val="auto"/>
              </w:rPr>
            </w:pPr>
          </w:p>
        </w:tc>
        <w:tc>
          <w:tcPr>
            <w:tcW w:w="2120" w:type="dxa"/>
            <w:vAlign w:val="bottom"/>
            <w:shd w:val="clear" w:color="auto" w:fill="F1F2F2"/>
          </w:tcPr>
          <w:p>
            <w:pPr>
              <w:spacing w:after="0" w:line="20" w:lineRule="exact"/>
              <w:rPr>
                <w:sz w:val="1"/>
                <w:szCs w:val="1"/>
                <w:color w:val="auto"/>
              </w:rPr>
            </w:pPr>
          </w:p>
        </w:tc>
        <w:tc>
          <w:tcPr>
            <w:tcW w:w="1400" w:type="dxa"/>
            <w:vAlign w:val="bottom"/>
            <w:shd w:val="clear" w:color="auto" w:fill="F1F2F2"/>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-2116455</wp:posOffset>
            </wp:positionV>
            <wp:extent cx="46977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17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The dollar amounts shown for RSUs and PSUs are based on the average of the high and low NYSE trading prices of our common stock on the day of distribution.</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2"/>
          <w:szCs w:val="22"/>
          <w:b w:val="1"/>
          <w:bCs w:val="1"/>
          <w:color w:val="C60C35"/>
        </w:rPr>
        <w:t>Retirement Plans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Qualified Retirement Plans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Frozen Consolidated Pension and Profit Sharing Retirement Plans</w:t>
      </w:r>
    </w:p>
    <w:p>
      <w:pPr>
        <w:spacing w:after="0" w:line="102"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Effective January 1, 2009, the Company’s Consolidated Pension Plan and Profit Sharing Retirement Plan were frozen. As of that date, benefits under the frozen Consolidated Pension Plan stopped increasing with additional service and compensation, and additional contributions to the Profit Sharing Plan were discontinued.</w:t>
      </w:r>
    </w:p>
    <w:p>
      <w:pPr>
        <w:spacing w:after="0" w:line="74" w:lineRule="exact"/>
        <w:rPr>
          <w:sz w:val="20"/>
          <w:szCs w:val="20"/>
          <w:color w:val="auto"/>
        </w:rPr>
      </w:pPr>
    </w:p>
    <w:p>
      <w:pPr>
        <w:ind w:right="140" w:firstLine="324"/>
        <w:spacing w:after="0" w:line="239" w:lineRule="auto"/>
        <w:rPr>
          <w:sz w:val="20"/>
          <w:szCs w:val="20"/>
          <w:color w:val="auto"/>
        </w:rPr>
      </w:pPr>
      <w:r>
        <w:rPr>
          <w:rFonts w:ascii="Arial" w:cs="Arial" w:eastAsia="Arial" w:hAnsi="Arial"/>
          <w:sz w:val="18"/>
          <w:szCs w:val="18"/>
          <w:color w:val="auto"/>
        </w:rPr>
        <w:t>The monthly target benefit under the frozen Consolidated Pension Plan is based on 1.0% of final average annual pay, plus 0.6% of final average annual pay above Social Security covered compensation, multiplied by the number of years of credited service (not to exceed 30 years). The target benefit is reduced by the value of the participant’s defined contribution profit sharing account under the frozen Profit Sharing Plan, with the difference, if any, provided by the frozen Consolidated Pension Plan. Participants vested in their frozen Consolidated Pension Plan accrued benefits after five years of service and may commence unreduced benefits at age 65 (normal retirement age) or actuarially reduced benefits at younger ages, if age and service requirements are met (generally the attainment of age 62 and 10 years of service or if age plus years of service total 80). Benefits are generally paid in the form of an annuity. We do not grant extra years of service under the frozen Consolidated Pension Plan. Participants in the frozen Profit Sharing Plan are fully vested after six years of service and the Company directs the investment funds. Distributions may occur at separation from service and are eligible for roll-over into another qualified retirement plan.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401(k) Salaried Retirement Plan</w:t>
      </w:r>
    </w:p>
    <w:p>
      <w:pPr>
        <w:spacing w:after="0" w:line="102" w:lineRule="exact"/>
        <w:rPr>
          <w:sz w:val="20"/>
          <w:szCs w:val="20"/>
          <w:color w:val="auto"/>
        </w:rPr>
      </w:pPr>
    </w:p>
    <w:p>
      <w:pPr>
        <w:ind w:right="160" w:firstLine="324"/>
        <w:spacing w:after="0" w:line="247" w:lineRule="auto"/>
        <w:rPr>
          <w:sz w:val="20"/>
          <w:szCs w:val="20"/>
          <w:color w:val="auto"/>
        </w:rPr>
      </w:pPr>
      <w:r>
        <w:rPr>
          <w:rFonts w:ascii="Arial" w:cs="Arial" w:eastAsia="Arial" w:hAnsi="Arial"/>
          <w:sz w:val="18"/>
          <w:szCs w:val="18"/>
          <w:color w:val="auto"/>
        </w:rPr>
        <w:t>Salaried employees are eligible to participate in this plan, and contributions can be made on a pre-tax or Roth post-tax basis, subject to limitations for qualified plans under the Code. Participants can contribute up to 75% of their eligible earnings and receive a Company match of 50% on up to 6% of their eligible pay. In addition, all participants (after completing one year of service) receive a fully vested base contribution equal to 3% of eligible pay. The match vests after the participant completes two years of service.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Nonqualified Retirement Plans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Defined Contribution Supplemental Restoration Retirement Plan</w:t>
      </w:r>
    </w:p>
    <w:p>
      <w:pPr>
        <w:spacing w:after="0" w:line="102" w:lineRule="exact"/>
        <w:rPr>
          <w:sz w:val="20"/>
          <w:szCs w:val="20"/>
          <w:color w:val="auto"/>
        </w:rPr>
      </w:pPr>
    </w:p>
    <w:p>
      <w:pPr>
        <w:ind w:right="40" w:firstLine="324"/>
        <w:spacing w:after="0" w:line="242" w:lineRule="auto"/>
        <w:rPr>
          <w:sz w:val="20"/>
          <w:szCs w:val="20"/>
          <w:color w:val="auto"/>
        </w:rPr>
      </w:pPr>
      <w:r>
        <w:rPr>
          <w:rFonts w:ascii="Arial" w:cs="Arial" w:eastAsia="Arial" w:hAnsi="Arial"/>
          <w:sz w:val="18"/>
          <w:szCs w:val="18"/>
          <w:color w:val="auto"/>
        </w:rPr>
        <w:t>New executive officers on or after January 1, 2019, are eligible for the Supplemental Restoration Retirement Plan, a nonqualified defined contribution plan that provides market-competitive retirement benefits by providing contributions that could not otherwise occur due to compensation limits under the Code. Participants receive 6% of eligible compensation, as defined under the qualified 401(k) Plan, that exceeds compensation limits under the Code for the applicable year. Eligible employer contributions are immediately vested and pay out following termination. Contributions are invested, at the Participant’s election, in indices or broad-based funds similar to those in the Company’s qualified 401(k)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Closed Defined Benefit Supplemental Retirement Plan</w:t>
      </w:r>
    </w:p>
    <w:p>
      <w:pPr>
        <w:spacing w:after="0" w:line="102"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In 2018, the Committee closed the defined benefit Supplemental Retirement Plan to new participants and approved the defined contribution Supplemental Restoration Retirement Plan for individuals who become eligible executive officers on or after January 1, 2019. The Committee made these changes to better align the Company’s nonqualified retirement benefit with Market practices.</w:t>
      </w:r>
    </w:p>
    <w:p>
      <w:pPr>
        <w:spacing w:after="0" w:line="61" w:lineRule="exact"/>
        <w:rPr>
          <w:sz w:val="20"/>
          <w:szCs w:val="20"/>
          <w:color w:val="auto"/>
        </w:rPr>
      </w:pPr>
    </w:p>
    <w:p>
      <w:pPr>
        <w:ind w:right="60" w:firstLine="324"/>
        <w:spacing w:after="0" w:line="241" w:lineRule="auto"/>
        <w:rPr>
          <w:sz w:val="20"/>
          <w:szCs w:val="20"/>
          <w:color w:val="auto"/>
        </w:rPr>
      </w:pPr>
      <w:r>
        <w:rPr>
          <w:rFonts w:ascii="Arial" w:cs="Arial" w:eastAsia="Arial" w:hAnsi="Arial"/>
          <w:sz w:val="18"/>
          <w:szCs w:val="18"/>
          <w:color w:val="auto"/>
        </w:rPr>
        <w:t>The purpose of our closed Supplemental Retirement Plan is to provide market-competitive executive level retirement benefit opportunities. It permits income above Code limitations to be considered in determining final average annual pay, doubles the rate of benefit accrual available under the frozen Consolidated Pension Plan (2.0% of final average annual pay, plus 1.2% of final average annual pay above Social Security covered compensation), limits credited service to 15 years, generally permits early retirement on more favorable terms than the frozen Consolidated Pension Plan (for example, unreduced benefits at age 62 with 10 years of service or unreduced benefits at age 60 if age plus years of service total 80), and pays benefits in the form of a lump-sum. Any benefits provided under the Supplemental Retirement Plan are reduced by the benefits payable under our Company’s frozen Consolidated Pension Plan (as if such plan had not been frozen), frozen Profit Sharing Plan, and frozen Profit Sharing Restoration Plan. Participants become vested in their Supplemental Retirement Plan benefit after five years of service.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Frozen Profit-Sharing Restoration Plan</w:t>
      </w:r>
    </w:p>
    <w:p>
      <w:pPr>
        <w:spacing w:after="0" w:line="102" w:lineRule="exact"/>
        <w:rPr>
          <w:sz w:val="20"/>
          <w:szCs w:val="20"/>
          <w:color w:val="auto"/>
        </w:rPr>
      </w:pPr>
    </w:p>
    <w:p>
      <w:pPr>
        <w:ind w:firstLine="324"/>
        <w:spacing w:after="0" w:line="247" w:lineRule="auto"/>
        <w:rPr>
          <w:sz w:val="20"/>
          <w:szCs w:val="20"/>
          <w:color w:val="auto"/>
        </w:rPr>
      </w:pPr>
      <w:r>
        <w:rPr>
          <w:rFonts w:ascii="Arial" w:cs="Arial" w:eastAsia="Arial" w:hAnsi="Arial"/>
          <w:sz w:val="18"/>
          <w:szCs w:val="18"/>
          <w:color w:val="auto"/>
        </w:rPr>
        <w:t>The Company froze the Profit Sharing Restoration Plan and discontinued contributions effective January 1, 2009. Distributions may occur at separation from service and may be paid as a lump-sum or in equal annual installments over either a five- or ten-year period. We direct the investment funds for the frozen Profit Sharing Restoration Plan, which mirror the investments and returns under the frozen Profit Sharing Retirement Plan. The weighted average annual rate of return for the calendar year ended December 31, 2025, was 15.8%.</w:t>
      </w:r>
    </w:p>
    <w:p>
      <w:pPr>
        <w:spacing w:after="0" w:line="34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C60C35"/>
        </w:rPr>
        <w:t>2025 Pension Benefits</w:t>
      </w:r>
    </w:p>
    <w:p>
      <w:pPr>
        <w:spacing w:after="0" w:line="54"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following table provides information regarding the number of years of service credited to each NEO, the present value of accumulated benefits payable to each NEO under our frozen Consolidated Pension Plan and our Supplemental Retirement Plan as of December 31, 2025, and payments made to each NEO in 2025 under such plans.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00" w:type="dxa"/>
            <w:vAlign w:val="bottom"/>
            <w:shd w:val="clear" w:color="auto" w:fill="C60C35"/>
          </w:tcPr>
          <w:p>
            <w:pPr>
              <w:spacing w:after="0"/>
              <w:rPr>
                <w:sz w:val="16"/>
                <w:szCs w:val="16"/>
                <w:color w:val="auto"/>
              </w:rPr>
            </w:pPr>
          </w:p>
        </w:tc>
        <w:tc>
          <w:tcPr>
            <w:tcW w:w="3140" w:type="dxa"/>
            <w:vAlign w:val="bottom"/>
            <w:shd w:val="clear" w:color="auto" w:fill="C60C35"/>
          </w:tcPr>
          <w:p>
            <w:pPr>
              <w:spacing w:after="0"/>
              <w:rPr>
                <w:sz w:val="16"/>
                <w:szCs w:val="16"/>
                <w:color w:val="auto"/>
              </w:rPr>
            </w:pPr>
          </w:p>
        </w:tc>
        <w:tc>
          <w:tcPr>
            <w:tcW w:w="1820" w:type="dxa"/>
            <w:vAlign w:val="bottom"/>
            <w:shd w:val="clear" w:color="auto" w:fill="C60C35"/>
          </w:tcPr>
          <w:p>
            <w:pPr>
              <w:jc w:val="right"/>
              <w:ind w:right="148"/>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C60C35"/>
          </w:tcPr>
          <w:p>
            <w:pPr>
              <w:jc w:val="right"/>
              <w:ind w:right="210"/>
              <w:spacing w:after="0"/>
              <w:rPr>
                <w:sz w:val="20"/>
                <w:szCs w:val="20"/>
                <w:color w:val="auto"/>
              </w:rPr>
            </w:pPr>
            <w:r>
              <w:rPr>
                <w:rFonts w:ascii="Arial" w:cs="Arial" w:eastAsia="Arial" w:hAnsi="Arial"/>
                <w:sz w:val="14"/>
                <w:szCs w:val="14"/>
                <w:b w:val="1"/>
                <w:bCs w:val="1"/>
                <w:color w:val="FFFFFF"/>
              </w:rPr>
              <w:t>Present Value of</w:t>
            </w:r>
          </w:p>
        </w:tc>
        <w:tc>
          <w:tcPr>
            <w:tcW w:w="124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Payments</w:t>
            </w:r>
          </w:p>
        </w:tc>
        <w:tc>
          <w:tcPr>
            <w:tcW w:w="0" w:type="dxa"/>
            <w:vAlign w:val="bottom"/>
          </w:tcPr>
          <w:p>
            <w:pPr>
              <w:spacing w:after="0"/>
              <w:rPr>
                <w:sz w:val="1"/>
                <w:szCs w:val="1"/>
                <w:color w:val="auto"/>
              </w:rPr>
            </w:pPr>
          </w:p>
        </w:tc>
      </w:tr>
      <w:tr>
        <w:trPr>
          <w:trHeight w:val="176"/>
        </w:trPr>
        <w:tc>
          <w:tcPr>
            <w:tcW w:w="3400" w:type="dxa"/>
            <w:vAlign w:val="bottom"/>
            <w:shd w:val="clear" w:color="auto" w:fill="C60C35"/>
          </w:tcPr>
          <w:p>
            <w:pPr>
              <w:spacing w:after="0"/>
              <w:rPr>
                <w:sz w:val="15"/>
                <w:szCs w:val="15"/>
                <w:color w:val="auto"/>
              </w:rPr>
            </w:pPr>
          </w:p>
        </w:tc>
        <w:tc>
          <w:tcPr>
            <w:tcW w:w="3140" w:type="dxa"/>
            <w:vAlign w:val="bottom"/>
            <w:shd w:val="clear" w:color="auto" w:fill="C60C35"/>
          </w:tcPr>
          <w:p>
            <w:pPr>
              <w:spacing w:after="0"/>
              <w:rPr>
                <w:sz w:val="15"/>
                <w:szCs w:val="15"/>
                <w:color w:val="auto"/>
              </w:rPr>
            </w:pPr>
          </w:p>
        </w:tc>
        <w:tc>
          <w:tcPr>
            <w:tcW w:w="1820" w:type="dxa"/>
            <w:vAlign w:val="bottom"/>
            <w:shd w:val="clear" w:color="auto" w:fill="C60C35"/>
          </w:tcPr>
          <w:p>
            <w:pPr>
              <w:jc w:val="right"/>
              <w:ind w:right="148"/>
              <w:spacing w:after="0"/>
              <w:rPr>
                <w:sz w:val="20"/>
                <w:szCs w:val="20"/>
                <w:color w:val="auto"/>
              </w:rPr>
            </w:pPr>
            <w:r>
              <w:rPr>
                <w:rFonts w:ascii="Arial" w:cs="Arial" w:eastAsia="Arial" w:hAnsi="Arial"/>
                <w:sz w:val="14"/>
                <w:szCs w:val="14"/>
                <w:b w:val="1"/>
                <w:bCs w:val="1"/>
                <w:color w:val="FFFFFF"/>
              </w:rPr>
              <w:t>Years Credited</w:t>
            </w:r>
          </w:p>
        </w:tc>
        <w:tc>
          <w:tcPr>
            <w:tcW w:w="1640" w:type="dxa"/>
            <w:vAlign w:val="bottom"/>
            <w:shd w:val="clear" w:color="auto" w:fill="C60C35"/>
          </w:tcPr>
          <w:p>
            <w:pPr>
              <w:jc w:val="right"/>
              <w:ind w:right="210"/>
              <w:spacing w:after="0"/>
              <w:rPr>
                <w:sz w:val="20"/>
                <w:szCs w:val="20"/>
                <w:color w:val="auto"/>
              </w:rPr>
            </w:pPr>
            <w:r>
              <w:rPr>
                <w:rFonts w:ascii="Arial" w:cs="Arial" w:eastAsia="Arial" w:hAnsi="Arial"/>
                <w:sz w:val="14"/>
                <w:szCs w:val="14"/>
                <w:b w:val="1"/>
                <w:bCs w:val="1"/>
                <w:color w:val="FFFFFF"/>
              </w:rPr>
              <w:t>Accumulated</w:t>
            </w:r>
          </w:p>
        </w:tc>
        <w:tc>
          <w:tcPr>
            <w:tcW w:w="124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During Last</w:t>
            </w:r>
          </w:p>
        </w:tc>
        <w:tc>
          <w:tcPr>
            <w:tcW w:w="0" w:type="dxa"/>
            <w:vAlign w:val="bottom"/>
          </w:tcPr>
          <w:p>
            <w:pPr>
              <w:spacing w:after="0"/>
              <w:rPr>
                <w:sz w:val="1"/>
                <w:szCs w:val="1"/>
                <w:color w:val="auto"/>
              </w:rPr>
            </w:pPr>
          </w:p>
        </w:tc>
      </w:tr>
      <w:tr>
        <w:trPr>
          <w:trHeight w:val="173"/>
        </w:trPr>
        <w:tc>
          <w:tcPr>
            <w:tcW w:w="3400" w:type="dxa"/>
            <w:vAlign w:val="bottom"/>
            <w:vMerge w:val="restart"/>
            <w:shd w:val="clear" w:color="auto" w:fill="C60C35"/>
          </w:tcPr>
          <w:p>
            <w:pPr>
              <w:ind w:left="100"/>
              <w:spacing w:after="0"/>
              <w:rPr>
                <w:sz w:val="20"/>
                <w:szCs w:val="20"/>
                <w:color w:val="auto"/>
              </w:rPr>
            </w:pPr>
            <w:r>
              <w:rPr>
                <w:rFonts w:ascii="Arial" w:cs="Arial" w:eastAsia="Arial" w:hAnsi="Arial"/>
                <w:sz w:val="14"/>
                <w:szCs w:val="14"/>
                <w:b w:val="1"/>
                <w:bCs w:val="1"/>
                <w:color w:val="FFFFFF"/>
              </w:rPr>
              <w:t> Name</w:t>
            </w:r>
          </w:p>
        </w:tc>
        <w:tc>
          <w:tcPr>
            <w:tcW w:w="3140" w:type="dxa"/>
            <w:vAlign w:val="bottom"/>
            <w:vMerge w:val="restart"/>
            <w:shd w:val="clear" w:color="auto" w:fill="C60C35"/>
          </w:tcPr>
          <w:p>
            <w:pPr>
              <w:ind w:left="20"/>
              <w:spacing w:after="0"/>
              <w:rPr>
                <w:sz w:val="20"/>
                <w:szCs w:val="20"/>
                <w:color w:val="auto"/>
              </w:rPr>
            </w:pPr>
            <w:r>
              <w:rPr>
                <w:rFonts w:ascii="Arial" w:cs="Arial" w:eastAsia="Arial" w:hAnsi="Arial"/>
                <w:sz w:val="14"/>
                <w:szCs w:val="14"/>
                <w:b w:val="1"/>
                <w:bCs w:val="1"/>
                <w:color w:val="FFFFFF"/>
              </w:rPr>
              <w:t>Plan Name</w:t>
            </w:r>
          </w:p>
        </w:tc>
        <w:tc>
          <w:tcPr>
            <w:tcW w:w="1820" w:type="dxa"/>
            <w:vAlign w:val="bottom"/>
            <w:shd w:val="clear" w:color="auto" w:fill="C60C35"/>
          </w:tcPr>
          <w:p>
            <w:pPr>
              <w:jc w:val="right"/>
              <w:ind w:right="148"/>
              <w:spacing w:after="0"/>
              <w:rPr>
                <w:sz w:val="20"/>
                <w:szCs w:val="20"/>
                <w:color w:val="auto"/>
              </w:rPr>
            </w:pPr>
            <w:r>
              <w:rPr>
                <w:rFonts w:ascii="Arial" w:cs="Arial" w:eastAsia="Arial" w:hAnsi="Arial"/>
                <w:sz w:val="14"/>
                <w:szCs w:val="14"/>
                <w:b w:val="1"/>
                <w:bCs w:val="1"/>
                <w:color w:val="FFFFFF"/>
              </w:rPr>
              <w:t>Service</w:t>
            </w:r>
          </w:p>
        </w:tc>
        <w:tc>
          <w:tcPr>
            <w:tcW w:w="1640" w:type="dxa"/>
            <w:vAlign w:val="bottom"/>
            <w:shd w:val="clear" w:color="auto" w:fill="C60C35"/>
          </w:tcPr>
          <w:p>
            <w:pPr>
              <w:jc w:val="right"/>
              <w:ind w:right="210"/>
              <w:spacing w:after="0"/>
              <w:rPr>
                <w:sz w:val="20"/>
                <w:szCs w:val="20"/>
                <w:color w:val="auto"/>
              </w:rPr>
            </w:pPr>
            <w:r>
              <w:rPr>
                <w:rFonts w:ascii="Arial" w:cs="Arial" w:eastAsia="Arial" w:hAnsi="Arial"/>
                <w:sz w:val="14"/>
                <w:szCs w:val="14"/>
                <w:b w:val="1"/>
                <w:bCs w:val="1"/>
                <w:color w:val="FFFFFF"/>
              </w:rPr>
              <w:t>Benefit</w:t>
            </w:r>
          </w:p>
        </w:tc>
        <w:tc>
          <w:tcPr>
            <w:tcW w:w="124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Fiscal Year</w:t>
            </w:r>
          </w:p>
        </w:tc>
        <w:tc>
          <w:tcPr>
            <w:tcW w:w="0" w:type="dxa"/>
            <w:vAlign w:val="bottom"/>
          </w:tcPr>
          <w:p>
            <w:pPr>
              <w:spacing w:after="0"/>
              <w:rPr>
                <w:sz w:val="1"/>
                <w:szCs w:val="1"/>
                <w:color w:val="auto"/>
              </w:rPr>
            </w:pPr>
          </w:p>
        </w:tc>
      </w:tr>
      <w:tr>
        <w:trPr>
          <w:trHeight w:val="235"/>
        </w:trPr>
        <w:tc>
          <w:tcPr>
            <w:tcW w:w="3400" w:type="dxa"/>
            <w:vAlign w:val="bottom"/>
            <w:tcBorders>
              <w:bottom w:val="single" w:sz="8" w:color="C60C35"/>
            </w:tcBorders>
            <w:vMerge w:val="continue"/>
            <w:shd w:val="clear" w:color="auto" w:fill="C60C35"/>
          </w:tcPr>
          <w:p>
            <w:pPr>
              <w:spacing w:after="0"/>
              <w:rPr>
                <w:sz w:val="20"/>
                <w:szCs w:val="20"/>
                <w:color w:val="auto"/>
              </w:rPr>
            </w:pPr>
          </w:p>
        </w:tc>
        <w:tc>
          <w:tcPr>
            <w:tcW w:w="3140" w:type="dxa"/>
            <w:vAlign w:val="bottom"/>
            <w:tcBorders>
              <w:bottom w:val="single" w:sz="8" w:color="C60C35"/>
            </w:tcBorders>
            <w:vMerge w:val="continue"/>
            <w:shd w:val="clear" w:color="auto" w:fill="C60C35"/>
          </w:tcPr>
          <w:p>
            <w:pPr>
              <w:spacing w:after="0"/>
              <w:rPr>
                <w:sz w:val="20"/>
                <w:szCs w:val="20"/>
                <w:color w:val="auto"/>
              </w:rPr>
            </w:pPr>
          </w:p>
        </w:tc>
        <w:tc>
          <w:tcPr>
            <w:tcW w:w="1820" w:type="dxa"/>
            <w:vAlign w:val="bottom"/>
            <w:tcBorders>
              <w:bottom w:val="single" w:sz="8" w:color="C60C35"/>
            </w:tcBorders>
            <w:shd w:val="clear" w:color="auto" w:fill="C60C35"/>
          </w:tcPr>
          <w:p>
            <w:pPr>
              <w:jc w:val="right"/>
              <w:ind w:right="148"/>
              <w:spacing w:after="0"/>
              <w:rPr>
                <w:sz w:val="20"/>
                <w:szCs w:val="20"/>
                <w:color w:val="auto"/>
              </w:rPr>
            </w:pPr>
            <w:r>
              <w:rPr>
                <w:rFonts w:ascii="Arial" w:cs="Arial" w:eastAsia="Arial" w:hAnsi="Arial"/>
                <w:sz w:val="14"/>
                <w:szCs w:val="14"/>
                <w:b w:val="1"/>
                <w:bCs w:val="1"/>
                <w:color w:val="FFFFFF"/>
              </w:rPr>
              <w:t>(#)</w:t>
            </w:r>
          </w:p>
        </w:tc>
        <w:tc>
          <w:tcPr>
            <w:tcW w:w="1640" w:type="dxa"/>
            <w:vAlign w:val="bottom"/>
            <w:tcBorders>
              <w:bottom w:val="single" w:sz="8" w:color="C60C35"/>
            </w:tcBorders>
            <w:shd w:val="clear" w:color="auto" w:fill="C60C35"/>
          </w:tcPr>
          <w:p>
            <w:pPr>
              <w:jc w:val="right"/>
              <w:ind w:right="210"/>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1240" w:type="dxa"/>
            <w:vAlign w:val="bottom"/>
            <w:tcBorders>
              <w:bottom w:val="single" w:sz="8" w:color="C60C35"/>
            </w:tcBorders>
            <w:shd w:val="clear" w:color="auto" w:fill="C60C35"/>
          </w:tcPr>
          <w:p>
            <w:pPr>
              <w:ind w:left="920"/>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29"/>
        </w:trPr>
        <w:tc>
          <w:tcPr>
            <w:tcW w:w="34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Alok Maskara</w:t>
            </w:r>
            <w:r>
              <w:rPr>
                <w:rFonts w:ascii="Arial" w:cs="Arial" w:eastAsia="Arial" w:hAnsi="Arial"/>
                <w:sz w:val="18"/>
                <w:szCs w:val="18"/>
                <w:color w:val="auto"/>
                <w:vertAlign w:val="superscript"/>
              </w:rPr>
              <w:t>(2)</w:t>
            </w:r>
          </w:p>
        </w:tc>
        <w:tc>
          <w:tcPr>
            <w:tcW w:w="314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shd w:val="clear" w:color="auto" w:fill="F1F2F2"/>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F1F2F2"/>
            </w:tcBorders>
            <w:shd w:val="clear" w:color="auto" w:fill="F1F2F2"/>
          </w:tcPr>
          <w:p>
            <w:pPr>
              <w:spacing w:after="0"/>
              <w:rPr>
                <w:sz w:val="18"/>
                <w:szCs w:val="18"/>
                <w:color w:val="auto"/>
              </w:rPr>
            </w:pPr>
          </w:p>
        </w:tc>
        <w:tc>
          <w:tcPr>
            <w:tcW w:w="314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Borders>
              <w:bottom w:val="single" w:sz="8" w:color="F1F2F2"/>
            </w:tcBorders>
            <w:shd w:val="clear" w:color="auto" w:fill="F1F2F2"/>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F1F2F2"/>
            </w:tcBorders>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400" w:type="dxa"/>
            <w:vAlign w:val="bottom"/>
          </w:tcPr>
          <w:p>
            <w:pPr>
              <w:ind w:left="100"/>
              <w:spacing w:after="0"/>
              <w:rPr>
                <w:sz w:val="20"/>
                <w:szCs w:val="20"/>
                <w:color w:val="auto"/>
              </w:rPr>
            </w:pPr>
            <w:r>
              <w:rPr>
                <w:rFonts w:ascii="Arial" w:cs="Arial" w:eastAsia="Arial" w:hAnsi="Arial"/>
                <w:sz w:val="14"/>
                <w:szCs w:val="14"/>
                <w:color w:val="auto"/>
              </w:rPr>
              <w:t>Michael P. Quenzer</w:t>
            </w:r>
            <w:r>
              <w:rPr>
                <w:rFonts w:ascii="Arial" w:cs="Arial" w:eastAsia="Arial" w:hAnsi="Arial"/>
                <w:sz w:val="18"/>
                <w:szCs w:val="18"/>
                <w:color w:val="auto"/>
                <w:vertAlign w:val="superscript"/>
              </w:rPr>
              <w:t>(2)</w:t>
            </w:r>
          </w:p>
        </w:tc>
        <w:tc>
          <w:tcPr>
            <w:tcW w:w="3140" w:type="dxa"/>
            <w:vAlign w:val="bottom"/>
          </w:tcPr>
          <w:p>
            <w:pPr>
              <w:ind w:left="20"/>
              <w:spacing w:after="0"/>
              <w:rPr>
                <w:sz w:val="20"/>
                <w:szCs w:val="20"/>
                <w:color w:val="auto"/>
              </w:rPr>
            </w:pPr>
            <w:r>
              <w:rPr>
                <w:rFonts w:ascii="Arial" w:cs="Arial" w:eastAsia="Arial" w:hAnsi="Arial"/>
                <w:sz w:val="14"/>
                <w:szCs w:val="14"/>
                <w:color w:val="auto"/>
              </w:rPr>
              <w:t>Consolidated Pension Plan (Frozen)</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auto"/>
              </w:rPr>
              <w:t>Supplemental Retirement Plan (Closed)</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Sarah R. Martin</w:t>
            </w:r>
            <w:r>
              <w:rPr>
                <w:rFonts w:ascii="Arial" w:cs="Arial" w:eastAsia="Arial" w:hAnsi="Arial"/>
                <w:sz w:val="18"/>
                <w:szCs w:val="18"/>
                <w:color w:val="auto"/>
                <w:vertAlign w:val="superscript"/>
              </w:rPr>
              <w:t>(2)</w:t>
            </w:r>
          </w:p>
        </w:tc>
        <w:tc>
          <w:tcPr>
            <w:tcW w:w="314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shd w:val="clear" w:color="auto" w:fill="F1F2F2"/>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F1F2F2"/>
            </w:tcBorders>
            <w:shd w:val="clear" w:color="auto" w:fill="F1F2F2"/>
          </w:tcPr>
          <w:p>
            <w:pPr>
              <w:spacing w:after="0"/>
              <w:rPr>
                <w:sz w:val="18"/>
                <w:szCs w:val="18"/>
                <w:color w:val="auto"/>
              </w:rPr>
            </w:pPr>
          </w:p>
        </w:tc>
        <w:tc>
          <w:tcPr>
            <w:tcW w:w="314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20" w:type="dxa"/>
            <w:vAlign w:val="bottom"/>
            <w:tcBorders>
              <w:bottom w:val="single" w:sz="8" w:color="F1F2F2"/>
            </w:tcBorders>
            <w:shd w:val="clear" w:color="auto" w:fill="F1F2F2"/>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Borders>
              <w:bottom w:val="single" w:sz="8" w:color="F1F2F2"/>
            </w:tcBorders>
            <w:shd w:val="clear" w:color="auto" w:fill="F1F2F2"/>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Borders>
              <w:bottom w:val="single" w:sz="8" w:color="F1F2F2"/>
            </w:tcBorders>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7"/>
        </w:trPr>
        <w:tc>
          <w:tcPr>
            <w:tcW w:w="3400" w:type="dxa"/>
            <w:vAlign w:val="bottom"/>
          </w:tcPr>
          <w:p>
            <w:pPr>
              <w:ind w:left="100"/>
              <w:spacing w:after="0"/>
              <w:rPr>
                <w:sz w:val="20"/>
                <w:szCs w:val="20"/>
                <w:color w:val="auto"/>
              </w:rPr>
            </w:pPr>
            <w:r>
              <w:rPr>
                <w:rFonts w:ascii="Arial" w:cs="Arial" w:eastAsia="Arial" w:hAnsi="Arial"/>
                <w:sz w:val="14"/>
                <w:szCs w:val="14"/>
                <w:color w:val="auto"/>
              </w:rPr>
              <w:t>Joseph F. Nassab</w:t>
            </w:r>
            <w:r>
              <w:rPr>
                <w:rFonts w:ascii="Arial" w:cs="Arial" w:eastAsia="Arial" w:hAnsi="Arial"/>
                <w:sz w:val="18"/>
                <w:szCs w:val="18"/>
                <w:color w:val="auto"/>
                <w:vertAlign w:val="superscript"/>
              </w:rPr>
              <w:t>(2)</w:t>
            </w:r>
          </w:p>
        </w:tc>
        <w:tc>
          <w:tcPr>
            <w:tcW w:w="3140" w:type="dxa"/>
            <w:vAlign w:val="bottom"/>
          </w:tcPr>
          <w:p>
            <w:pPr>
              <w:ind w:left="20"/>
              <w:spacing w:after="0"/>
              <w:rPr>
                <w:sz w:val="20"/>
                <w:szCs w:val="20"/>
                <w:color w:val="auto"/>
              </w:rPr>
            </w:pPr>
            <w:r>
              <w:rPr>
                <w:rFonts w:ascii="Arial" w:cs="Arial" w:eastAsia="Arial" w:hAnsi="Arial"/>
                <w:sz w:val="14"/>
                <w:szCs w:val="14"/>
                <w:color w:val="auto"/>
              </w:rPr>
              <w:t>Consolidated Pension Plan (Frozen)</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400" w:type="dxa"/>
            <w:vAlign w:val="bottom"/>
          </w:tcPr>
          <w:p>
            <w:pPr>
              <w:spacing w:after="0"/>
              <w:rPr>
                <w:sz w:val="16"/>
                <w:szCs w:val="16"/>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auto"/>
              </w:rPr>
              <w:t>Supplemental Retirement Plan (Closed)</w:t>
            </w:r>
          </w:p>
        </w:tc>
        <w:tc>
          <w:tcPr>
            <w:tcW w:w="182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1640" w:type="dxa"/>
            <w:vAlign w:val="bottom"/>
          </w:tcPr>
          <w:p>
            <w:pPr>
              <w:jc w:val="right"/>
              <w:ind w:right="210"/>
              <w:spacing w:after="0"/>
              <w:rPr>
                <w:sz w:val="20"/>
                <w:szCs w:val="20"/>
                <w:color w:val="auto"/>
              </w:rPr>
            </w:pPr>
            <w:r>
              <w:rPr>
                <w:rFonts w:ascii="Arial" w:cs="Arial" w:eastAsia="Arial" w:hAnsi="Arial"/>
                <w:sz w:val="14"/>
                <w:szCs w:val="14"/>
                <w:color w:val="auto"/>
              </w:rPr>
              <w:t>N/A</w:t>
            </w:r>
          </w:p>
        </w:tc>
        <w:tc>
          <w:tcPr>
            <w:tcW w:w="1240" w:type="dxa"/>
            <w:vAlign w:val="bottom"/>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4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Daniel M. Sessa</w:t>
            </w:r>
          </w:p>
        </w:tc>
        <w:tc>
          <w:tcPr>
            <w:tcW w:w="3140" w:type="dxa"/>
            <w:vAlign w:val="bottom"/>
            <w:shd w:val="clear" w:color="auto" w:fill="F1F2F2"/>
          </w:tcPr>
          <w:p>
            <w:pPr>
              <w:ind w:left="20"/>
              <w:spacing w:after="0"/>
              <w:rPr>
                <w:sz w:val="20"/>
                <w:szCs w:val="20"/>
                <w:color w:val="auto"/>
              </w:rPr>
            </w:pPr>
            <w:r>
              <w:rPr>
                <w:rFonts w:ascii="Arial" w:cs="Arial" w:eastAsia="Arial" w:hAnsi="Arial"/>
                <w:sz w:val="14"/>
                <w:szCs w:val="14"/>
                <w:color w:val="auto"/>
              </w:rPr>
              <w:t>Consolidated Pension Plan (Frozen)</w:t>
            </w:r>
          </w:p>
        </w:tc>
        <w:tc>
          <w:tcPr>
            <w:tcW w:w="18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1.7</w:t>
            </w:r>
          </w:p>
        </w:tc>
        <w:tc>
          <w:tcPr>
            <w:tcW w:w="1640" w:type="dxa"/>
            <w:vAlign w:val="bottom"/>
            <w:shd w:val="clear" w:color="auto" w:fill="F1F2F2"/>
          </w:tcPr>
          <w:p>
            <w:pPr>
              <w:jc w:val="right"/>
              <w:ind w:right="270"/>
              <w:spacing w:after="0"/>
              <w:rPr>
                <w:sz w:val="20"/>
                <w:szCs w:val="20"/>
                <w:color w:val="auto"/>
              </w:rPr>
            </w:pPr>
            <w:r>
              <w:rPr>
                <w:rFonts w:ascii="Arial" w:cs="Arial" w:eastAsia="Arial" w:hAnsi="Arial"/>
                <w:sz w:val="14"/>
                <w:szCs w:val="14"/>
                <w:color w:val="auto"/>
              </w:rPr>
              <w:t>37,229</w:t>
            </w:r>
          </w:p>
        </w:tc>
        <w:tc>
          <w:tcPr>
            <w:tcW w:w="1240" w:type="dxa"/>
            <w:vAlign w:val="bottom"/>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400" w:type="dxa"/>
            <w:vAlign w:val="bottom"/>
            <w:shd w:val="clear" w:color="auto" w:fill="F1F2F2"/>
          </w:tcPr>
          <w:p>
            <w:pPr>
              <w:spacing w:after="0"/>
              <w:rPr>
                <w:sz w:val="19"/>
                <w:szCs w:val="19"/>
                <w:color w:val="auto"/>
              </w:rPr>
            </w:pPr>
          </w:p>
        </w:tc>
        <w:tc>
          <w:tcPr>
            <w:tcW w:w="3140" w:type="dxa"/>
            <w:vAlign w:val="bottom"/>
            <w:shd w:val="clear" w:color="auto" w:fill="F1F2F2"/>
          </w:tcPr>
          <w:p>
            <w:pPr>
              <w:ind w:left="20"/>
              <w:spacing w:after="0"/>
              <w:rPr>
                <w:sz w:val="20"/>
                <w:szCs w:val="20"/>
                <w:color w:val="auto"/>
              </w:rPr>
            </w:pPr>
            <w:r>
              <w:rPr>
                <w:rFonts w:ascii="Arial" w:cs="Arial" w:eastAsia="Arial" w:hAnsi="Arial"/>
                <w:sz w:val="14"/>
                <w:szCs w:val="14"/>
                <w:color w:val="auto"/>
              </w:rPr>
              <w:t>Supplemental Retirement Plan (Closed)</w:t>
            </w:r>
          </w:p>
        </w:tc>
        <w:tc>
          <w:tcPr>
            <w:tcW w:w="1820" w:type="dxa"/>
            <w:vAlign w:val="bottom"/>
            <w:shd w:val="clear" w:color="auto" w:fill="F1F2F2"/>
          </w:tcPr>
          <w:p>
            <w:pPr>
              <w:jc w:val="right"/>
              <w:ind w:right="148"/>
              <w:spacing w:after="0"/>
              <w:rPr>
                <w:sz w:val="20"/>
                <w:szCs w:val="20"/>
                <w:color w:val="auto"/>
              </w:rPr>
            </w:pPr>
            <w:r>
              <w:rPr>
                <w:rFonts w:ascii="Arial" w:cs="Arial" w:eastAsia="Arial" w:hAnsi="Arial"/>
                <w:sz w:val="14"/>
                <w:szCs w:val="14"/>
                <w:color w:val="auto"/>
              </w:rPr>
              <w:t>15.0</w:t>
            </w:r>
          </w:p>
        </w:tc>
        <w:tc>
          <w:tcPr>
            <w:tcW w:w="1640" w:type="dxa"/>
            <w:vAlign w:val="bottom"/>
            <w:shd w:val="clear" w:color="auto" w:fill="F1F2F2"/>
          </w:tcPr>
          <w:p>
            <w:pPr>
              <w:jc w:val="right"/>
              <w:ind w:right="270"/>
              <w:spacing w:after="0"/>
              <w:rPr>
                <w:sz w:val="20"/>
                <w:szCs w:val="20"/>
                <w:color w:val="auto"/>
              </w:rPr>
            </w:pPr>
            <w:r>
              <w:rPr>
                <w:rFonts w:ascii="Arial" w:cs="Arial" w:eastAsia="Arial" w:hAnsi="Arial"/>
                <w:sz w:val="14"/>
                <w:szCs w:val="14"/>
                <w:color w:val="auto"/>
              </w:rPr>
              <w:t>7,211,202</w:t>
            </w:r>
          </w:p>
        </w:tc>
        <w:tc>
          <w:tcPr>
            <w:tcW w:w="1240" w:type="dxa"/>
            <w:vAlign w:val="bottom"/>
            <w:shd w:val="clear" w:color="auto" w:fill="F1F2F2"/>
          </w:tcPr>
          <w:p>
            <w:pPr>
              <w:ind w:left="9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400" w:type="dxa"/>
            <w:vAlign w:val="bottom"/>
            <w:shd w:val="clear" w:color="auto" w:fill="F1F2F2"/>
          </w:tcPr>
          <w:p>
            <w:pPr>
              <w:spacing w:after="0" w:line="20" w:lineRule="exact"/>
              <w:rPr>
                <w:sz w:val="1"/>
                <w:szCs w:val="1"/>
                <w:color w:val="auto"/>
              </w:rPr>
            </w:pPr>
          </w:p>
        </w:tc>
        <w:tc>
          <w:tcPr>
            <w:tcW w:w="3140" w:type="dxa"/>
            <w:vAlign w:val="bottom"/>
            <w:shd w:val="clear" w:color="auto" w:fill="F1F2F2"/>
          </w:tcPr>
          <w:p>
            <w:pPr>
              <w:spacing w:after="0" w:line="20" w:lineRule="exact"/>
              <w:rPr>
                <w:sz w:val="1"/>
                <w:szCs w:val="1"/>
                <w:color w:val="auto"/>
              </w:rPr>
            </w:pPr>
          </w:p>
        </w:tc>
        <w:tc>
          <w:tcPr>
            <w:tcW w:w="1820" w:type="dxa"/>
            <w:vAlign w:val="bottom"/>
            <w:shd w:val="clear" w:color="auto" w:fill="F1F2F2"/>
          </w:tcPr>
          <w:p>
            <w:pPr>
              <w:spacing w:after="0" w:line="20" w:lineRule="exact"/>
              <w:rPr>
                <w:sz w:val="1"/>
                <w:szCs w:val="1"/>
                <w:color w:val="auto"/>
              </w:rPr>
            </w:pPr>
          </w:p>
        </w:tc>
        <w:tc>
          <w:tcPr>
            <w:tcW w:w="1640" w:type="dxa"/>
            <w:vAlign w:val="bottom"/>
            <w:shd w:val="clear" w:color="auto" w:fill="F1F2F2"/>
          </w:tcPr>
          <w:p>
            <w:pPr>
              <w:spacing w:after="0" w:line="20" w:lineRule="exact"/>
              <w:rPr>
                <w:sz w:val="1"/>
                <w:szCs w:val="1"/>
                <w:color w:val="auto"/>
              </w:rPr>
            </w:pPr>
          </w:p>
        </w:tc>
        <w:tc>
          <w:tcPr>
            <w:tcW w:w="124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right="60" w:hanging="332"/>
        <w:spacing w:after="0" w:line="266" w:lineRule="auto"/>
        <w:tabs>
          <w:tab w:leader="none" w:pos="327"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actuarial present value of the lump-sum accumulated benefit payable at December 31, 2025, is equal to the annualized present value factor, multiplied by the monthly benefit. The amounts shown are calculated in accordance with FASB ASC Topic 715, using a 4.59% interest (discount) rate for the Supplemental Retirement Plan and 5.60% for the Consolidated Pension Plan as of December 31, 2025, and the Pri-2012 healthy retiree mortality rates, with a white collar adjustment, with generational projections of mortality improvement using scale MP-2021. The calculations assume payments are deferred until age 65 for all participants under our frozen Consolidated Pension Plan and until the earliest unreduced retirement age for each participant under our Supplemental Retirement Plan. Additional assumptions are included in Note 10 of the Consolidated Financial Statements for the fiscal year ended December 31, 2025, included in our Form 10-K.</w:t>
      </w:r>
    </w:p>
    <w:p>
      <w:pPr>
        <w:spacing w:after="0" w:line="76"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Maskara, Mr. Quenzer, Ms. Martin, and Mr. Nassab are not eligible to participate in the frozen Consolidated Pension Plan or the closed Supplemental Retirement Plan.</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C60C35"/>
        </w:rPr>
        <w:t>2025 Nonqualified Deferred Compensation</w:t>
      </w:r>
    </w:p>
    <w:p>
      <w:pPr>
        <w:spacing w:after="0" w:line="5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table provides information regarding contributions, earnings, withdrawals, and distributions under our frozen Profit Sharing Restoration Plan and our Defined Contribution Supplemental Restoration Plan in 2025 for each NEO, as well as each NEO’s aggregate balance in such plan at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60" w:type="dxa"/>
            <w:vAlign w:val="bottom"/>
            <w:shd w:val="clear" w:color="auto" w:fill="C60C35"/>
          </w:tcPr>
          <w:p>
            <w:pPr>
              <w:spacing w:after="0"/>
              <w:rPr>
                <w:sz w:val="16"/>
                <w:szCs w:val="16"/>
                <w:color w:val="auto"/>
              </w:rPr>
            </w:pPr>
          </w:p>
        </w:tc>
        <w:tc>
          <w:tcPr>
            <w:tcW w:w="2820" w:type="dxa"/>
            <w:vAlign w:val="bottom"/>
            <w:shd w:val="clear" w:color="auto" w:fill="C60C35"/>
          </w:tcPr>
          <w:p>
            <w:pPr>
              <w:spacing w:after="0"/>
              <w:rPr>
                <w:sz w:val="16"/>
                <w:szCs w:val="16"/>
                <w:color w:val="auto"/>
              </w:rPr>
            </w:pPr>
          </w:p>
        </w:tc>
        <w:tc>
          <w:tcPr>
            <w:tcW w:w="1500" w:type="dxa"/>
            <w:vAlign w:val="bottom"/>
            <w:shd w:val="clear" w:color="auto" w:fill="C60C35"/>
          </w:tcPr>
          <w:p>
            <w:pPr>
              <w:jc w:val="right"/>
              <w:ind w:right="74"/>
              <w:spacing w:after="0"/>
              <w:rPr>
                <w:sz w:val="20"/>
                <w:szCs w:val="20"/>
                <w:color w:val="auto"/>
              </w:rPr>
            </w:pPr>
            <w:r>
              <w:rPr>
                <w:rFonts w:ascii="Arial" w:cs="Arial" w:eastAsia="Arial" w:hAnsi="Arial"/>
                <w:sz w:val="14"/>
                <w:szCs w:val="14"/>
                <w:b w:val="1"/>
                <w:bCs w:val="1"/>
                <w:color w:val="FFFFFF"/>
              </w:rPr>
              <w:t>Executive</w:t>
            </w:r>
          </w:p>
        </w:tc>
        <w:tc>
          <w:tcPr>
            <w:tcW w:w="1320" w:type="dxa"/>
            <w:vAlign w:val="bottom"/>
            <w:shd w:val="clear" w:color="auto" w:fill="C60C35"/>
          </w:tcPr>
          <w:p>
            <w:pPr>
              <w:jc w:val="right"/>
              <w:ind w:right="157"/>
              <w:spacing w:after="0"/>
              <w:rPr>
                <w:sz w:val="20"/>
                <w:szCs w:val="20"/>
                <w:color w:val="auto"/>
              </w:rPr>
            </w:pPr>
            <w:r>
              <w:rPr>
                <w:rFonts w:ascii="Arial" w:cs="Arial" w:eastAsia="Arial" w:hAnsi="Arial"/>
                <w:sz w:val="14"/>
                <w:szCs w:val="14"/>
                <w:b w:val="1"/>
                <w:bCs w:val="1"/>
                <w:color w:val="FFFFFF"/>
              </w:rPr>
              <w:t>Company</w:t>
            </w:r>
          </w:p>
        </w:tc>
        <w:tc>
          <w:tcPr>
            <w:tcW w:w="1200" w:type="dxa"/>
            <w:vAlign w:val="bottom"/>
            <w:shd w:val="clear" w:color="auto" w:fill="C60C35"/>
          </w:tcPr>
          <w:p>
            <w:pPr>
              <w:jc w:val="right"/>
              <w:ind w:right="117"/>
              <w:spacing w:after="0"/>
              <w:rPr>
                <w:sz w:val="20"/>
                <w:szCs w:val="20"/>
                <w:color w:val="auto"/>
              </w:rPr>
            </w:pPr>
            <w:r>
              <w:rPr>
                <w:rFonts w:ascii="Arial" w:cs="Arial" w:eastAsia="Arial" w:hAnsi="Arial"/>
                <w:sz w:val="14"/>
                <w:szCs w:val="14"/>
                <w:b w:val="1"/>
                <w:bCs w:val="1"/>
                <w:color w:val="FFFFFF"/>
              </w:rPr>
              <w:t>Aggregate</w:t>
            </w:r>
          </w:p>
        </w:tc>
        <w:tc>
          <w:tcPr>
            <w:tcW w:w="1240" w:type="dxa"/>
            <w:vAlign w:val="bottom"/>
            <w:shd w:val="clear" w:color="auto" w:fill="C60C35"/>
          </w:tcPr>
          <w:p>
            <w:pPr>
              <w:jc w:val="right"/>
              <w:ind w:right="114"/>
              <w:spacing w:after="0"/>
              <w:rPr>
                <w:sz w:val="20"/>
                <w:szCs w:val="20"/>
                <w:color w:val="auto"/>
              </w:rPr>
            </w:pPr>
            <w:r>
              <w:rPr>
                <w:rFonts w:ascii="Arial" w:cs="Arial" w:eastAsia="Arial" w:hAnsi="Arial"/>
                <w:sz w:val="14"/>
                <w:szCs w:val="14"/>
                <w:b w:val="1"/>
                <w:bCs w:val="1"/>
                <w:color w:val="FFFFFF"/>
              </w:rPr>
              <w:t>Aggregate</w:t>
            </w:r>
          </w:p>
        </w:tc>
        <w:tc>
          <w:tcPr>
            <w:tcW w:w="1300" w:type="dxa"/>
            <w:vAlign w:val="bottom"/>
            <w:shd w:val="clear" w:color="auto" w:fill="C60C35"/>
          </w:tcPr>
          <w:p>
            <w:pPr>
              <w:jc w:val="right"/>
              <w:ind w:right="97"/>
              <w:spacing w:after="0"/>
              <w:rPr>
                <w:sz w:val="20"/>
                <w:szCs w:val="20"/>
                <w:color w:val="auto"/>
              </w:rPr>
            </w:pPr>
            <w:r>
              <w:rPr>
                <w:rFonts w:ascii="Arial" w:cs="Arial" w:eastAsia="Arial" w:hAnsi="Arial"/>
                <w:sz w:val="14"/>
                <w:szCs w:val="14"/>
                <w:b w:val="1"/>
                <w:bCs w:val="1"/>
                <w:color w:val="FFFFFF"/>
              </w:rPr>
              <w:t>Aggregate</w:t>
            </w:r>
          </w:p>
        </w:tc>
        <w:tc>
          <w:tcPr>
            <w:tcW w:w="0" w:type="dxa"/>
            <w:vAlign w:val="bottom"/>
          </w:tcPr>
          <w:p>
            <w:pPr>
              <w:spacing w:after="0"/>
              <w:rPr>
                <w:sz w:val="1"/>
                <w:szCs w:val="1"/>
                <w:color w:val="auto"/>
              </w:rPr>
            </w:pPr>
          </w:p>
        </w:tc>
      </w:tr>
      <w:tr>
        <w:trPr>
          <w:trHeight w:val="176"/>
        </w:trPr>
        <w:tc>
          <w:tcPr>
            <w:tcW w:w="1860" w:type="dxa"/>
            <w:vAlign w:val="bottom"/>
            <w:shd w:val="clear" w:color="auto" w:fill="C60C35"/>
          </w:tcPr>
          <w:p>
            <w:pPr>
              <w:spacing w:after="0"/>
              <w:rPr>
                <w:sz w:val="15"/>
                <w:szCs w:val="15"/>
                <w:color w:val="auto"/>
              </w:rPr>
            </w:pPr>
          </w:p>
        </w:tc>
        <w:tc>
          <w:tcPr>
            <w:tcW w:w="2820" w:type="dxa"/>
            <w:vAlign w:val="bottom"/>
            <w:shd w:val="clear" w:color="auto" w:fill="C60C35"/>
          </w:tcPr>
          <w:p>
            <w:pPr>
              <w:spacing w:after="0"/>
              <w:rPr>
                <w:sz w:val="15"/>
                <w:szCs w:val="15"/>
                <w:color w:val="auto"/>
              </w:rPr>
            </w:pPr>
          </w:p>
        </w:tc>
        <w:tc>
          <w:tcPr>
            <w:tcW w:w="1500" w:type="dxa"/>
            <w:vAlign w:val="bottom"/>
            <w:shd w:val="clear" w:color="auto" w:fill="C60C35"/>
          </w:tcPr>
          <w:p>
            <w:pPr>
              <w:jc w:val="right"/>
              <w:ind w:right="74"/>
              <w:spacing w:after="0"/>
              <w:rPr>
                <w:sz w:val="20"/>
                <w:szCs w:val="20"/>
                <w:color w:val="auto"/>
              </w:rPr>
            </w:pPr>
            <w:r>
              <w:rPr>
                <w:rFonts w:ascii="Arial" w:cs="Arial" w:eastAsia="Arial" w:hAnsi="Arial"/>
                <w:sz w:val="14"/>
                <w:szCs w:val="14"/>
                <w:b w:val="1"/>
                <w:bCs w:val="1"/>
                <w:color w:val="FFFFFF"/>
              </w:rPr>
              <w:t>Contributions</w:t>
            </w:r>
          </w:p>
        </w:tc>
        <w:tc>
          <w:tcPr>
            <w:tcW w:w="1320" w:type="dxa"/>
            <w:vAlign w:val="bottom"/>
            <w:shd w:val="clear" w:color="auto" w:fill="C60C35"/>
          </w:tcPr>
          <w:p>
            <w:pPr>
              <w:jc w:val="right"/>
              <w:ind w:right="157"/>
              <w:spacing w:after="0"/>
              <w:rPr>
                <w:sz w:val="20"/>
                <w:szCs w:val="20"/>
                <w:color w:val="auto"/>
              </w:rPr>
            </w:pPr>
            <w:r>
              <w:rPr>
                <w:rFonts w:ascii="Arial" w:cs="Arial" w:eastAsia="Arial" w:hAnsi="Arial"/>
                <w:sz w:val="14"/>
                <w:szCs w:val="14"/>
                <w:b w:val="1"/>
                <w:bCs w:val="1"/>
                <w:color w:val="FFFFFF"/>
              </w:rPr>
              <w:t>Contributions</w:t>
            </w:r>
          </w:p>
        </w:tc>
        <w:tc>
          <w:tcPr>
            <w:tcW w:w="1200" w:type="dxa"/>
            <w:vAlign w:val="bottom"/>
            <w:shd w:val="clear" w:color="auto" w:fill="C60C35"/>
          </w:tcPr>
          <w:p>
            <w:pPr>
              <w:jc w:val="right"/>
              <w:ind w:right="117"/>
              <w:spacing w:after="0"/>
              <w:rPr>
                <w:sz w:val="20"/>
                <w:szCs w:val="20"/>
                <w:color w:val="auto"/>
              </w:rPr>
            </w:pPr>
            <w:r>
              <w:rPr>
                <w:rFonts w:ascii="Arial" w:cs="Arial" w:eastAsia="Arial" w:hAnsi="Arial"/>
                <w:sz w:val="14"/>
                <w:szCs w:val="14"/>
                <w:b w:val="1"/>
                <w:bCs w:val="1"/>
                <w:color w:val="FFFFFF"/>
              </w:rPr>
              <w:t>Earnings in</w:t>
            </w:r>
          </w:p>
        </w:tc>
        <w:tc>
          <w:tcPr>
            <w:tcW w:w="1240" w:type="dxa"/>
            <w:vAlign w:val="bottom"/>
            <w:shd w:val="clear" w:color="auto" w:fill="C60C35"/>
          </w:tcPr>
          <w:p>
            <w:pPr>
              <w:jc w:val="right"/>
              <w:ind w:right="114"/>
              <w:spacing w:after="0"/>
              <w:rPr>
                <w:sz w:val="20"/>
                <w:szCs w:val="20"/>
                <w:color w:val="auto"/>
              </w:rPr>
            </w:pPr>
            <w:r>
              <w:rPr>
                <w:rFonts w:ascii="Arial" w:cs="Arial" w:eastAsia="Arial" w:hAnsi="Arial"/>
                <w:sz w:val="14"/>
                <w:szCs w:val="14"/>
                <w:b w:val="1"/>
                <w:bCs w:val="1"/>
                <w:color w:val="FFFFFF"/>
              </w:rPr>
              <w:t>Withdrawals/</w:t>
            </w:r>
          </w:p>
        </w:tc>
        <w:tc>
          <w:tcPr>
            <w:tcW w:w="1300" w:type="dxa"/>
            <w:vAlign w:val="bottom"/>
            <w:shd w:val="clear" w:color="auto" w:fill="C60C35"/>
          </w:tcPr>
          <w:p>
            <w:pPr>
              <w:jc w:val="right"/>
              <w:ind w:right="97"/>
              <w:spacing w:after="0"/>
              <w:rPr>
                <w:sz w:val="20"/>
                <w:szCs w:val="20"/>
                <w:color w:val="auto"/>
              </w:rPr>
            </w:pPr>
            <w:r>
              <w:rPr>
                <w:rFonts w:ascii="Arial" w:cs="Arial" w:eastAsia="Arial" w:hAnsi="Arial"/>
                <w:sz w:val="14"/>
                <w:szCs w:val="14"/>
                <w:b w:val="1"/>
                <w:bCs w:val="1"/>
                <w:color w:val="FFFFFF"/>
              </w:rPr>
              <w:t>Balance at</w:t>
            </w:r>
          </w:p>
        </w:tc>
        <w:tc>
          <w:tcPr>
            <w:tcW w:w="0" w:type="dxa"/>
            <w:vAlign w:val="bottom"/>
          </w:tcPr>
          <w:p>
            <w:pPr>
              <w:spacing w:after="0"/>
              <w:rPr>
                <w:sz w:val="1"/>
                <w:szCs w:val="1"/>
                <w:color w:val="auto"/>
              </w:rPr>
            </w:pPr>
          </w:p>
        </w:tc>
      </w:tr>
      <w:tr>
        <w:trPr>
          <w:trHeight w:val="173"/>
        </w:trPr>
        <w:tc>
          <w:tcPr>
            <w:tcW w:w="1860" w:type="dxa"/>
            <w:vAlign w:val="bottom"/>
            <w:vMerge w:val="restart"/>
            <w:shd w:val="clear" w:color="auto" w:fill="C60C35"/>
          </w:tcPr>
          <w:p>
            <w:pPr>
              <w:ind w:left="100"/>
              <w:spacing w:after="0"/>
              <w:rPr>
                <w:sz w:val="20"/>
                <w:szCs w:val="20"/>
                <w:color w:val="auto"/>
              </w:rPr>
            </w:pPr>
            <w:r>
              <w:rPr>
                <w:rFonts w:ascii="Arial" w:cs="Arial" w:eastAsia="Arial" w:hAnsi="Arial"/>
                <w:sz w:val="14"/>
                <w:szCs w:val="14"/>
                <w:b w:val="1"/>
                <w:bCs w:val="1"/>
                <w:color w:val="FFFFFF"/>
              </w:rPr>
              <w:t>Name</w:t>
            </w:r>
          </w:p>
        </w:tc>
        <w:tc>
          <w:tcPr>
            <w:tcW w:w="2820" w:type="dxa"/>
            <w:vAlign w:val="bottom"/>
            <w:vMerge w:val="restart"/>
            <w:shd w:val="clear" w:color="auto" w:fill="C60C35"/>
          </w:tcPr>
          <w:p>
            <w:pPr>
              <w:ind w:left="20"/>
              <w:spacing w:after="0"/>
              <w:rPr>
                <w:sz w:val="20"/>
                <w:szCs w:val="20"/>
                <w:color w:val="auto"/>
              </w:rPr>
            </w:pPr>
            <w:r>
              <w:rPr>
                <w:rFonts w:ascii="Arial" w:cs="Arial" w:eastAsia="Arial" w:hAnsi="Arial"/>
                <w:sz w:val="14"/>
                <w:szCs w:val="14"/>
                <w:b w:val="1"/>
                <w:bCs w:val="1"/>
                <w:color w:val="FFFFFF"/>
              </w:rPr>
              <w:t>Plan Name</w:t>
            </w:r>
          </w:p>
        </w:tc>
        <w:tc>
          <w:tcPr>
            <w:tcW w:w="1500" w:type="dxa"/>
            <w:vAlign w:val="bottom"/>
            <w:shd w:val="clear" w:color="auto" w:fill="C60C35"/>
          </w:tcPr>
          <w:p>
            <w:pPr>
              <w:jc w:val="right"/>
              <w:ind w:right="74"/>
              <w:spacing w:after="0"/>
              <w:rPr>
                <w:sz w:val="20"/>
                <w:szCs w:val="20"/>
                <w:color w:val="auto"/>
              </w:rPr>
            </w:pPr>
            <w:r>
              <w:rPr>
                <w:rFonts w:ascii="Arial" w:cs="Arial" w:eastAsia="Arial" w:hAnsi="Arial"/>
                <w:sz w:val="14"/>
                <w:szCs w:val="14"/>
                <w:b w:val="1"/>
                <w:bCs w:val="1"/>
                <w:color w:val="FFFFFF"/>
              </w:rPr>
              <w:t>in Last Year</w:t>
            </w:r>
          </w:p>
        </w:tc>
        <w:tc>
          <w:tcPr>
            <w:tcW w:w="1320" w:type="dxa"/>
            <w:vAlign w:val="bottom"/>
            <w:shd w:val="clear" w:color="auto" w:fill="C60C35"/>
          </w:tcPr>
          <w:p>
            <w:pPr>
              <w:jc w:val="right"/>
              <w:ind w:right="157"/>
              <w:spacing w:after="0"/>
              <w:rPr>
                <w:sz w:val="20"/>
                <w:szCs w:val="20"/>
                <w:color w:val="auto"/>
              </w:rPr>
            </w:pPr>
            <w:r>
              <w:rPr>
                <w:rFonts w:ascii="Arial" w:cs="Arial" w:eastAsia="Arial" w:hAnsi="Arial"/>
                <w:sz w:val="14"/>
                <w:szCs w:val="14"/>
                <w:b w:val="1"/>
                <w:bCs w:val="1"/>
                <w:color w:val="FFFFFF"/>
              </w:rPr>
              <w:t>in Last Year</w:t>
            </w:r>
          </w:p>
        </w:tc>
        <w:tc>
          <w:tcPr>
            <w:tcW w:w="1200" w:type="dxa"/>
            <w:vAlign w:val="bottom"/>
            <w:shd w:val="clear" w:color="auto" w:fill="C60C35"/>
          </w:tcPr>
          <w:p>
            <w:pPr>
              <w:jc w:val="right"/>
              <w:ind w:right="117"/>
              <w:spacing w:after="0"/>
              <w:rPr>
                <w:sz w:val="20"/>
                <w:szCs w:val="20"/>
                <w:color w:val="auto"/>
              </w:rPr>
            </w:pPr>
            <w:r>
              <w:rPr>
                <w:rFonts w:ascii="Arial" w:cs="Arial" w:eastAsia="Arial" w:hAnsi="Arial"/>
                <w:sz w:val="14"/>
                <w:szCs w:val="14"/>
                <w:b w:val="1"/>
                <w:bCs w:val="1"/>
                <w:color w:val="FFFFFF"/>
              </w:rPr>
              <w:t>Last Year</w:t>
            </w:r>
          </w:p>
        </w:tc>
        <w:tc>
          <w:tcPr>
            <w:tcW w:w="1240" w:type="dxa"/>
            <w:vAlign w:val="bottom"/>
            <w:shd w:val="clear" w:color="auto" w:fill="C60C35"/>
          </w:tcPr>
          <w:p>
            <w:pPr>
              <w:jc w:val="right"/>
              <w:ind w:right="114"/>
              <w:spacing w:after="0"/>
              <w:rPr>
                <w:sz w:val="20"/>
                <w:szCs w:val="20"/>
                <w:color w:val="auto"/>
              </w:rPr>
            </w:pPr>
            <w:r>
              <w:rPr>
                <w:rFonts w:ascii="Arial" w:cs="Arial" w:eastAsia="Arial" w:hAnsi="Arial"/>
                <w:sz w:val="14"/>
                <w:szCs w:val="14"/>
                <w:b w:val="1"/>
                <w:bCs w:val="1"/>
                <w:color w:val="FFFFFF"/>
              </w:rPr>
              <w:t>Distributions</w:t>
            </w:r>
          </w:p>
        </w:tc>
        <w:tc>
          <w:tcPr>
            <w:tcW w:w="1300" w:type="dxa"/>
            <w:vAlign w:val="bottom"/>
            <w:shd w:val="clear" w:color="auto" w:fill="C60C35"/>
          </w:tcPr>
          <w:p>
            <w:pPr>
              <w:jc w:val="right"/>
              <w:ind w:right="97"/>
              <w:spacing w:after="0"/>
              <w:rPr>
                <w:sz w:val="20"/>
                <w:szCs w:val="20"/>
                <w:color w:val="auto"/>
              </w:rPr>
            </w:pPr>
            <w:r>
              <w:rPr>
                <w:rFonts w:ascii="Arial" w:cs="Arial" w:eastAsia="Arial" w:hAnsi="Arial"/>
                <w:sz w:val="14"/>
                <w:szCs w:val="14"/>
                <w:b w:val="1"/>
                <w:bCs w:val="1"/>
                <w:color w:val="FFFFFF"/>
              </w:rPr>
              <w:t>Last Year-End</w:t>
            </w:r>
          </w:p>
        </w:tc>
        <w:tc>
          <w:tcPr>
            <w:tcW w:w="0" w:type="dxa"/>
            <w:vAlign w:val="bottom"/>
          </w:tcPr>
          <w:p>
            <w:pPr>
              <w:spacing w:after="0"/>
              <w:rPr>
                <w:sz w:val="1"/>
                <w:szCs w:val="1"/>
                <w:color w:val="auto"/>
              </w:rPr>
            </w:pPr>
          </w:p>
        </w:tc>
      </w:tr>
      <w:tr>
        <w:trPr>
          <w:trHeight w:val="235"/>
        </w:trPr>
        <w:tc>
          <w:tcPr>
            <w:tcW w:w="1860" w:type="dxa"/>
            <w:vAlign w:val="bottom"/>
            <w:tcBorders>
              <w:bottom w:val="single" w:sz="8" w:color="C60C35"/>
            </w:tcBorders>
            <w:vMerge w:val="continue"/>
            <w:shd w:val="clear" w:color="auto" w:fill="C60C35"/>
          </w:tcPr>
          <w:p>
            <w:pPr>
              <w:spacing w:after="0"/>
              <w:rPr>
                <w:sz w:val="20"/>
                <w:szCs w:val="20"/>
                <w:color w:val="auto"/>
              </w:rPr>
            </w:pPr>
          </w:p>
        </w:tc>
        <w:tc>
          <w:tcPr>
            <w:tcW w:w="2820" w:type="dxa"/>
            <w:vAlign w:val="bottom"/>
            <w:tcBorders>
              <w:bottom w:val="single" w:sz="8" w:color="C60C35"/>
            </w:tcBorders>
            <w:vMerge w:val="continue"/>
            <w:shd w:val="clear" w:color="auto" w:fill="C60C35"/>
          </w:tcPr>
          <w:p>
            <w:pPr>
              <w:spacing w:after="0"/>
              <w:rPr>
                <w:sz w:val="20"/>
                <w:szCs w:val="20"/>
                <w:color w:val="auto"/>
              </w:rPr>
            </w:pPr>
          </w:p>
        </w:tc>
        <w:tc>
          <w:tcPr>
            <w:tcW w:w="1500" w:type="dxa"/>
            <w:vAlign w:val="bottom"/>
            <w:tcBorders>
              <w:bottom w:val="single" w:sz="8" w:color="C60C35"/>
            </w:tcBorders>
            <w:shd w:val="clear" w:color="auto" w:fill="C60C35"/>
          </w:tcPr>
          <w:p>
            <w:pPr>
              <w:jc w:val="right"/>
              <w:ind w:right="74"/>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bottom w:val="single" w:sz="8" w:color="C60C35"/>
            </w:tcBorders>
            <w:shd w:val="clear" w:color="auto" w:fill="C60C35"/>
          </w:tcPr>
          <w:p>
            <w:pPr>
              <w:jc w:val="right"/>
              <w:ind w:right="157"/>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(1)</w:t>
            </w:r>
          </w:p>
        </w:tc>
        <w:tc>
          <w:tcPr>
            <w:tcW w:w="1200" w:type="dxa"/>
            <w:vAlign w:val="bottom"/>
            <w:tcBorders>
              <w:bottom w:val="single" w:sz="8" w:color="C60C35"/>
            </w:tcBorders>
            <w:shd w:val="clear" w:color="auto" w:fill="C60C35"/>
          </w:tcPr>
          <w:p>
            <w:pPr>
              <w:jc w:val="right"/>
              <w:ind w:right="117"/>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(2)</w:t>
            </w:r>
          </w:p>
        </w:tc>
        <w:tc>
          <w:tcPr>
            <w:tcW w:w="1240" w:type="dxa"/>
            <w:vAlign w:val="bottom"/>
            <w:tcBorders>
              <w:bottom w:val="single" w:sz="8" w:color="C60C35"/>
            </w:tcBorders>
            <w:shd w:val="clear" w:color="auto" w:fill="C60C35"/>
          </w:tcPr>
          <w:p>
            <w:pPr>
              <w:jc w:val="right"/>
              <w:ind w:right="114"/>
              <w:spacing w:after="0"/>
              <w:rPr>
                <w:sz w:val="20"/>
                <w:szCs w:val="20"/>
                <w:color w:val="auto"/>
              </w:rPr>
            </w:pPr>
            <w:r>
              <w:rPr>
                <w:rFonts w:ascii="Arial" w:cs="Arial" w:eastAsia="Arial" w:hAnsi="Arial"/>
                <w:sz w:val="14"/>
                <w:szCs w:val="14"/>
                <w:b w:val="1"/>
                <w:bCs w:val="1"/>
                <w:color w:val="FFFFFF"/>
              </w:rPr>
              <w:t>($)</w:t>
            </w:r>
          </w:p>
        </w:tc>
        <w:tc>
          <w:tcPr>
            <w:tcW w:w="1300" w:type="dxa"/>
            <w:vAlign w:val="bottom"/>
            <w:tcBorders>
              <w:bottom w:val="single" w:sz="8" w:color="C60C35"/>
            </w:tcBorders>
            <w:shd w:val="clear" w:color="auto" w:fill="C60C35"/>
          </w:tcPr>
          <w:p>
            <w:pPr>
              <w:jc w:val="right"/>
              <w:ind w:right="97"/>
              <w:spacing w:after="0" w:line="201" w:lineRule="exact"/>
              <w:rPr>
                <w:sz w:val="20"/>
                <w:szCs w:val="20"/>
                <w:color w:val="auto"/>
              </w:rPr>
            </w:pPr>
            <w:r>
              <w:rPr>
                <w:rFonts w:ascii="Arial" w:cs="Arial" w:eastAsia="Arial" w:hAnsi="Arial"/>
                <w:sz w:val="23"/>
                <w:szCs w:val="23"/>
                <w:b w:val="1"/>
                <w:bCs w:val="1"/>
                <w:color w:val="FFFFFF"/>
                <w:vertAlign w:val="subscript"/>
              </w:rPr>
              <w:t>($)</w:t>
            </w:r>
            <w:r>
              <w:rPr>
                <w:rFonts w:ascii="Arial" w:cs="Arial" w:eastAsia="Arial" w:hAnsi="Arial"/>
                <w:sz w:val="8"/>
                <w:szCs w:val="8"/>
                <w:b w:val="1"/>
                <w:bCs w:val="1"/>
                <w:color w:val="FFFFFF"/>
              </w:rPr>
              <w:t>(3)</w:t>
            </w:r>
          </w:p>
        </w:tc>
        <w:tc>
          <w:tcPr>
            <w:tcW w:w="0" w:type="dxa"/>
            <w:vAlign w:val="bottom"/>
          </w:tcPr>
          <w:p>
            <w:pPr>
              <w:spacing w:after="0"/>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Alok Maskara</w:t>
            </w:r>
            <w:r>
              <w:rPr>
                <w:rFonts w:ascii="Arial" w:cs="Arial" w:eastAsia="Arial" w:hAnsi="Arial"/>
                <w:sz w:val="16"/>
                <w:szCs w:val="16"/>
                <w:color w:val="auto"/>
                <w:vertAlign w:val="superscript"/>
              </w:rPr>
              <w:t>(4)</w:t>
            </w:r>
          </w:p>
        </w:tc>
        <w:tc>
          <w:tcPr>
            <w:tcW w:w="282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ind w:right="74"/>
              <w:spacing w:after="0"/>
              <w:rPr>
                <w:sz w:val="20"/>
                <w:szCs w:val="20"/>
                <w:color w:val="auto"/>
              </w:rPr>
            </w:pPr>
            <w:r>
              <w:rPr>
                <w:rFonts w:ascii="Arial" w:cs="Arial" w:eastAsia="Arial" w:hAnsi="Arial"/>
                <w:sz w:val="13"/>
                <w:szCs w:val="13"/>
                <w:color w:val="auto"/>
              </w:rPr>
              <w:t>N/A</w:t>
            </w:r>
          </w:p>
        </w:tc>
        <w:tc>
          <w:tcPr>
            <w:tcW w:w="132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N/A</w:t>
            </w:r>
          </w:p>
        </w:tc>
        <w:tc>
          <w:tcPr>
            <w:tcW w:w="12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ind w:right="114"/>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F1F2F2"/>
            </w:tcBorders>
            <w:shd w:val="clear" w:color="auto" w:fill="F1F2F2"/>
          </w:tcPr>
          <w:p>
            <w:pPr>
              <w:spacing w:after="0"/>
              <w:rPr>
                <w:sz w:val="15"/>
                <w:szCs w:val="15"/>
                <w:color w:val="auto"/>
              </w:rPr>
            </w:pPr>
          </w:p>
        </w:tc>
        <w:tc>
          <w:tcPr>
            <w:tcW w:w="282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Borders>
              <w:bottom w:val="single" w:sz="8" w:color="F1F2F2"/>
            </w:tcBorders>
            <w:shd w:val="clear" w:color="auto" w:fill="F1F2F2"/>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F1F2F2"/>
            </w:tcBorders>
            <w:shd w:val="clear" w:color="auto" w:fill="F1F2F2"/>
          </w:tcPr>
          <w:p>
            <w:pPr>
              <w:jc w:val="right"/>
              <w:ind w:right="157"/>
              <w:spacing w:after="0"/>
              <w:rPr>
                <w:sz w:val="20"/>
                <w:szCs w:val="20"/>
                <w:color w:val="auto"/>
              </w:rPr>
            </w:pPr>
            <w:r>
              <w:rPr>
                <w:rFonts w:ascii="Arial" w:cs="Arial" w:eastAsia="Arial" w:hAnsi="Arial"/>
                <w:sz w:val="13"/>
                <w:szCs w:val="13"/>
                <w:color w:val="auto"/>
              </w:rPr>
              <w:t>226,501</w:t>
            </w:r>
          </w:p>
        </w:tc>
        <w:tc>
          <w:tcPr>
            <w:tcW w:w="12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107,613</w:t>
            </w:r>
          </w:p>
        </w:tc>
        <w:tc>
          <w:tcPr>
            <w:tcW w:w="1240" w:type="dxa"/>
            <w:vAlign w:val="bottom"/>
            <w:tcBorders>
              <w:bottom w:val="single" w:sz="8" w:color="F1F2F2"/>
            </w:tcBorders>
            <w:shd w:val="clear" w:color="auto" w:fill="F1F2F2"/>
          </w:tcPr>
          <w:p>
            <w:pPr>
              <w:jc w:val="right"/>
              <w:ind w:right="11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692,237</w:t>
            </w:r>
          </w:p>
        </w:tc>
        <w:tc>
          <w:tcPr>
            <w:tcW w:w="0" w:type="dxa"/>
            <w:vAlign w:val="bottom"/>
          </w:tcPr>
          <w:p>
            <w:pPr>
              <w:spacing w:after="0"/>
              <w:rPr>
                <w:sz w:val="1"/>
                <w:szCs w:val="1"/>
                <w:color w:val="auto"/>
              </w:rPr>
            </w:pPr>
          </w:p>
        </w:tc>
      </w:tr>
      <w:tr>
        <w:trPr>
          <w:trHeight w:val="212"/>
        </w:trPr>
        <w:tc>
          <w:tcPr>
            <w:tcW w:w="1860" w:type="dxa"/>
            <w:vAlign w:val="bottom"/>
          </w:tcPr>
          <w:p>
            <w:pPr>
              <w:ind w:left="100"/>
              <w:spacing w:after="0"/>
              <w:rPr>
                <w:sz w:val="20"/>
                <w:szCs w:val="20"/>
                <w:color w:val="auto"/>
              </w:rPr>
            </w:pPr>
            <w:r>
              <w:rPr>
                <w:rFonts w:ascii="Arial" w:cs="Arial" w:eastAsia="Arial" w:hAnsi="Arial"/>
                <w:sz w:val="13"/>
                <w:szCs w:val="13"/>
                <w:color w:val="auto"/>
              </w:rPr>
              <w:t>Michael P. Quenzer</w:t>
            </w:r>
            <w:r>
              <w:rPr>
                <w:rFonts w:ascii="Arial" w:cs="Arial" w:eastAsia="Arial" w:hAnsi="Arial"/>
                <w:sz w:val="16"/>
                <w:szCs w:val="16"/>
                <w:color w:val="auto"/>
                <w:vertAlign w:val="superscript"/>
              </w:rPr>
              <w:t>(4)</w:t>
            </w:r>
          </w:p>
        </w:tc>
        <w:tc>
          <w:tcPr>
            <w:tcW w:w="2820" w:type="dxa"/>
            <w:vAlign w:val="bottom"/>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N/A</w:t>
            </w:r>
          </w:p>
        </w:tc>
        <w:tc>
          <w:tcPr>
            <w:tcW w:w="1320" w:type="dxa"/>
            <w:vAlign w:val="bottom"/>
          </w:tcPr>
          <w:p>
            <w:pPr>
              <w:jc w:val="right"/>
              <w:ind w:right="157"/>
              <w:spacing w:after="0"/>
              <w:rPr>
                <w:sz w:val="20"/>
                <w:szCs w:val="20"/>
                <w:color w:val="auto"/>
              </w:rPr>
            </w:pPr>
            <w:r>
              <w:rPr>
                <w:rFonts w:ascii="Arial" w:cs="Arial" w:eastAsia="Arial" w:hAnsi="Arial"/>
                <w:sz w:val="13"/>
                <w:szCs w:val="13"/>
                <w:color w:val="auto"/>
              </w:rPr>
              <w:t>N/A</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N/A</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57"/>
              <w:spacing w:after="0"/>
              <w:rPr>
                <w:sz w:val="20"/>
                <w:szCs w:val="20"/>
                <w:color w:val="auto"/>
              </w:rPr>
            </w:pPr>
            <w:r>
              <w:rPr>
                <w:rFonts w:ascii="Arial" w:cs="Arial" w:eastAsia="Arial" w:hAnsi="Arial"/>
                <w:sz w:val="13"/>
                <w:szCs w:val="13"/>
                <w:color w:val="auto"/>
              </w:rPr>
              <w:t>70,262</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17,763</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121,373</w:t>
            </w: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Sarah R. Martin</w:t>
            </w:r>
            <w:r>
              <w:rPr>
                <w:rFonts w:ascii="Arial" w:cs="Arial" w:eastAsia="Arial" w:hAnsi="Arial"/>
                <w:sz w:val="16"/>
                <w:szCs w:val="16"/>
                <w:color w:val="auto"/>
                <w:vertAlign w:val="superscript"/>
              </w:rPr>
              <w:t>(4)</w:t>
            </w:r>
          </w:p>
        </w:tc>
        <w:tc>
          <w:tcPr>
            <w:tcW w:w="282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ind w:right="74"/>
              <w:spacing w:after="0"/>
              <w:rPr>
                <w:sz w:val="20"/>
                <w:szCs w:val="20"/>
                <w:color w:val="auto"/>
              </w:rPr>
            </w:pPr>
            <w:r>
              <w:rPr>
                <w:rFonts w:ascii="Arial" w:cs="Arial" w:eastAsia="Arial" w:hAnsi="Arial"/>
                <w:sz w:val="13"/>
                <w:szCs w:val="13"/>
                <w:color w:val="auto"/>
              </w:rPr>
              <w:t>N/A</w:t>
            </w:r>
          </w:p>
        </w:tc>
        <w:tc>
          <w:tcPr>
            <w:tcW w:w="132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N/A</w:t>
            </w:r>
          </w:p>
        </w:tc>
        <w:tc>
          <w:tcPr>
            <w:tcW w:w="12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ind w:right="114"/>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F1F2F2"/>
            </w:tcBorders>
            <w:shd w:val="clear" w:color="auto" w:fill="F1F2F2"/>
          </w:tcPr>
          <w:p>
            <w:pPr>
              <w:spacing w:after="0"/>
              <w:rPr>
                <w:sz w:val="15"/>
                <w:szCs w:val="15"/>
                <w:color w:val="auto"/>
              </w:rPr>
            </w:pPr>
          </w:p>
        </w:tc>
        <w:tc>
          <w:tcPr>
            <w:tcW w:w="2820" w:type="dxa"/>
            <w:vAlign w:val="bottom"/>
            <w:tcBorders>
              <w:bottom w:val="single" w:sz="8" w:color="F1F2F2"/>
            </w:tcBorders>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Borders>
              <w:bottom w:val="single" w:sz="8" w:color="F1F2F2"/>
            </w:tcBorders>
            <w:shd w:val="clear" w:color="auto" w:fill="F1F2F2"/>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F1F2F2"/>
            </w:tcBorders>
            <w:shd w:val="clear" w:color="auto" w:fill="F1F2F2"/>
          </w:tcPr>
          <w:p>
            <w:pPr>
              <w:jc w:val="right"/>
              <w:ind w:right="157"/>
              <w:spacing w:after="0"/>
              <w:rPr>
                <w:sz w:val="20"/>
                <w:szCs w:val="20"/>
                <w:color w:val="auto"/>
              </w:rPr>
            </w:pPr>
            <w:r>
              <w:rPr>
                <w:rFonts w:ascii="Arial" w:cs="Arial" w:eastAsia="Arial" w:hAnsi="Arial"/>
                <w:sz w:val="13"/>
                <w:szCs w:val="13"/>
                <w:color w:val="auto"/>
              </w:rPr>
              <w:t>3,409</w:t>
            </w:r>
          </w:p>
        </w:tc>
        <w:tc>
          <w:tcPr>
            <w:tcW w:w="12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(3)</w:t>
            </w:r>
          </w:p>
        </w:tc>
        <w:tc>
          <w:tcPr>
            <w:tcW w:w="1240" w:type="dxa"/>
            <w:vAlign w:val="bottom"/>
            <w:tcBorders>
              <w:bottom w:val="single" w:sz="8" w:color="F1F2F2"/>
            </w:tcBorders>
            <w:shd w:val="clear" w:color="auto" w:fill="F1F2F2"/>
          </w:tcPr>
          <w:p>
            <w:pPr>
              <w:jc w:val="right"/>
              <w:ind w:right="114"/>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3,406</w:t>
            </w:r>
          </w:p>
        </w:tc>
        <w:tc>
          <w:tcPr>
            <w:tcW w:w="0" w:type="dxa"/>
            <w:vAlign w:val="bottom"/>
          </w:tcPr>
          <w:p>
            <w:pPr>
              <w:spacing w:after="0"/>
              <w:rPr>
                <w:sz w:val="1"/>
                <w:szCs w:val="1"/>
                <w:color w:val="auto"/>
              </w:rPr>
            </w:pPr>
          </w:p>
        </w:tc>
      </w:tr>
      <w:tr>
        <w:trPr>
          <w:trHeight w:val="212"/>
        </w:trPr>
        <w:tc>
          <w:tcPr>
            <w:tcW w:w="1860" w:type="dxa"/>
            <w:vAlign w:val="bottom"/>
          </w:tcPr>
          <w:p>
            <w:pPr>
              <w:ind w:left="100"/>
              <w:spacing w:after="0"/>
              <w:rPr>
                <w:sz w:val="20"/>
                <w:szCs w:val="20"/>
                <w:color w:val="auto"/>
              </w:rPr>
            </w:pPr>
            <w:r>
              <w:rPr>
                <w:rFonts w:ascii="Arial" w:cs="Arial" w:eastAsia="Arial" w:hAnsi="Arial"/>
                <w:sz w:val="13"/>
                <w:szCs w:val="13"/>
                <w:color w:val="auto"/>
              </w:rPr>
              <w:t>Joseph F. Nassab</w:t>
            </w:r>
            <w:r>
              <w:rPr>
                <w:rFonts w:ascii="Arial" w:cs="Arial" w:eastAsia="Arial" w:hAnsi="Arial"/>
                <w:sz w:val="16"/>
                <w:szCs w:val="16"/>
                <w:color w:val="auto"/>
                <w:vertAlign w:val="superscript"/>
              </w:rPr>
              <w:t>(4)</w:t>
            </w:r>
          </w:p>
        </w:tc>
        <w:tc>
          <w:tcPr>
            <w:tcW w:w="2820" w:type="dxa"/>
            <w:vAlign w:val="bottom"/>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N/A</w:t>
            </w:r>
          </w:p>
        </w:tc>
        <w:tc>
          <w:tcPr>
            <w:tcW w:w="1320" w:type="dxa"/>
            <w:vAlign w:val="bottom"/>
          </w:tcPr>
          <w:p>
            <w:pPr>
              <w:jc w:val="right"/>
              <w:ind w:right="157"/>
              <w:spacing w:after="0"/>
              <w:rPr>
                <w:sz w:val="20"/>
                <w:szCs w:val="20"/>
                <w:color w:val="auto"/>
              </w:rPr>
            </w:pPr>
            <w:r>
              <w:rPr>
                <w:rFonts w:ascii="Arial" w:cs="Arial" w:eastAsia="Arial" w:hAnsi="Arial"/>
                <w:sz w:val="13"/>
                <w:szCs w:val="13"/>
                <w:color w:val="auto"/>
              </w:rPr>
              <w:t>N/A</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N/A</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2820" w:type="dxa"/>
            <w:vAlign w:val="bottom"/>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tcPr>
          <w:p>
            <w:pPr>
              <w:jc w:val="right"/>
              <w:ind w:right="157"/>
              <w:spacing w:after="0"/>
              <w:rPr>
                <w:sz w:val="20"/>
                <w:szCs w:val="20"/>
                <w:color w:val="auto"/>
              </w:rPr>
            </w:pPr>
            <w:r>
              <w:rPr>
                <w:rFonts w:ascii="Arial" w:cs="Arial" w:eastAsia="Arial" w:hAnsi="Arial"/>
                <w:sz w:val="13"/>
                <w:szCs w:val="13"/>
                <w:color w:val="auto"/>
              </w:rPr>
              <w:t>65,896</w:t>
            </w:r>
          </w:p>
        </w:tc>
        <w:tc>
          <w:tcPr>
            <w:tcW w:w="1200" w:type="dxa"/>
            <w:vAlign w:val="bottom"/>
          </w:tcPr>
          <w:p>
            <w:pPr>
              <w:jc w:val="right"/>
              <w:ind w:right="117"/>
              <w:spacing w:after="0"/>
              <w:rPr>
                <w:sz w:val="20"/>
                <w:szCs w:val="20"/>
                <w:color w:val="auto"/>
              </w:rPr>
            </w:pPr>
            <w:r>
              <w:rPr>
                <w:rFonts w:ascii="Arial" w:cs="Arial" w:eastAsia="Arial" w:hAnsi="Arial"/>
                <w:sz w:val="13"/>
                <w:szCs w:val="13"/>
                <w:color w:val="auto"/>
              </w:rPr>
              <w:t>35,082</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242,572</w:t>
            </w:r>
          </w:p>
        </w:tc>
        <w:tc>
          <w:tcPr>
            <w:tcW w:w="0" w:type="dxa"/>
            <w:vAlign w:val="bottom"/>
          </w:tcPr>
          <w:p>
            <w:pPr>
              <w:spacing w:after="0"/>
              <w:rPr>
                <w:sz w:val="1"/>
                <w:szCs w:val="1"/>
                <w:color w:val="auto"/>
              </w:rPr>
            </w:pPr>
          </w:p>
        </w:tc>
      </w:tr>
      <w:tr>
        <w:trPr>
          <w:trHeight w:val="28"/>
        </w:trPr>
        <w:tc>
          <w:tcPr>
            <w:tcW w:w="18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60" w:type="dxa"/>
            <w:vAlign w:val="bottom"/>
            <w:shd w:val="clear" w:color="auto" w:fill="F1F2F2"/>
          </w:tcPr>
          <w:p>
            <w:pPr>
              <w:ind w:left="100"/>
              <w:spacing w:after="0"/>
              <w:rPr>
                <w:sz w:val="20"/>
                <w:szCs w:val="20"/>
                <w:color w:val="auto"/>
              </w:rPr>
            </w:pPr>
            <w:r>
              <w:rPr>
                <w:rFonts w:ascii="Arial" w:cs="Arial" w:eastAsia="Arial" w:hAnsi="Arial"/>
                <w:sz w:val="13"/>
                <w:szCs w:val="13"/>
                <w:color w:val="auto"/>
              </w:rPr>
              <w:t>Daniel M. Sessa</w:t>
            </w:r>
            <w:r>
              <w:rPr>
                <w:rFonts w:ascii="Arial" w:cs="Arial" w:eastAsia="Arial" w:hAnsi="Arial"/>
                <w:sz w:val="16"/>
                <w:szCs w:val="16"/>
                <w:color w:val="auto"/>
                <w:vertAlign w:val="superscript"/>
              </w:rPr>
              <w:t>(5)</w:t>
            </w:r>
          </w:p>
        </w:tc>
        <w:tc>
          <w:tcPr>
            <w:tcW w:w="2820" w:type="dxa"/>
            <w:vAlign w:val="bottom"/>
            <w:shd w:val="clear" w:color="auto" w:fill="F1F2F2"/>
          </w:tcPr>
          <w:p>
            <w:pPr>
              <w:ind w:left="20"/>
              <w:spacing w:after="0"/>
              <w:rPr>
                <w:sz w:val="20"/>
                <w:szCs w:val="20"/>
                <w:color w:val="auto"/>
              </w:rPr>
            </w:pPr>
            <w:r>
              <w:rPr>
                <w:rFonts w:ascii="Arial" w:cs="Arial" w:eastAsia="Arial" w:hAnsi="Arial"/>
                <w:sz w:val="13"/>
                <w:szCs w:val="13"/>
                <w:color w:val="auto"/>
              </w:rPr>
              <w:t>Profit Sharing Restoration Plan (Frozen)</w:t>
            </w:r>
          </w:p>
        </w:tc>
        <w:tc>
          <w:tcPr>
            <w:tcW w:w="1500" w:type="dxa"/>
            <w:vAlign w:val="bottom"/>
            <w:shd w:val="clear" w:color="auto" w:fill="F1F2F2"/>
          </w:tcPr>
          <w:p>
            <w:pPr>
              <w:jc w:val="right"/>
              <w:ind w:right="74"/>
              <w:spacing w:after="0"/>
              <w:rPr>
                <w:sz w:val="20"/>
                <w:szCs w:val="20"/>
                <w:color w:val="auto"/>
              </w:rPr>
            </w:pPr>
            <w:r>
              <w:rPr>
                <w:rFonts w:ascii="Arial" w:cs="Arial" w:eastAsia="Arial" w:hAnsi="Arial"/>
                <w:sz w:val="13"/>
                <w:szCs w:val="13"/>
                <w:color w:val="auto"/>
              </w:rPr>
              <w:t>—</w:t>
            </w:r>
          </w:p>
        </w:tc>
        <w:tc>
          <w:tcPr>
            <w:tcW w:w="132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w:t>
            </w:r>
          </w:p>
        </w:tc>
        <w:tc>
          <w:tcPr>
            <w:tcW w:w="12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4,433</w:t>
            </w:r>
          </w:p>
        </w:tc>
        <w:tc>
          <w:tcPr>
            <w:tcW w:w="1240" w:type="dxa"/>
            <w:vAlign w:val="bottom"/>
            <w:shd w:val="clear" w:color="auto" w:fill="F1F2F2"/>
          </w:tcPr>
          <w:p>
            <w:pPr>
              <w:jc w:val="right"/>
              <w:ind w:right="114"/>
              <w:spacing w:after="0"/>
              <w:rPr>
                <w:sz w:val="20"/>
                <w:szCs w:val="20"/>
                <w:color w:val="auto"/>
              </w:rPr>
            </w:pPr>
            <w:r>
              <w:rPr>
                <w:rFonts w:ascii="Arial" w:cs="Arial" w:eastAsia="Arial" w:hAnsi="Arial"/>
                <w:sz w:val="13"/>
                <w:szCs w:val="13"/>
                <w:color w:val="auto"/>
              </w:rPr>
              <w:t>—</w:t>
            </w:r>
          </w:p>
        </w:tc>
        <w:tc>
          <w:tcPr>
            <w:tcW w:w="13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32,416</w:t>
            </w:r>
          </w:p>
        </w:tc>
        <w:tc>
          <w:tcPr>
            <w:tcW w:w="0" w:type="dxa"/>
            <w:vAlign w:val="bottom"/>
          </w:tcPr>
          <w:p>
            <w:pPr>
              <w:spacing w:after="0"/>
              <w:rPr>
                <w:sz w:val="1"/>
                <w:szCs w:val="1"/>
                <w:color w:val="auto"/>
              </w:rPr>
            </w:pPr>
          </w:p>
        </w:tc>
      </w:tr>
      <w:tr>
        <w:trPr>
          <w:trHeight w:val="175"/>
        </w:trPr>
        <w:tc>
          <w:tcPr>
            <w:tcW w:w="1860" w:type="dxa"/>
            <w:vAlign w:val="bottom"/>
            <w:shd w:val="clear" w:color="auto" w:fill="F1F2F2"/>
          </w:tcPr>
          <w:p>
            <w:pPr>
              <w:spacing w:after="0"/>
              <w:rPr>
                <w:sz w:val="15"/>
                <w:szCs w:val="15"/>
                <w:color w:val="auto"/>
              </w:rPr>
            </w:pPr>
          </w:p>
        </w:tc>
        <w:tc>
          <w:tcPr>
            <w:tcW w:w="2820" w:type="dxa"/>
            <w:vAlign w:val="bottom"/>
            <w:shd w:val="clear" w:color="auto" w:fill="F1F2F2"/>
          </w:tcPr>
          <w:p>
            <w:pPr>
              <w:ind w:left="20"/>
              <w:spacing w:after="0"/>
              <w:rPr>
                <w:sz w:val="20"/>
                <w:szCs w:val="20"/>
                <w:color w:val="auto"/>
              </w:rPr>
            </w:pPr>
            <w:r>
              <w:rPr>
                <w:rFonts w:ascii="Arial" w:cs="Arial" w:eastAsia="Arial" w:hAnsi="Arial"/>
                <w:sz w:val="13"/>
                <w:szCs w:val="13"/>
                <w:color w:val="auto"/>
              </w:rPr>
              <w:t>Supplemental Restoration Retirement Plan</w:t>
            </w:r>
          </w:p>
        </w:tc>
        <w:tc>
          <w:tcPr>
            <w:tcW w:w="1500" w:type="dxa"/>
            <w:vAlign w:val="bottom"/>
            <w:shd w:val="clear" w:color="auto" w:fill="F1F2F2"/>
          </w:tcPr>
          <w:p>
            <w:pPr>
              <w:jc w:val="right"/>
              <w:ind w:right="74"/>
              <w:spacing w:after="0"/>
              <w:rPr>
                <w:sz w:val="20"/>
                <w:szCs w:val="20"/>
                <w:color w:val="auto"/>
              </w:rPr>
            </w:pPr>
            <w:r>
              <w:rPr>
                <w:rFonts w:ascii="Arial" w:cs="Arial" w:eastAsia="Arial" w:hAnsi="Arial"/>
                <w:sz w:val="13"/>
                <w:szCs w:val="13"/>
                <w:color w:val="auto"/>
              </w:rPr>
              <w:t>N/A</w:t>
            </w:r>
          </w:p>
        </w:tc>
        <w:tc>
          <w:tcPr>
            <w:tcW w:w="1320" w:type="dxa"/>
            <w:vAlign w:val="bottom"/>
            <w:shd w:val="clear" w:color="auto" w:fill="F1F2F2"/>
          </w:tcPr>
          <w:p>
            <w:pPr>
              <w:jc w:val="right"/>
              <w:ind w:right="157"/>
              <w:spacing w:after="0"/>
              <w:rPr>
                <w:sz w:val="20"/>
                <w:szCs w:val="20"/>
                <w:color w:val="auto"/>
              </w:rPr>
            </w:pPr>
            <w:r>
              <w:rPr>
                <w:rFonts w:ascii="Arial" w:cs="Arial" w:eastAsia="Arial" w:hAnsi="Arial"/>
                <w:sz w:val="13"/>
                <w:szCs w:val="13"/>
                <w:color w:val="auto"/>
              </w:rPr>
              <w:t>N/A</w:t>
            </w:r>
          </w:p>
        </w:tc>
        <w:tc>
          <w:tcPr>
            <w:tcW w:w="1200" w:type="dxa"/>
            <w:vAlign w:val="bottom"/>
            <w:shd w:val="clear" w:color="auto" w:fill="F1F2F2"/>
          </w:tcPr>
          <w:p>
            <w:pPr>
              <w:jc w:val="right"/>
              <w:ind w:right="117"/>
              <w:spacing w:after="0"/>
              <w:rPr>
                <w:sz w:val="20"/>
                <w:szCs w:val="20"/>
                <w:color w:val="auto"/>
              </w:rPr>
            </w:pPr>
            <w:r>
              <w:rPr>
                <w:rFonts w:ascii="Arial" w:cs="Arial" w:eastAsia="Arial" w:hAnsi="Arial"/>
                <w:sz w:val="13"/>
                <w:szCs w:val="13"/>
                <w:color w:val="auto"/>
              </w:rPr>
              <w:t>N/A</w:t>
            </w:r>
          </w:p>
        </w:tc>
        <w:tc>
          <w:tcPr>
            <w:tcW w:w="1240" w:type="dxa"/>
            <w:vAlign w:val="bottom"/>
            <w:shd w:val="clear" w:color="auto" w:fill="F1F2F2"/>
          </w:tcPr>
          <w:p>
            <w:pPr>
              <w:jc w:val="right"/>
              <w:ind w:right="114"/>
              <w:spacing w:after="0"/>
              <w:rPr>
                <w:sz w:val="20"/>
                <w:szCs w:val="20"/>
                <w:color w:val="auto"/>
              </w:rPr>
            </w:pPr>
            <w:r>
              <w:rPr>
                <w:rFonts w:ascii="Arial" w:cs="Arial" w:eastAsia="Arial" w:hAnsi="Arial"/>
                <w:sz w:val="13"/>
                <w:szCs w:val="13"/>
                <w:color w:val="auto"/>
              </w:rPr>
              <w:t>N/A</w:t>
            </w:r>
          </w:p>
        </w:tc>
        <w:tc>
          <w:tcPr>
            <w:tcW w:w="1300" w:type="dxa"/>
            <w:vAlign w:val="bottom"/>
            <w:shd w:val="clear" w:color="auto" w:fill="F1F2F2"/>
          </w:tcPr>
          <w:p>
            <w:pPr>
              <w:jc w:val="right"/>
              <w:ind w:right="97"/>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8"/>
        </w:trPr>
        <w:tc>
          <w:tcPr>
            <w:tcW w:w="1860" w:type="dxa"/>
            <w:vAlign w:val="bottom"/>
            <w:shd w:val="clear" w:color="auto" w:fill="F1F2F2"/>
          </w:tcPr>
          <w:p>
            <w:pPr>
              <w:spacing w:after="0"/>
              <w:rPr>
                <w:sz w:val="2"/>
                <w:szCs w:val="2"/>
                <w:color w:val="auto"/>
              </w:rPr>
            </w:pPr>
          </w:p>
        </w:tc>
        <w:tc>
          <w:tcPr>
            <w:tcW w:w="2820" w:type="dxa"/>
            <w:vAlign w:val="bottom"/>
            <w:shd w:val="clear" w:color="auto" w:fill="F1F2F2"/>
          </w:tcPr>
          <w:p>
            <w:pPr>
              <w:spacing w:after="0"/>
              <w:rPr>
                <w:sz w:val="2"/>
                <w:szCs w:val="2"/>
                <w:color w:val="auto"/>
              </w:rPr>
            </w:pPr>
          </w:p>
        </w:tc>
        <w:tc>
          <w:tcPr>
            <w:tcW w:w="1500" w:type="dxa"/>
            <w:vAlign w:val="bottom"/>
            <w:shd w:val="clear" w:color="auto" w:fill="F1F2F2"/>
          </w:tcPr>
          <w:p>
            <w:pPr>
              <w:spacing w:after="0"/>
              <w:rPr>
                <w:sz w:val="2"/>
                <w:szCs w:val="2"/>
                <w:color w:val="auto"/>
              </w:rPr>
            </w:pPr>
          </w:p>
        </w:tc>
        <w:tc>
          <w:tcPr>
            <w:tcW w:w="1320" w:type="dxa"/>
            <w:vAlign w:val="bottom"/>
            <w:shd w:val="clear" w:color="auto" w:fill="F1F2F2"/>
          </w:tcPr>
          <w:p>
            <w:pPr>
              <w:spacing w:after="0"/>
              <w:rPr>
                <w:sz w:val="2"/>
                <w:szCs w:val="2"/>
                <w:color w:val="auto"/>
              </w:rPr>
            </w:pPr>
          </w:p>
        </w:tc>
        <w:tc>
          <w:tcPr>
            <w:tcW w:w="1200" w:type="dxa"/>
            <w:vAlign w:val="bottom"/>
            <w:shd w:val="clear" w:color="auto" w:fill="F1F2F2"/>
          </w:tcPr>
          <w:p>
            <w:pPr>
              <w:spacing w:after="0"/>
              <w:rPr>
                <w:sz w:val="2"/>
                <w:szCs w:val="2"/>
                <w:color w:val="auto"/>
              </w:rPr>
            </w:pPr>
          </w:p>
        </w:tc>
        <w:tc>
          <w:tcPr>
            <w:tcW w:w="1240" w:type="dxa"/>
            <w:vAlign w:val="bottom"/>
            <w:shd w:val="clear" w:color="auto" w:fill="F1F2F2"/>
          </w:tcPr>
          <w:p>
            <w:pPr>
              <w:spacing w:after="0"/>
              <w:rPr>
                <w:sz w:val="2"/>
                <w:szCs w:val="2"/>
                <w:color w:val="auto"/>
              </w:rPr>
            </w:pPr>
          </w:p>
        </w:tc>
        <w:tc>
          <w:tcPr>
            <w:tcW w:w="130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Amounts listed in this column were reported as compensation for the last fiscal year in the “All Other Compensation” column of the 2025 Summary Compensation Table.</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No amounts listed in the Aggregate Earnings column were reported in the 2025 Summary Compensation Table.</w:t>
      </w:r>
    </w:p>
    <w:p>
      <w:pPr>
        <w:spacing w:after="0" w:line="109" w:lineRule="exact"/>
        <w:rPr>
          <w:rFonts w:ascii="Arial" w:cs="Arial" w:eastAsia="Arial" w:hAnsi="Arial"/>
          <w:sz w:val="14"/>
          <w:szCs w:val="14"/>
          <w:color w:val="auto"/>
        </w:rPr>
      </w:pPr>
    </w:p>
    <w:p>
      <w:pPr>
        <w:ind w:left="340" w:right="40" w:hanging="332"/>
        <w:spacing w:after="0" w:line="305" w:lineRule="auto"/>
        <w:tabs>
          <w:tab w:leader="none" w:pos="327"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aggregate balance reported is the total compensation contributed in any prior period (which amounts were included in the Summary Compensation Table in prior years for any years in which the individual served as an NEO) and any net earnings on such compensation.</w:t>
      </w:r>
    </w:p>
    <w:p>
      <w:pPr>
        <w:spacing w:after="0" w:line="49"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Maskara, Mr. Quenzer, Ms. Martin, and Mr. Nassab were not eligible to participate in the Profit Sharing Restoration Plan prior to the plan being frozen in 2009.</w:t>
      </w:r>
    </w:p>
    <w:p>
      <w:pPr>
        <w:spacing w:after="0" w:line="122" w:lineRule="exact"/>
        <w:rPr>
          <w:rFonts w:ascii="Arial" w:cs="Arial" w:eastAsia="Arial" w:hAnsi="Arial"/>
          <w:sz w:val="14"/>
          <w:szCs w:val="14"/>
          <w:color w:val="auto"/>
        </w:rPr>
      </w:pPr>
    </w:p>
    <w:p>
      <w:pPr>
        <w:ind w:left="320" w:hanging="312"/>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Sessa is not eligible to participate in the Defined Contribution Supplemental Restoration Retirement Plan since he became an executive officer before January 1, 2019.</w:t>
      </w:r>
    </w:p>
    <w:p>
      <w:pPr>
        <w:spacing w:after="0" w:line="225" w:lineRule="exact"/>
        <w:rPr>
          <w:sz w:val="20"/>
          <w:szCs w:val="20"/>
          <w:color w:val="auto"/>
        </w:rPr>
      </w:pPr>
    </w:p>
    <w:p>
      <w:pPr>
        <w:ind w:right="2560" w:firstLine="2570"/>
        <w:spacing w:after="0" w:line="343" w:lineRule="auto"/>
        <w:rPr>
          <w:sz w:val="20"/>
          <w:szCs w:val="20"/>
          <w:color w:val="auto"/>
        </w:rPr>
      </w:pPr>
      <w:r>
        <w:rPr>
          <w:rFonts w:ascii="Arial" w:cs="Arial" w:eastAsia="Arial" w:hAnsi="Arial"/>
          <w:sz w:val="22"/>
          <w:szCs w:val="22"/>
          <w:b w:val="1"/>
          <w:bCs w:val="1"/>
          <w:color w:val="C60C35"/>
        </w:rPr>
        <w:t>Potential Payments Upon Termination or Change in Control Employment Agreements and Change in Control Severance Plan</w:t>
      </w:r>
    </w:p>
    <w:p>
      <w:pPr>
        <w:spacing w:after="0" w:line="2"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The Company generally provides employment agreements to our NEOs. These agreements serve as the basis for the payments and benefits to which each NEO would be entitled in the event of termination of employment not connected to a CIC transaction with our Company. In the event of termination in connection with a CIC, payments to NEOs are subject to our change in control severance plan (the “CIC Severance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Employment Agreements</w:t>
      </w:r>
    </w:p>
    <w:p>
      <w:pPr>
        <w:spacing w:after="0" w:line="169" w:lineRule="exact"/>
        <w:rPr>
          <w:sz w:val="20"/>
          <w:szCs w:val="20"/>
          <w:color w:val="auto"/>
        </w:rPr>
      </w:pPr>
    </w:p>
    <w:p>
      <w:pPr>
        <w:ind w:right="20" w:firstLine="324"/>
        <w:spacing w:after="0" w:line="245" w:lineRule="auto"/>
        <w:rPr>
          <w:sz w:val="20"/>
          <w:szCs w:val="20"/>
          <w:color w:val="auto"/>
        </w:rPr>
      </w:pPr>
      <w:r>
        <w:rPr>
          <w:rFonts w:ascii="Arial" w:cs="Arial" w:eastAsia="Arial" w:hAnsi="Arial"/>
          <w:sz w:val="18"/>
          <w:szCs w:val="18"/>
          <w:color w:val="auto"/>
        </w:rPr>
        <w:t>The employment agreements with our NEOs establish the basis of compensation and responsibilities for each NEO and contain post-employment covenants, including non-competition of employment (for employment agreements entered into after 2007) and non-solicitation of employees and customers for a period of 24 months following termination of employment. On January 1 of each year, the agreements automatically renew for an additional year, unless either party notifies the other in writing at least 30 days prior to such date of its decision not to renew the agreement. Except as otherwise provided below, the terms and conditions of our employment agreement with each NEO are substantially similar.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Severance Plan</w:t>
      </w:r>
    </w:p>
    <w:p>
      <w:pPr>
        <w:spacing w:after="0" w:line="156"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In 2022, the Company terminated all existing change in control agreements for its NEOs and adopted the CIC Severance Plan. As</w:t>
      </w:r>
    </w:p>
    <w:p>
      <w:pPr>
        <w:spacing w:after="0" w:line="14"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described below, severance benefits and equity vesting are both tied to “double trigger.” The CIC Severance Plan does not provide for any excise tax gross-ups.</w:t>
      </w: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C60C35"/>
        </w:rPr>
        <w:t>Payments Made Upon Voluntary Termination or Upon For Cause Termination</w:t>
      </w:r>
    </w:p>
    <w:p>
      <w:pPr>
        <w:spacing w:after="0" w:line="158"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an NEO voluntarily terminates his or her employment with our Company or we terminate an NEO for cause, the NEO will be entitled to receive base salary through the last day of employment and a lump-sum payment equal to unused, accrued vacation days. Unvested SARs, RSUs, and PSUs terminate on the NEO’s last day of employment. Vested SARs will be exercisable for 90 days after the last day of employment if the NEO voluntarily terminates his or her employment.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Retirement</w:t>
      </w:r>
    </w:p>
    <w:p>
      <w:pPr>
        <w:spacing w:after="0" w:line="15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If an NEO retires, he or she is entitled to receive his or her base salary through the last day of employment, a payment under our short-term incentive program based on company performance (prorated through the NEO’s last day of employment) and a lump-sum payment equal to unused, accrued vacation days. In addition, with respect to long-term incentive awards:</w:t>
      </w:r>
    </w:p>
    <w:p>
      <w:pPr>
        <w:spacing w:after="0" w:line="108" w:lineRule="exact"/>
        <w:rPr>
          <w:sz w:val="20"/>
          <w:szCs w:val="20"/>
          <w:color w:val="auto"/>
        </w:rPr>
      </w:pPr>
    </w:p>
    <w:p>
      <w:pPr>
        <w:ind w:left="660" w:right="180" w:hanging="328"/>
        <w:spacing w:after="0" w:line="27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unvested SARs terminate on the NEO’s last day of employment and vested SARs remain exercisable for the remainder of the term of the award;</w:t>
      </w:r>
    </w:p>
    <w:p>
      <w:pPr>
        <w:spacing w:after="0" w:line="59"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RSUs, the NEO receives a prorated portion of shares based on the date of retirement at the end of the applicable vesting period; and</w:t>
      </w:r>
    </w:p>
    <w:p>
      <w:pPr>
        <w:spacing w:after="0" w:line="45"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PSUs, the NEO receives, to the extent earned based on achievement of specific performance measures, a prorated portion of shares based on the date of retirement at the end of the applicable performance period.</w:t>
      </w:r>
    </w:p>
    <w:p>
      <w:pPr>
        <w:spacing w:after="0" w:line="8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NEOs are eligible for retirement treatment for their long-term incentive awards if (i) they are at least age 65; (ii) they are at least age 62 and have 10 years of service; or (iii) if age plus years of service total 80. At December 31, 2025, no NEO was eligible for retirement treatment for their long-term incentive awards.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Involuntary or Not for Cause Termination</w:t>
      </w:r>
    </w:p>
    <w:p>
      <w:pPr>
        <w:spacing w:after="0" w:line="158" w:lineRule="exact"/>
        <w:rPr>
          <w:sz w:val="20"/>
          <w:szCs w:val="20"/>
          <w:color w:val="auto"/>
        </w:rPr>
      </w:pPr>
    </w:p>
    <w:p>
      <w:pPr>
        <w:jc w:val="both"/>
        <w:ind w:right="140" w:firstLine="324"/>
        <w:spacing w:after="0" w:line="261" w:lineRule="auto"/>
        <w:rPr>
          <w:sz w:val="20"/>
          <w:szCs w:val="20"/>
          <w:color w:val="auto"/>
        </w:rPr>
      </w:pPr>
      <w:r>
        <w:rPr>
          <w:rFonts w:ascii="Arial" w:cs="Arial" w:eastAsia="Arial" w:hAnsi="Arial"/>
          <w:sz w:val="18"/>
          <w:szCs w:val="18"/>
          <w:color w:val="auto"/>
        </w:rPr>
        <w:t>If we terminate an NEO prior to the expiration of his or her employment agreement (including non-renewal of the NEO’s agreement) for any reason other than for cause, the NEO is generally entitled to receive “normal severance compensation” or, in the NEO’s sole discretion, “enhanced severance benefits.” Under both severance packages:</w:t>
      </w:r>
    </w:p>
    <w:p>
      <w:pPr>
        <w:spacing w:after="0" w:line="108"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vested SARs continue to be exercisable for 90 days following the NEO’s last day of employment;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unvested equity awards (SARs, RSUs, and PSUs) terminate on the NEO’s last day of employment.</w:t>
      </w:r>
    </w:p>
    <w:p>
      <w:pPr>
        <w:spacing w:after="0" w:line="158"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i w:val="1"/>
          <w:iCs w:val="1"/>
          <w:u w:val="single" w:color="auto"/>
          <w:color w:val="auto"/>
        </w:rPr>
        <w:t>Normal Severance Compensation</w:t>
      </w:r>
      <w:r>
        <w:rPr>
          <w:rFonts w:ascii="Arial" w:cs="Arial" w:eastAsia="Arial" w:hAnsi="Arial"/>
          <w:sz w:val="18"/>
          <w:szCs w:val="18"/>
          <w:color w:val="auto"/>
        </w:rPr>
        <w:t>. If the NEO elects to receive “normal severance compensation,” he or she will receive monthly</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equal to the greater of (1) his or her monthly base salary for the remainder of the employment agreement’s term, or (2) three months of his or her monthly base salary in addition to any other compensation or benefits applicable to an employee at the NEO’s level, including a lump-sum payment equal to unused, accrued vacation days.</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ind w:right="120" w:firstLine="324"/>
        <w:spacing w:after="0" w:line="261" w:lineRule="auto"/>
        <w:rPr>
          <w:sz w:val="20"/>
          <w:szCs w:val="20"/>
          <w:color w:val="auto"/>
        </w:rPr>
      </w:pPr>
      <w:r>
        <w:rPr>
          <w:rFonts w:ascii="Arial" w:cs="Arial" w:eastAsia="Arial" w:hAnsi="Arial"/>
          <w:sz w:val="18"/>
          <w:szCs w:val="18"/>
          <w:i w:val="1"/>
          <w:iCs w:val="1"/>
          <w:u w:val="single" w:color="auto"/>
          <w:color w:val="auto"/>
        </w:rPr>
        <w:t>Enhanced Severance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NEO agrees to execute a written general release of any and all possible claims against us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termination, we will provide the employee with “enhanced severance benefits.” Payments provided under this severance arrangement, which are dependent on years of service with our Company, generally include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Component</w:t>
            </w:r>
          </w:p>
        </w:tc>
        <w:tc>
          <w:tcPr>
            <w:tcW w:w="332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Less than Three Years of Service</w:t>
            </w:r>
          </w:p>
        </w:tc>
        <w:tc>
          <w:tcPr>
            <w:tcW w:w="4420" w:type="dxa"/>
            <w:vAlign w:val="bottom"/>
            <w:shd w:val="clear" w:color="auto" w:fill="C60C35"/>
          </w:tcPr>
          <w:p>
            <w:pPr>
              <w:ind w:left="900"/>
              <w:spacing w:after="0"/>
              <w:rPr>
                <w:sz w:val="20"/>
                <w:szCs w:val="20"/>
                <w:color w:val="auto"/>
              </w:rPr>
            </w:pPr>
            <w:r>
              <w:rPr>
                <w:rFonts w:ascii="Arial" w:cs="Arial" w:eastAsia="Arial" w:hAnsi="Arial"/>
                <w:sz w:val="14"/>
                <w:szCs w:val="14"/>
                <w:b w:val="1"/>
                <w:bCs w:val="1"/>
                <w:color w:val="FFFFFF"/>
              </w:rPr>
              <w:t>Three or More Years of Service</w:t>
            </w:r>
          </w:p>
        </w:tc>
      </w:tr>
      <w:tr>
        <w:trPr>
          <w:trHeight w:val="67"/>
        </w:trPr>
        <w:tc>
          <w:tcPr>
            <w:tcW w:w="3500" w:type="dxa"/>
            <w:vAlign w:val="bottom"/>
            <w:shd w:val="clear" w:color="auto" w:fill="C60C35"/>
          </w:tcPr>
          <w:p>
            <w:pPr>
              <w:spacing w:after="0"/>
              <w:rPr>
                <w:sz w:val="5"/>
                <w:szCs w:val="5"/>
                <w:color w:val="auto"/>
              </w:rPr>
            </w:pPr>
          </w:p>
        </w:tc>
        <w:tc>
          <w:tcPr>
            <w:tcW w:w="3320" w:type="dxa"/>
            <w:vAlign w:val="bottom"/>
            <w:shd w:val="clear" w:color="auto" w:fill="C60C35"/>
          </w:tcPr>
          <w:p>
            <w:pPr>
              <w:spacing w:after="0"/>
              <w:rPr>
                <w:sz w:val="5"/>
                <w:szCs w:val="5"/>
                <w:color w:val="auto"/>
              </w:rPr>
            </w:pPr>
          </w:p>
        </w:tc>
        <w:tc>
          <w:tcPr>
            <w:tcW w:w="4420" w:type="dxa"/>
            <w:vAlign w:val="bottom"/>
            <w:shd w:val="clear" w:color="auto" w:fill="C60C35"/>
          </w:tcPr>
          <w:p>
            <w:pPr>
              <w:spacing w:after="0"/>
              <w:rPr>
                <w:sz w:val="5"/>
                <w:szCs w:val="5"/>
                <w:color w:val="auto"/>
              </w:rPr>
            </w:pPr>
          </w:p>
        </w:tc>
      </w:tr>
      <w:tr>
        <w:trPr>
          <w:trHeight w:val="262"/>
        </w:trPr>
        <w:tc>
          <w:tcPr>
            <w:tcW w:w="3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Base Salary</w:t>
            </w:r>
          </w:p>
        </w:tc>
        <w:tc>
          <w:tcPr>
            <w:tcW w:w="33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One year of base salary</w:t>
            </w:r>
          </w:p>
        </w:tc>
        <w:tc>
          <w:tcPr>
            <w:tcW w:w="4420" w:type="dxa"/>
            <w:vAlign w:val="bottom"/>
            <w:shd w:val="clear" w:color="auto" w:fill="F1F2F2"/>
          </w:tcPr>
          <w:p>
            <w:pPr>
              <w:ind w:left="900"/>
              <w:spacing w:after="0"/>
              <w:rPr>
                <w:sz w:val="20"/>
                <w:szCs w:val="20"/>
                <w:color w:val="auto"/>
              </w:rPr>
            </w:pPr>
            <w:r>
              <w:rPr>
                <w:rFonts w:ascii="Arial" w:cs="Arial" w:eastAsia="Arial" w:hAnsi="Arial"/>
                <w:sz w:val="14"/>
                <w:szCs w:val="14"/>
                <w:color w:val="auto"/>
              </w:rPr>
              <w:t>Two years of base salary</w:t>
            </w:r>
          </w:p>
        </w:tc>
      </w:tr>
      <w:tr>
        <w:trPr>
          <w:trHeight w:val="22"/>
        </w:trPr>
        <w:tc>
          <w:tcPr>
            <w:tcW w:w="3500" w:type="dxa"/>
            <w:vAlign w:val="bottom"/>
            <w:shd w:val="clear" w:color="auto" w:fill="F1F2F2"/>
          </w:tcPr>
          <w:p>
            <w:pPr>
              <w:spacing w:after="0" w:line="20" w:lineRule="exact"/>
              <w:rPr>
                <w:sz w:val="1"/>
                <w:szCs w:val="1"/>
                <w:color w:val="auto"/>
              </w:rPr>
            </w:pPr>
          </w:p>
        </w:tc>
        <w:tc>
          <w:tcPr>
            <w:tcW w:w="3320" w:type="dxa"/>
            <w:vAlign w:val="bottom"/>
            <w:shd w:val="clear" w:color="auto" w:fill="F1F2F2"/>
          </w:tcPr>
          <w:p>
            <w:pPr>
              <w:spacing w:after="0" w:line="20" w:lineRule="exact"/>
              <w:rPr>
                <w:sz w:val="1"/>
                <w:szCs w:val="1"/>
                <w:color w:val="auto"/>
              </w:rPr>
            </w:pPr>
          </w:p>
        </w:tc>
        <w:tc>
          <w:tcPr>
            <w:tcW w:w="4420" w:type="dxa"/>
            <w:vAlign w:val="bottom"/>
            <w:shd w:val="clear" w:color="auto" w:fill="F1F2F2"/>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1">
            <w:col w:w="11240"/>
          </w:cols>
          <w:pgMar w:left="320" w:top="769" w:right="339" w:bottom="1440" w:gutter="0" w:footer="0" w:header="0"/>
        </w:sectPr>
      </w:pPr>
    </w:p>
    <w:p>
      <w:pPr>
        <w:ind w:left="100"/>
        <w:spacing w:after="0"/>
        <w:tabs>
          <w:tab w:leader="none" w:pos="3640" w:val="left"/>
        </w:tabs>
        <w:rPr>
          <w:sz w:val="20"/>
          <w:szCs w:val="20"/>
          <w:color w:val="auto"/>
        </w:rPr>
      </w:pPr>
      <w:r>
        <w:rPr>
          <w:rFonts w:ascii="Arial" w:cs="Arial" w:eastAsia="Arial" w:hAnsi="Arial"/>
          <w:sz w:val="14"/>
          <w:szCs w:val="14"/>
          <w:color w:val="auto"/>
        </w:rPr>
        <w:t>Short-Term Incentive</w:t>
      </w:r>
      <w:r>
        <w:rPr>
          <w:sz w:val="20"/>
          <w:szCs w:val="20"/>
          <w:color w:val="auto"/>
        </w:rPr>
        <w:tab/>
      </w:r>
      <w:r>
        <w:rPr>
          <w:rFonts w:ascii="Arial" w:cs="Arial" w:eastAsia="Arial" w:hAnsi="Arial"/>
          <w:sz w:val="14"/>
          <w:szCs w:val="14"/>
          <w:color w:val="auto"/>
        </w:rPr>
        <w:t>Lump-sum payment equal to all payments under our STI</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programs received by the NEO in the previous 12 months</w:t>
      </w:r>
    </w:p>
    <w:p>
      <w:pPr>
        <w:spacing w:after="0" w:line="20" w:lineRule="exact"/>
        <w:rPr>
          <w:sz w:val="20"/>
          <w:szCs w:val="20"/>
          <w:color w:val="auto"/>
        </w:rPr>
      </w:pPr>
      <w:r>
        <w:rPr>
          <w:sz w:val="20"/>
          <w:szCs w:val="20"/>
          <w:color w:val="auto"/>
        </w:rPr>
        <w:br w:type="column"/>
      </w:r>
    </w:p>
    <w:p>
      <w:pPr>
        <w:ind w:right="200"/>
        <w:spacing w:after="0" w:line="278" w:lineRule="auto"/>
        <w:rPr>
          <w:sz w:val="20"/>
          <w:szCs w:val="20"/>
          <w:color w:val="auto"/>
        </w:rPr>
      </w:pPr>
      <w:r>
        <w:rPr>
          <w:rFonts w:ascii="Arial" w:cs="Arial" w:eastAsia="Arial" w:hAnsi="Arial"/>
          <w:sz w:val="14"/>
          <w:szCs w:val="14"/>
          <w:color w:val="auto"/>
        </w:rPr>
        <w:t>Lump-sum payment equal to all payments under our STI programs received by the NEO in the previous 24 months</w:t>
      </w:r>
    </w:p>
    <w:p>
      <w:pPr>
        <w:spacing w:after="0" w:line="2" w:lineRule="exact"/>
        <w:rPr>
          <w:sz w:val="20"/>
          <w:szCs w:val="20"/>
          <w:color w:val="auto"/>
        </w:rPr>
      </w:pPr>
    </w:p>
    <w:p>
      <w:pPr>
        <w:sectPr>
          <w:pgSz w:w="11900" w:h="16838" w:orient="portrait"/>
          <w:cols w:equalWidth="0" w:num="2">
            <w:col w:w="7320" w:space="400"/>
            <w:col w:w="3520"/>
          </w:cols>
          <w:pgMar w:left="320" w:top="769"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35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Payment in Lieu of Outplacement Services</w:t>
            </w:r>
          </w:p>
        </w:tc>
        <w:tc>
          <w:tcPr>
            <w:tcW w:w="412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Lump-sum payment equal to 10% of base salary</w:t>
            </w:r>
          </w:p>
        </w:tc>
        <w:tc>
          <w:tcPr>
            <w:tcW w:w="36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262"/>
        </w:trPr>
        <w:tc>
          <w:tcPr>
            <w:tcW w:w="3500" w:type="dxa"/>
            <w:vAlign w:val="bottom"/>
          </w:tcPr>
          <w:p>
            <w:pPr>
              <w:ind w:left="100"/>
              <w:spacing w:after="0"/>
              <w:rPr>
                <w:sz w:val="20"/>
                <w:szCs w:val="20"/>
                <w:color w:val="auto"/>
              </w:rPr>
            </w:pPr>
            <w:r>
              <w:rPr>
                <w:rFonts w:ascii="Arial" w:cs="Arial" w:eastAsia="Arial" w:hAnsi="Arial"/>
                <w:sz w:val="14"/>
                <w:szCs w:val="14"/>
                <w:color w:val="auto"/>
              </w:rPr>
              <w:t>Payment in Lieu of Perquisites</w:t>
            </w:r>
          </w:p>
        </w:tc>
        <w:tc>
          <w:tcPr>
            <w:tcW w:w="4120" w:type="dxa"/>
            <w:vAlign w:val="bottom"/>
          </w:tcPr>
          <w:p>
            <w:pPr>
              <w:ind w:left="160"/>
              <w:spacing w:after="0"/>
              <w:rPr>
                <w:sz w:val="20"/>
                <w:szCs w:val="20"/>
                <w:color w:val="auto"/>
              </w:rPr>
            </w:pPr>
            <w:r>
              <w:rPr>
                <w:rFonts w:ascii="Arial" w:cs="Arial" w:eastAsia="Arial" w:hAnsi="Arial"/>
                <w:sz w:val="14"/>
                <w:szCs w:val="14"/>
                <w:color w:val="auto"/>
              </w:rPr>
              <w:t>Lump-sum payment equal to 10% of base salary</w:t>
            </w:r>
          </w:p>
        </w:tc>
        <w:tc>
          <w:tcPr>
            <w:tcW w:w="3620" w:type="dxa"/>
            <w:vAlign w:val="bottom"/>
          </w:tcPr>
          <w:p>
            <w:pPr>
              <w:ind w:left="100"/>
              <w:spacing w:after="0"/>
              <w:rPr>
                <w:sz w:val="20"/>
                <w:szCs w:val="20"/>
                <w:color w:val="auto"/>
              </w:rPr>
            </w:pPr>
            <w:r>
              <w:rPr>
                <w:rFonts w:ascii="Arial" w:cs="Arial" w:eastAsia="Arial" w:hAnsi="Arial"/>
                <w:sz w:val="14"/>
                <w:szCs w:val="14"/>
                <w:color w:val="auto"/>
              </w:rPr>
              <w:t>Same</w:t>
            </w:r>
          </w:p>
        </w:tc>
      </w:tr>
      <w:tr>
        <w:trPr>
          <w:trHeight w:val="22"/>
        </w:trPr>
        <w:tc>
          <w:tcPr>
            <w:tcW w:w="35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47"/>
        </w:trPr>
        <w:tc>
          <w:tcPr>
            <w:tcW w:w="3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Post-Employment Health Care Coverage</w:t>
            </w: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Payment of COBRA premiums for up to 18 months while the</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175"/>
        </w:trPr>
        <w:tc>
          <w:tcPr>
            <w:tcW w:w="3500" w:type="dxa"/>
            <w:vAlign w:val="bottom"/>
            <w:shd w:val="clear" w:color="auto" w:fill="F1F2F2"/>
          </w:tcPr>
          <w:p>
            <w:pPr>
              <w:spacing w:after="0"/>
              <w:rPr>
                <w:sz w:val="15"/>
                <w:szCs w:val="15"/>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NEO is unemployed and not eligible for other group health</w:t>
            </w:r>
          </w:p>
        </w:tc>
        <w:tc>
          <w:tcPr>
            <w:tcW w:w="3620" w:type="dxa"/>
            <w:vAlign w:val="bottom"/>
            <w:shd w:val="clear" w:color="auto" w:fill="F1F2F2"/>
          </w:tcPr>
          <w:p>
            <w:pPr>
              <w:spacing w:after="0"/>
              <w:rPr>
                <w:sz w:val="15"/>
                <w:szCs w:val="15"/>
                <w:color w:val="auto"/>
              </w:rPr>
            </w:pPr>
          </w:p>
        </w:tc>
      </w:tr>
      <w:tr>
        <w:trPr>
          <w:trHeight w:val="162"/>
        </w:trPr>
        <w:tc>
          <w:tcPr>
            <w:tcW w:w="3500" w:type="dxa"/>
            <w:vAlign w:val="bottom"/>
            <w:shd w:val="clear" w:color="auto" w:fill="F1F2F2"/>
          </w:tcPr>
          <w:p>
            <w:pPr>
              <w:spacing w:after="0"/>
              <w:rPr>
                <w:sz w:val="14"/>
                <w:szCs w:val="14"/>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coverage and payment of the equivalent of such premium for</w:t>
            </w:r>
          </w:p>
        </w:tc>
        <w:tc>
          <w:tcPr>
            <w:tcW w:w="3620" w:type="dxa"/>
            <w:vAlign w:val="bottom"/>
            <w:shd w:val="clear" w:color="auto" w:fill="F1F2F2"/>
          </w:tcPr>
          <w:p>
            <w:pPr>
              <w:spacing w:after="0"/>
              <w:rPr>
                <w:sz w:val="14"/>
                <w:szCs w:val="14"/>
                <w:color w:val="auto"/>
              </w:rPr>
            </w:pPr>
          </w:p>
        </w:tc>
      </w:tr>
      <w:tr>
        <w:trPr>
          <w:trHeight w:val="176"/>
        </w:trPr>
        <w:tc>
          <w:tcPr>
            <w:tcW w:w="3500" w:type="dxa"/>
            <w:vAlign w:val="bottom"/>
            <w:shd w:val="clear" w:color="auto" w:fill="F1F2F2"/>
          </w:tcPr>
          <w:p>
            <w:pPr>
              <w:spacing w:after="0"/>
              <w:rPr>
                <w:sz w:val="15"/>
                <w:szCs w:val="15"/>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up to an additional six months, should the NEO remain</w:t>
            </w:r>
          </w:p>
        </w:tc>
        <w:tc>
          <w:tcPr>
            <w:tcW w:w="3620" w:type="dxa"/>
            <w:vAlign w:val="bottom"/>
            <w:shd w:val="clear" w:color="auto" w:fill="F1F2F2"/>
          </w:tcPr>
          <w:p>
            <w:pPr>
              <w:spacing w:after="0"/>
              <w:rPr>
                <w:sz w:val="15"/>
                <w:szCs w:val="15"/>
                <w:color w:val="auto"/>
              </w:rPr>
            </w:pPr>
          </w:p>
        </w:tc>
      </w:tr>
      <w:tr>
        <w:trPr>
          <w:trHeight w:val="192"/>
        </w:trPr>
        <w:tc>
          <w:tcPr>
            <w:tcW w:w="3500" w:type="dxa"/>
            <w:vAlign w:val="bottom"/>
            <w:tcBorders>
              <w:bottom w:val="single" w:sz="8" w:color="F1F2F2"/>
            </w:tcBorders>
            <w:shd w:val="clear" w:color="auto" w:fill="F1F2F2"/>
          </w:tcPr>
          <w:p>
            <w:pPr>
              <w:spacing w:after="0"/>
              <w:rPr>
                <w:sz w:val="16"/>
                <w:szCs w:val="16"/>
                <w:color w:val="auto"/>
              </w:rPr>
            </w:pPr>
          </w:p>
        </w:tc>
        <w:tc>
          <w:tcPr>
            <w:tcW w:w="412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unemployed</w:t>
            </w:r>
          </w:p>
        </w:tc>
        <w:tc>
          <w:tcPr>
            <w:tcW w:w="3620" w:type="dxa"/>
            <w:vAlign w:val="bottom"/>
            <w:tcBorders>
              <w:bottom w:val="single" w:sz="8" w:color="F1F2F2"/>
            </w:tcBorders>
            <w:shd w:val="clear" w:color="auto" w:fill="F1F2F2"/>
          </w:tcPr>
          <w:p>
            <w:pPr>
              <w:spacing w:after="0"/>
              <w:rPr>
                <w:sz w:val="16"/>
                <w:szCs w:val="16"/>
                <w:color w:val="auto"/>
              </w:rPr>
            </w:pPr>
          </w:p>
        </w:tc>
      </w:tr>
      <w:tr>
        <w:trPr>
          <w:trHeight w:val="247"/>
        </w:trPr>
        <w:tc>
          <w:tcPr>
            <w:tcW w:w="3500" w:type="dxa"/>
            <w:vAlign w:val="bottom"/>
          </w:tcPr>
          <w:p>
            <w:pPr>
              <w:ind w:left="100"/>
              <w:spacing w:after="0"/>
              <w:rPr>
                <w:sz w:val="20"/>
                <w:szCs w:val="20"/>
                <w:color w:val="auto"/>
              </w:rPr>
            </w:pPr>
            <w:r>
              <w:rPr>
                <w:rFonts w:ascii="Arial" w:cs="Arial" w:eastAsia="Arial" w:hAnsi="Arial"/>
                <w:sz w:val="14"/>
                <w:szCs w:val="14"/>
                <w:color w:val="auto"/>
              </w:rPr>
              <w:t>Death Benefit</w:t>
            </w:r>
          </w:p>
        </w:tc>
        <w:tc>
          <w:tcPr>
            <w:tcW w:w="4120" w:type="dxa"/>
            <w:vAlign w:val="bottom"/>
          </w:tcPr>
          <w:p>
            <w:pPr>
              <w:ind w:left="160"/>
              <w:spacing w:after="0"/>
              <w:rPr>
                <w:sz w:val="20"/>
                <w:szCs w:val="20"/>
                <w:color w:val="auto"/>
              </w:rPr>
            </w:pPr>
            <w:r>
              <w:rPr>
                <w:rFonts w:ascii="Arial" w:cs="Arial" w:eastAsia="Arial" w:hAnsi="Arial"/>
                <w:sz w:val="14"/>
                <w:szCs w:val="14"/>
                <w:color w:val="auto"/>
              </w:rPr>
              <w:t>If the NEO dies during the enhanced severance period, a</w:t>
            </w:r>
          </w:p>
        </w:tc>
        <w:tc>
          <w:tcPr>
            <w:tcW w:w="3620" w:type="dxa"/>
            <w:vAlign w:val="bottom"/>
          </w:tcPr>
          <w:p>
            <w:pPr>
              <w:ind w:left="100"/>
              <w:spacing w:after="0"/>
              <w:rPr>
                <w:sz w:val="20"/>
                <w:szCs w:val="20"/>
                <w:color w:val="auto"/>
              </w:rPr>
            </w:pPr>
            <w:r>
              <w:rPr>
                <w:rFonts w:ascii="Arial" w:cs="Arial" w:eastAsia="Arial" w:hAnsi="Arial"/>
                <w:sz w:val="14"/>
                <w:szCs w:val="14"/>
                <w:color w:val="auto"/>
              </w:rPr>
              <w:t>Same</w:t>
            </w:r>
          </w:p>
        </w:tc>
      </w:tr>
      <w:tr>
        <w:trPr>
          <w:trHeight w:val="175"/>
        </w:trPr>
        <w:tc>
          <w:tcPr>
            <w:tcW w:w="3500" w:type="dxa"/>
            <w:vAlign w:val="bottom"/>
          </w:tcPr>
          <w:p>
            <w:pPr>
              <w:spacing w:after="0"/>
              <w:rPr>
                <w:sz w:val="15"/>
                <w:szCs w:val="15"/>
                <w:color w:val="auto"/>
              </w:rPr>
            </w:pPr>
          </w:p>
        </w:tc>
        <w:tc>
          <w:tcPr>
            <w:tcW w:w="4120" w:type="dxa"/>
            <w:vAlign w:val="bottom"/>
          </w:tcPr>
          <w:p>
            <w:pPr>
              <w:ind w:left="160"/>
              <w:spacing w:after="0"/>
              <w:rPr>
                <w:sz w:val="20"/>
                <w:szCs w:val="20"/>
                <w:color w:val="auto"/>
              </w:rPr>
            </w:pPr>
            <w:r>
              <w:rPr>
                <w:rFonts w:ascii="Arial" w:cs="Arial" w:eastAsia="Arial" w:hAnsi="Arial"/>
                <w:sz w:val="14"/>
                <w:szCs w:val="14"/>
                <w:color w:val="auto"/>
              </w:rPr>
              <w:t>lump-sum death benefit equal to six months of the NEO’s</w:t>
            </w:r>
          </w:p>
        </w:tc>
        <w:tc>
          <w:tcPr>
            <w:tcW w:w="3620" w:type="dxa"/>
            <w:vAlign w:val="bottom"/>
          </w:tcPr>
          <w:p>
            <w:pPr>
              <w:spacing w:after="0"/>
              <w:rPr>
                <w:sz w:val="15"/>
                <w:szCs w:val="15"/>
                <w:color w:val="auto"/>
              </w:rPr>
            </w:pPr>
          </w:p>
        </w:tc>
      </w:tr>
      <w:tr>
        <w:trPr>
          <w:trHeight w:val="194"/>
        </w:trPr>
        <w:tc>
          <w:tcPr>
            <w:tcW w:w="3500" w:type="dxa"/>
            <w:vAlign w:val="bottom"/>
          </w:tcPr>
          <w:p>
            <w:pPr>
              <w:spacing w:after="0"/>
              <w:rPr>
                <w:sz w:val="16"/>
                <w:szCs w:val="16"/>
                <w:color w:val="auto"/>
              </w:rPr>
            </w:pPr>
          </w:p>
        </w:tc>
        <w:tc>
          <w:tcPr>
            <w:tcW w:w="4120" w:type="dxa"/>
            <w:vAlign w:val="bottom"/>
          </w:tcPr>
          <w:p>
            <w:pPr>
              <w:ind w:left="160"/>
              <w:spacing w:after="0"/>
              <w:rPr>
                <w:sz w:val="20"/>
                <w:szCs w:val="20"/>
                <w:color w:val="auto"/>
              </w:rPr>
            </w:pPr>
            <w:r>
              <w:rPr>
                <w:rFonts w:ascii="Arial" w:cs="Arial" w:eastAsia="Arial" w:hAnsi="Arial"/>
                <w:sz w:val="14"/>
                <w:szCs w:val="14"/>
                <w:color w:val="auto"/>
              </w:rPr>
              <w:t>base salary will be paid to the NEO’s beneficiary</w:t>
            </w:r>
          </w:p>
        </w:tc>
        <w:tc>
          <w:tcPr>
            <w:tcW w:w="3620" w:type="dxa"/>
            <w:vAlign w:val="bottom"/>
          </w:tcPr>
          <w:p>
            <w:pPr>
              <w:spacing w:after="0"/>
              <w:rPr>
                <w:sz w:val="16"/>
                <w:szCs w:val="16"/>
                <w:color w:val="auto"/>
              </w:rPr>
            </w:pPr>
          </w:p>
        </w:tc>
      </w:tr>
      <w:tr>
        <w:trPr>
          <w:trHeight w:val="251"/>
        </w:trPr>
        <w:tc>
          <w:tcPr>
            <w:tcW w:w="35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Accrued Vacation</w:t>
            </w: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A lump-sum payment equal to unused, accrued vacation</w:t>
            </w:r>
          </w:p>
        </w:tc>
        <w:tc>
          <w:tcPr>
            <w:tcW w:w="3620" w:type="dxa"/>
            <w:vAlign w:val="bottom"/>
            <w:shd w:val="clear" w:color="auto" w:fill="F1F2F2"/>
          </w:tcPr>
          <w:p>
            <w:pPr>
              <w:ind w:left="100"/>
              <w:spacing w:after="0"/>
              <w:rPr>
                <w:sz w:val="20"/>
                <w:szCs w:val="20"/>
                <w:color w:val="auto"/>
              </w:rPr>
            </w:pPr>
            <w:r>
              <w:rPr>
                <w:rFonts w:ascii="Arial" w:cs="Arial" w:eastAsia="Arial" w:hAnsi="Arial"/>
                <w:sz w:val="14"/>
                <w:szCs w:val="14"/>
                <w:color w:val="auto"/>
              </w:rPr>
              <w:t>Same</w:t>
            </w:r>
          </w:p>
        </w:tc>
      </w:tr>
      <w:tr>
        <w:trPr>
          <w:trHeight w:val="190"/>
        </w:trPr>
        <w:tc>
          <w:tcPr>
            <w:tcW w:w="3500" w:type="dxa"/>
            <w:vAlign w:val="bottom"/>
            <w:shd w:val="clear" w:color="auto" w:fill="F1F2F2"/>
          </w:tcPr>
          <w:p>
            <w:pPr>
              <w:spacing w:after="0"/>
              <w:rPr>
                <w:sz w:val="16"/>
                <w:szCs w:val="16"/>
                <w:color w:val="auto"/>
              </w:rPr>
            </w:pPr>
          </w:p>
        </w:tc>
        <w:tc>
          <w:tcPr>
            <w:tcW w:w="4120" w:type="dxa"/>
            <w:vAlign w:val="bottom"/>
            <w:shd w:val="clear" w:color="auto" w:fill="F1F2F2"/>
          </w:tcPr>
          <w:p>
            <w:pPr>
              <w:ind w:left="160"/>
              <w:spacing w:after="0"/>
              <w:rPr>
                <w:sz w:val="20"/>
                <w:szCs w:val="20"/>
                <w:color w:val="auto"/>
              </w:rPr>
            </w:pPr>
            <w:r>
              <w:rPr>
                <w:rFonts w:ascii="Arial" w:cs="Arial" w:eastAsia="Arial" w:hAnsi="Arial"/>
                <w:sz w:val="14"/>
                <w:szCs w:val="14"/>
                <w:color w:val="auto"/>
              </w:rPr>
              <w:t>days</w:t>
            </w:r>
          </w:p>
        </w:tc>
        <w:tc>
          <w:tcPr>
            <w:tcW w:w="3620" w:type="dxa"/>
            <w:vAlign w:val="bottom"/>
            <w:shd w:val="clear" w:color="auto" w:fill="F1F2F2"/>
          </w:tcPr>
          <w:p>
            <w:pPr>
              <w:spacing w:after="0"/>
              <w:rPr>
                <w:sz w:val="16"/>
                <w:szCs w:val="16"/>
                <w:color w:val="auto"/>
              </w:rPr>
            </w:pPr>
          </w:p>
        </w:tc>
      </w:tr>
      <w:tr>
        <w:trPr>
          <w:trHeight w:val="22"/>
        </w:trPr>
        <w:tc>
          <w:tcPr>
            <w:tcW w:w="3500" w:type="dxa"/>
            <w:vAlign w:val="bottom"/>
            <w:shd w:val="clear" w:color="auto" w:fill="F1F2F2"/>
          </w:tcPr>
          <w:p>
            <w:pPr>
              <w:spacing w:after="0" w:line="20" w:lineRule="exact"/>
              <w:rPr>
                <w:sz w:val="1"/>
                <w:szCs w:val="1"/>
                <w:color w:val="auto"/>
              </w:rPr>
            </w:pPr>
          </w:p>
        </w:tc>
        <w:tc>
          <w:tcPr>
            <w:tcW w:w="4120" w:type="dxa"/>
            <w:vAlign w:val="bottom"/>
            <w:shd w:val="clear" w:color="auto" w:fill="F1F2F2"/>
          </w:tcPr>
          <w:p>
            <w:pPr>
              <w:spacing w:after="0" w:line="20" w:lineRule="exact"/>
              <w:rPr>
                <w:sz w:val="1"/>
                <w:szCs w:val="1"/>
                <w:color w:val="auto"/>
              </w:rPr>
            </w:pPr>
          </w:p>
        </w:tc>
        <w:tc>
          <w:tcPr>
            <w:tcW w:w="3620" w:type="dxa"/>
            <w:vAlign w:val="bottom"/>
            <w:shd w:val="clear" w:color="auto" w:fill="F1F2F2"/>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Death or Disability</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Generally, if an NEO dies during the term of his or her employment agreement, the NEO’s beneficiary is entitled to receive “normal severance compensation,” as described above. If an NEO becomes permanently disabled during the agreement term, he or she will generally be entitled to, at the NEO’s option, either “normal severance compensation” or “enhanced severance benefits,” as described above. In the case of either death or disability, with respect to long-term incentive awards:</w:t>
      </w:r>
    </w:p>
    <w:p>
      <w:pPr>
        <w:spacing w:after="0" w:line="116"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SARs vest immediately and remain exercisable for the duration of the term;</w:t>
      </w:r>
    </w:p>
    <w:p>
      <w:pPr>
        <w:spacing w:after="0" w:line="117" w:lineRule="exact"/>
        <w:rPr>
          <w:rFonts w:ascii="Arial" w:cs="Arial" w:eastAsia="Arial" w:hAnsi="Arial"/>
          <w:sz w:val="18"/>
          <w:szCs w:val="18"/>
          <w:color w:val="auto"/>
        </w:rPr>
      </w:pPr>
    </w:p>
    <w:p>
      <w:pPr>
        <w:ind w:left="660" w:right="420" w:hanging="328"/>
        <w:spacing w:after="0" w:line="27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RSUs, the NEO, or his or her beneficiary, receives a prorated payment based upon the portion of the vesting period the NEO actually served as an employee payable at the time employment ceases; and</w:t>
      </w:r>
    </w:p>
    <w:p>
      <w:pPr>
        <w:spacing w:after="0" w:line="45"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for PSUs, the NEO, or his or her beneficiary, receives, to the extent earned based on achievement of performance measures, a prorated portion of shares based upon the portion of the performance period the NEO actually served as an employee, payable at the time employment ceases.</w:t>
      </w:r>
    </w:p>
    <w:p>
      <w:pPr>
        <w:spacing w:after="0" w:line="108"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C60C35"/>
        </w:rPr>
        <w:t>Payments Made to our CEO if he Terminates his Employment for “Good Reason,” Upon Involuntary — Not for Cause Termination, or Upon Death or Disability</w:t>
      </w:r>
    </w:p>
    <w:p>
      <w:pPr>
        <w:spacing w:after="0" w:line="70" w:lineRule="exact"/>
        <w:rPr>
          <w:sz w:val="20"/>
          <w:szCs w:val="20"/>
          <w:color w:val="auto"/>
        </w:rPr>
      </w:pPr>
    </w:p>
    <w:p>
      <w:pPr>
        <w:ind w:right="160" w:firstLine="324"/>
        <w:spacing w:after="0" w:line="271" w:lineRule="auto"/>
        <w:rPr>
          <w:sz w:val="20"/>
          <w:szCs w:val="20"/>
          <w:color w:val="auto"/>
        </w:rPr>
      </w:pPr>
      <w:r>
        <w:rPr>
          <w:rFonts w:ascii="Arial" w:cs="Arial" w:eastAsia="Arial" w:hAnsi="Arial"/>
          <w:sz w:val="18"/>
          <w:szCs w:val="18"/>
          <w:color w:val="auto"/>
        </w:rPr>
        <w:t>Except as described below, Mr. Maskara receives similar severance benefits as the other NEOs. Mr. Maskara’s employment agreement provides for certain severance benefits in the event he terminates his employment for “good reason.” “Good reason” includes:</w:t>
      </w:r>
    </w:p>
    <w:p>
      <w:pPr>
        <w:spacing w:after="0" w:line="113" w:lineRule="exact"/>
        <w:rPr>
          <w:sz w:val="20"/>
          <w:szCs w:val="20"/>
          <w:color w:val="auto"/>
        </w:rPr>
      </w:pPr>
    </w:p>
    <w:p>
      <w:pPr>
        <w:ind w:left="660" w:right="20" w:hanging="328"/>
        <w:spacing w:after="0" w:line="253"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change in Mr. Maskara’s position, authority, duties, or responsibilities inconsistent with the position of CEO (excluding de minimis changes and an isolated, insubstantial, and inadvertent action not taken in bad faith and promptly remedied by the Company after notice);</w:t>
      </w:r>
    </w:p>
    <w:p>
      <w:pPr>
        <w:spacing w:after="0" w:line="74" w:lineRule="exact"/>
        <w:rPr>
          <w:rFonts w:ascii="Arial" w:cs="Arial" w:eastAsia="Arial" w:hAnsi="Arial"/>
          <w:sz w:val="18"/>
          <w:szCs w:val="18"/>
          <w:color w:val="auto"/>
        </w:rPr>
      </w:pPr>
    </w:p>
    <w:p>
      <w:pPr>
        <w:ind w:left="660" w:right="360" w:hanging="328"/>
        <w:spacing w:after="0" w:line="271"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failure by the Company to comply with any of the provisions of Mr. Maskara’s employment agreement (excluding an isolated, insubstantial, and inadvertent action not taken in bad faith and promptly remedied by the Company after notice);</w:t>
      </w:r>
    </w:p>
    <w:p>
      <w:pPr>
        <w:spacing w:after="0" w:line="45"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relocation of the principal place of Mr. Maskara’s employment by more than thirty-five (35) miles from our current headquarters in Richardson, Texas; or</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failure by our Board to nominate him for election by the stockholders as a director.</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1" w:name="page62"/>
    <w:bookmarkEnd w:id="61"/>
    <w:p>
      <w:pPr>
        <w:ind w:right="120" w:firstLine="324"/>
        <w:spacing w:after="0" w:line="248" w:lineRule="auto"/>
        <w:rPr>
          <w:sz w:val="20"/>
          <w:szCs w:val="20"/>
          <w:color w:val="auto"/>
        </w:rPr>
      </w:pPr>
      <w:r>
        <w:rPr>
          <w:rFonts w:ascii="Arial" w:cs="Arial" w:eastAsia="Arial" w:hAnsi="Arial"/>
          <w:sz w:val="18"/>
          <w:szCs w:val="18"/>
          <w:color w:val="auto"/>
        </w:rPr>
        <w:t>Pursuant to his employment agreement, in the event (1) Mr. Maskara terminates his employment for “good reason,” (2) we terminate his employment prior to the expiration of his employment agreement (including non-renewal of his agreement) for any reason other than for cause, or (3) Mr. Maskara becomes permanently disabled during the term of his employment agreement, he is entitled to receive “enhanced severance benefits” as described above under “Payments Made Upon Involuntary or Not For Cause Termination,” provided Mr. Maskara (or his personal representative, as applicable) agrees to execute a written general release of any and all possible claims against the Company existing at the time of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60C35"/>
        </w:rPr>
        <w:t>Payments Made Upon a Change in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Definition of Change in Control</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CIC generally includes the occurrence of any of the following events, subject to certain exceptions:</w:t>
      </w:r>
    </w:p>
    <w:p>
      <w:pPr>
        <w:spacing w:after="0" w:line="158" w:lineRule="exact"/>
        <w:rPr>
          <w:sz w:val="20"/>
          <w:szCs w:val="20"/>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acquisition by a third party of 35% or more of our voting stock;</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change in a majority of Board members without majority Board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stockholder approval of the liquidation or dissolution of our Company;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consummation of a merger, consolidation, or reorganization;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consummation of the sale of substantially all corporate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Definition of Good Reason</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 reason,” under the CIC Severance Plan, includes:</w:t>
      </w:r>
    </w:p>
    <w:p>
      <w:pPr>
        <w:spacing w:after="0" w:line="158"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change in the NEO’s authorities, duties, or responsibilities (excluding de minimis changes);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reduction in the NEO’s base salary, target STI bonus, or annual LTI awards;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required relocation of more than 50 miles of the Company’s headquarters;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failure by any successor to adopt and comply with the CIC Severance Plan;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failure to re-elect to the Board any NEO serving as a member of the Board.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Change in Control Benefits</w:t>
      </w:r>
    </w:p>
    <w:p>
      <w:pPr>
        <w:spacing w:after="0" w:line="156"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If an NEO’s employment is terminated by the Company without cause or by the NEO for “good reason” either (1) within two years following a CIC, or (2) within six months prior to a CIC, we will provide the NEO with the following CIC benefits: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60C35"/>
          </w:tcPr>
          <w:p>
            <w:pPr>
              <w:ind w:left="20"/>
              <w:spacing w:after="0"/>
              <w:rPr>
                <w:sz w:val="20"/>
                <w:szCs w:val="20"/>
                <w:color w:val="auto"/>
              </w:rPr>
            </w:pPr>
            <w:r>
              <w:rPr>
                <w:rFonts w:ascii="Arial" w:cs="Arial" w:eastAsia="Arial" w:hAnsi="Arial"/>
                <w:sz w:val="14"/>
                <w:szCs w:val="14"/>
                <w:b w:val="1"/>
                <w:bCs w:val="1"/>
                <w:color w:val="FFFFFF"/>
              </w:rPr>
              <w:t>  Component</w:t>
            </w:r>
          </w:p>
        </w:tc>
        <w:tc>
          <w:tcPr>
            <w:tcW w:w="7240" w:type="dxa"/>
            <w:vAlign w:val="bottom"/>
            <w:shd w:val="clear" w:color="auto" w:fill="C60C35"/>
          </w:tcPr>
          <w:p>
            <w:pPr>
              <w:ind w:left="160"/>
              <w:spacing w:after="0"/>
              <w:rPr>
                <w:sz w:val="20"/>
                <w:szCs w:val="20"/>
                <w:color w:val="auto"/>
              </w:rPr>
            </w:pPr>
            <w:r>
              <w:rPr>
                <w:rFonts w:ascii="Arial" w:cs="Arial" w:eastAsia="Arial" w:hAnsi="Arial"/>
                <w:sz w:val="14"/>
                <w:szCs w:val="14"/>
                <w:b w:val="1"/>
                <w:bCs w:val="1"/>
                <w:color w:val="FFFFFF"/>
              </w:rPr>
              <w:t>CIC Benefit</w:t>
            </w:r>
          </w:p>
        </w:tc>
      </w:tr>
      <w:tr>
        <w:trPr>
          <w:trHeight w:val="67"/>
        </w:trPr>
        <w:tc>
          <w:tcPr>
            <w:tcW w:w="4000" w:type="dxa"/>
            <w:vAlign w:val="bottom"/>
            <w:shd w:val="clear" w:color="auto" w:fill="C60C35"/>
          </w:tcPr>
          <w:p>
            <w:pPr>
              <w:spacing w:after="0"/>
              <w:rPr>
                <w:sz w:val="5"/>
                <w:szCs w:val="5"/>
                <w:color w:val="auto"/>
              </w:rPr>
            </w:pPr>
          </w:p>
        </w:tc>
        <w:tc>
          <w:tcPr>
            <w:tcW w:w="7240" w:type="dxa"/>
            <w:vAlign w:val="bottom"/>
            <w:shd w:val="clear" w:color="auto" w:fill="C60C35"/>
          </w:tcPr>
          <w:p>
            <w:pPr>
              <w:spacing w:after="0"/>
              <w:rPr>
                <w:sz w:val="5"/>
                <w:szCs w:val="5"/>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Base Salary Severance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Lump-sum payment equal to three times the CEO’s annual base salary, and two times annual base salary for</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other NEOs.</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Prorated Bonus</w:t>
            </w:r>
          </w:p>
        </w:tc>
        <w:tc>
          <w:tcPr>
            <w:tcW w:w="7240" w:type="dxa"/>
            <w:vAlign w:val="bottom"/>
          </w:tcPr>
          <w:p>
            <w:pPr>
              <w:ind w:left="160"/>
              <w:spacing w:after="0"/>
              <w:rPr>
                <w:sz w:val="20"/>
                <w:szCs w:val="20"/>
                <w:color w:val="auto"/>
              </w:rPr>
            </w:pPr>
            <w:r>
              <w:rPr>
                <w:rFonts w:ascii="Arial" w:cs="Arial" w:eastAsia="Arial" w:hAnsi="Arial"/>
                <w:sz w:val="14"/>
                <w:szCs w:val="14"/>
                <w:color w:val="auto"/>
              </w:rPr>
              <w:t>Lump-sum payment equal to the NEO’s target bonus, prorated based on the last day of employment.</w:t>
            </w:r>
          </w:p>
        </w:tc>
      </w:tr>
      <w:tr>
        <w:trPr>
          <w:trHeight w:val="22"/>
        </w:trPr>
        <w:tc>
          <w:tcPr>
            <w:tcW w:w="40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Bonus Severance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Lump-sum payment equal to three times the CEO’s target bonus, and two times target bonus for other</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NEOs.</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Payment in Lieu of Outplacement Services</w:t>
            </w:r>
          </w:p>
        </w:tc>
        <w:tc>
          <w:tcPr>
            <w:tcW w:w="7240" w:type="dxa"/>
            <w:vAlign w:val="bottom"/>
          </w:tcPr>
          <w:p>
            <w:pPr>
              <w:ind w:left="160"/>
              <w:spacing w:after="0"/>
              <w:rPr>
                <w:sz w:val="20"/>
                <w:szCs w:val="20"/>
                <w:color w:val="auto"/>
              </w:rPr>
            </w:pPr>
            <w:r>
              <w:rPr>
                <w:rFonts w:ascii="Arial" w:cs="Arial" w:eastAsia="Arial" w:hAnsi="Arial"/>
                <w:sz w:val="14"/>
                <w:szCs w:val="14"/>
                <w:color w:val="auto"/>
              </w:rPr>
              <w:t>Payment for actual cost of outplacement services.</w:t>
            </w:r>
          </w:p>
        </w:tc>
      </w:tr>
      <w:tr>
        <w:trPr>
          <w:trHeight w:val="22"/>
        </w:trPr>
        <w:tc>
          <w:tcPr>
            <w:tcW w:w="40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47"/>
        </w:trPr>
        <w:tc>
          <w:tcPr>
            <w:tcW w:w="400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Post-Employment Health Care Coverage</w:t>
            </w:r>
          </w:p>
        </w:tc>
        <w:tc>
          <w:tcPr>
            <w:tcW w:w="7240" w:type="dxa"/>
            <w:vAlign w:val="bottom"/>
            <w:shd w:val="clear" w:color="auto" w:fill="F1F2F2"/>
          </w:tcPr>
          <w:p>
            <w:pPr>
              <w:ind w:left="160"/>
              <w:spacing w:after="0"/>
              <w:rPr>
                <w:sz w:val="20"/>
                <w:szCs w:val="20"/>
                <w:color w:val="auto"/>
              </w:rPr>
            </w:pPr>
            <w:r>
              <w:rPr>
                <w:rFonts w:ascii="Arial" w:cs="Arial" w:eastAsia="Arial" w:hAnsi="Arial"/>
                <w:sz w:val="14"/>
                <w:szCs w:val="14"/>
                <w:color w:val="auto"/>
              </w:rPr>
              <w:t>Payment of COBRA premiums for up to 36 months for the CEO and 24 months for other NEOs while the</w:t>
            </w:r>
          </w:p>
        </w:tc>
      </w:tr>
      <w:tr>
        <w:trPr>
          <w:trHeight w:val="192"/>
        </w:trPr>
        <w:tc>
          <w:tcPr>
            <w:tcW w:w="4000" w:type="dxa"/>
            <w:vAlign w:val="bottom"/>
            <w:tcBorders>
              <w:bottom w:val="single" w:sz="8" w:color="F1F2F2"/>
            </w:tcBorders>
            <w:shd w:val="clear" w:color="auto" w:fill="F1F2F2"/>
          </w:tcPr>
          <w:p>
            <w:pPr>
              <w:spacing w:after="0"/>
              <w:rPr>
                <w:sz w:val="16"/>
                <w:szCs w:val="16"/>
                <w:color w:val="auto"/>
              </w:rPr>
            </w:pPr>
          </w:p>
        </w:tc>
        <w:tc>
          <w:tcPr>
            <w:tcW w:w="7240" w:type="dxa"/>
            <w:vAlign w:val="bottom"/>
            <w:tcBorders>
              <w:bottom w:val="single" w:sz="8" w:color="F1F2F2"/>
            </w:tcBorders>
            <w:shd w:val="clear" w:color="auto" w:fill="F1F2F2"/>
          </w:tcPr>
          <w:p>
            <w:pPr>
              <w:ind w:left="160"/>
              <w:spacing w:after="0"/>
              <w:rPr>
                <w:sz w:val="20"/>
                <w:szCs w:val="20"/>
                <w:color w:val="auto"/>
              </w:rPr>
            </w:pPr>
            <w:r>
              <w:rPr>
                <w:rFonts w:ascii="Arial" w:cs="Arial" w:eastAsia="Arial" w:hAnsi="Arial"/>
                <w:sz w:val="14"/>
                <w:szCs w:val="14"/>
                <w:color w:val="auto"/>
              </w:rPr>
              <w:t>NEO is unemployed and not eligible for other group health coverage.</w:t>
            </w:r>
          </w:p>
        </w:tc>
      </w:tr>
      <w:tr>
        <w:trPr>
          <w:trHeight w:val="262"/>
        </w:trPr>
        <w:tc>
          <w:tcPr>
            <w:tcW w:w="4000" w:type="dxa"/>
            <w:vAlign w:val="bottom"/>
          </w:tcPr>
          <w:p>
            <w:pPr>
              <w:ind w:left="100"/>
              <w:spacing w:after="0"/>
              <w:rPr>
                <w:sz w:val="20"/>
                <w:szCs w:val="20"/>
                <w:color w:val="auto"/>
              </w:rPr>
            </w:pPr>
            <w:r>
              <w:rPr>
                <w:rFonts w:ascii="Arial" w:cs="Arial" w:eastAsia="Arial" w:hAnsi="Arial"/>
                <w:sz w:val="14"/>
                <w:szCs w:val="14"/>
                <w:color w:val="auto"/>
              </w:rPr>
              <w:t>Accrued Vacation</w:t>
            </w:r>
          </w:p>
        </w:tc>
        <w:tc>
          <w:tcPr>
            <w:tcW w:w="7240" w:type="dxa"/>
            <w:vAlign w:val="bottom"/>
          </w:tcPr>
          <w:p>
            <w:pPr>
              <w:ind w:left="160"/>
              <w:spacing w:after="0"/>
              <w:rPr>
                <w:sz w:val="20"/>
                <w:szCs w:val="20"/>
                <w:color w:val="auto"/>
              </w:rPr>
            </w:pPr>
            <w:r>
              <w:rPr>
                <w:rFonts w:ascii="Arial" w:cs="Arial" w:eastAsia="Arial" w:hAnsi="Arial"/>
                <w:sz w:val="14"/>
                <w:szCs w:val="14"/>
                <w:color w:val="auto"/>
              </w:rPr>
              <w:t>A lump-sum payment equal to unused, accrued vacation days.</w:t>
            </w:r>
          </w:p>
        </w:tc>
      </w:tr>
    </w:tbl>
    <w:p>
      <w:pPr>
        <w:spacing w:after="0" w:line="205"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Upon termination in connection with CIC, all outstanding SARs, RSUs and PSUs held by the NEO immediately vest and become exercisable, with applicable performance measures for outstanding PSUs deemed to have been satisfied at the greater of target or actual performance level. NEOs who are terminated within one year following a CIC have 90 days to exercise outstanding SARs.</w:t>
      </w:r>
    </w:p>
    <w:p>
      <w:pPr>
        <w:spacing w:after="0" w:line="128" w:lineRule="exact"/>
        <w:rPr>
          <w:sz w:val="20"/>
          <w:szCs w:val="20"/>
          <w:color w:val="auto"/>
        </w:rPr>
      </w:pPr>
    </w:p>
    <w:p>
      <w:pPr>
        <w:ind w:right="240" w:firstLine="324"/>
        <w:spacing w:after="0" w:line="271" w:lineRule="auto"/>
        <w:rPr>
          <w:sz w:val="20"/>
          <w:szCs w:val="20"/>
          <w:color w:val="auto"/>
        </w:rPr>
      </w:pPr>
      <w:r>
        <w:rPr>
          <w:rFonts w:ascii="Arial" w:cs="Arial" w:eastAsia="Arial" w:hAnsi="Arial"/>
          <w:sz w:val="18"/>
          <w:szCs w:val="18"/>
          <w:color w:val="auto"/>
        </w:rPr>
        <w:t>To receive these CIC benefits, NEOs agree to certain post-employment covenants, including non-competition of employment and non-solicitation of employees and customers.</w:t>
      </w: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rPr>
          <w:sz w:val="20"/>
          <w:szCs w:val="20"/>
          <w:color w:val="auto"/>
        </w:rPr>
      </w:pPr>
      <w:r>
        <w:rPr>
          <w:rFonts w:ascii="Arial" w:cs="Arial" w:eastAsia="Arial" w:hAnsi="Arial"/>
          <w:sz w:val="22"/>
          <w:szCs w:val="22"/>
          <w:b w:val="1"/>
          <w:bCs w:val="1"/>
          <w:color w:val="C60C35"/>
        </w:rPr>
        <w:t>Tables Illustrating Potential Payments Upon Termination or Change in Control</w:t>
      </w:r>
    </w:p>
    <w:p>
      <w:pPr>
        <w:spacing w:after="0" w:line="10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The following tables provide information regarding the benefits to which each NEO would be entitled in the event of termination of such individual’s employment with our Company under specified circumstances, including a CIC. Except as otherwise noted, the amounts shown</w:t>
      </w:r>
    </w:p>
    <w:p>
      <w:pPr>
        <w:ind w:right="200" w:firstLine="8"/>
        <w:spacing w:after="0" w:line="259" w:lineRule="auto"/>
        <w:tabs>
          <w:tab w:leader="none" w:pos="27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are estimates only, and (2) assume that (a) termination was effective as of December 31, 2025, (b) the NEO did not take any vacation days in 2025, (c) in the case of disability, the NEO elects to receive “enhanced severance benefits,” (d) in the case of CIC, the NEO terminates for “good reason” or is involuntarily terminated without cause, and (e) that financial performance is tracking at target for PSU awards. The amounts shown for Long-Term Equity Accelerated Vesting reflect pro-rata vesting of unvested RSUs and PSUs in the event of retirement, death, and disability and immediate vesting of unvested SARs in the event of death and disability, as described above. These amounts are based on the NYSE closing price of our common stock on December 31, 2025, which was $485.58. The tables do not include pension or deferred compensation benefits described above under 2025 Pension Benefits and 2025 Nonqualified Deferred Compensation.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14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92" w:lineRule="exact"/>
        <w:rPr>
          <w:sz w:val="20"/>
          <w:szCs w:val="20"/>
          <w:color w:val="auto"/>
        </w:rPr>
      </w:pPr>
    </w:p>
    <w:p>
      <w:pPr>
        <w:jc w:val="center"/>
        <w:ind w:left="1280"/>
        <w:spacing w:after="0"/>
        <w:rPr>
          <w:sz w:val="20"/>
          <w:szCs w:val="20"/>
          <w:color w:val="auto"/>
        </w:rPr>
      </w:pPr>
      <w:r>
        <w:rPr>
          <w:rFonts w:ascii="Arial" w:cs="Arial" w:eastAsia="Arial" w:hAnsi="Arial"/>
          <w:sz w:val="13"/>
          <w:szCs w:val="13"/>
          <w:b w:val="1"/>
          <w:bCs w:val="1"/>
          <w:color w:val="FFFFFF"/>
        </w:rPr>
        <w:t>Involuntary-Not For Cause</w:t>
      </w:r>
    </w:p>
    <w:p>
      <w:pPr>
        <w:spacing w:after="0" w:line="22" w:lineRule="exact"/>
        <w:rPr>
          <w:sz w:val="20"/>
          <w:szCs w:val="20"/>
          <w:color w:val="auto"/>
        </w:rPr>
      </w:pPr>
    </w:p>
    <w:p>
      <w:pPr>
        <w:jc w:val="center"/>
        <w:ind w:left="1280"/>
        <w:spacing w:after="0"/>
        <w:rPr>
          <w:sz w:val="20"/>
          <w:szCs w:val="20"/>
          <w:color w:val="auto"/>
        </w:rPr>
      </w:pPr>
      <w:r>
        <w:rPr>
          <w:rFonts w:ascii="Arial" w:cs="Arial" w:eastAsia="Arial" w:hAnsi="Arial"/>
          <w:sz w:val="13"/>
          <w:szCs w:val="13"/>
          <w:b w:val="1"/>
          <w:bCs w:val="1"/>
          <w:color w:val="FFFFFF"/>
        </w:rPr>
        <w:t>Termination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Component</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06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102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Normal</w:t>
            </w:r>
          </w:p>
        </w:tc>
        <w:tc>
          <w:tcPr>
            <w:tcW w:w="1000" w:type="dxa"/>
            <w:vAlign w:val="bottom"/>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Enhanced</w:t>
            </w:r>
          </w:p>
        </w:tc>
        <w:tc>
          <w:tcPr>
            <w:tcW w:w="900" w:type="dxa"/>
            <w:vAlign w:val="bottom"/>
            <w:vMerge w:val="restart"/>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Death</w:t>
            </w:r>
          </w:p>
        </w:tc>
        <w:tc>
          <w:tcPr>
            <w:tcW w:w="1000" w:type="dxa"/>
            <w:vAlign w:val="bottom"/>
            <w:vMerge w:val="restart"/>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For Cause</w:t>
            </w:r>
          </w:p>
        </w:tc>
        <w:tc>
          <w:tcPr>
            <w:tcW w:w="98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24"/>
        </w:trPr>
        <w:tc>
          <w:tcPr>
            <w:tcW w:w="3240" w:type="dxa"/>
            <w:vAlign w:val="bottom"/>
            <w:vMerge w:val="continue"/>
          </w:tcPr>
          <w:p>
            <w:pPr>
              <w:spacing w:after="0"/>
              <w:rPr>
                <w:sz w:val="19"/>
                <w:szCs w:val="19"/>
                <w:color w:val="auto"/>
              </w:rPr>
            </w:pPr>
          </w:p>
        </w:tc>
        <w:tc>
          <w:tcPr>
            <w:tcW w:w="102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060" w:type="dxa"/>
            <w:vAlign w:val="bottom"/>
            <w:tcBorders>
              <w:bottom w:val="single" w:sz="8" w:color="C60C35"/>
            </w:tcBorders>
            <w:vMerge w:val="continue"/>
            <w:shd w:val="clear" w:color="auto" w:fill="C60C35"/>
          </w:tcPr>
          <w:p>
            <w:pPr>
              <w:spacing w:after="0"/>
              <w:rPr>
                <w:sz w:val="19"/>
                <w:szCs w:val="19"/>
                <w:color w:val="auto"/>
              </w:rPr>
            </w:pPr>
          </w:p>
        </w:tc>
        <w:tc>
          <w:tcPr>
            <w:tcW w:w="102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Severance</w:t>
            </w:r>
          </w:p>
        </w:tc>
        <w:tc>
          <w:tcPr>
            <w:tcW w:w="1000" w:type="dxa"/>
            <w:vAlign w:val="bottom"/>
            <w:tcBorders>
              <w:bottom w:val="single" w:sz="8" w:color="C60C35"/>
            </w:tcBorders>
            <w:shd w:val="clear" w:color="auto" w:fill="C60C35"/>
          </w:tcPr>
          <w:p>
            <w:pPr>
              <w:jc w:val="right"/>
              <w:ind w:right="57"/>
              <w:spacing w:after="0"/>
              <w:rPr>
                <w:sz w:val="20"/>
                <w:szCs w:val="20"/>
                <w:color w:val="auto"/>
              </w:rPr>
            </w:pPr>
            <w:r>
              <w:rPr>
                <w:rFonts w:ascii="Arial" w:cs="Arial" w:eastAsia="Arial" w:hAnsi="Arial"/>
                <w:sz w:val="13"/>
                <w:szCs w:val="13"/>
                <w:b w:val="1"/>
                <w:bCs w:val="1"/>
                <w:color w:val="FFFFFF"/>
              </w:rPr>
              <w:t>Severance</w:t>
            </w:r>
            <w:r>
              <w:rPr>
                <w:rFonts w:ascii="Arial" w:cs="Arial" w:eastAsia="Arial" w:hAnsi="Arial"/>
                <w:sz w:val="16"/>
                <w:szCs w:val="16"/>
                <w:b w:val="1"/>
                <w:bCs w:val="1"/>
                <w:color w:val="FFFFFF"/>
                <w:vertAlign w:val="superscript"/>
              </w:rPr>
              <w:t>(2)</w:t>
            </w:r>
          </w:p>
        </w:tc>
        <w:tc>
          <w:tcPr>
            <w:tcW w:w="900" w:type="dxa"/>
            <w:vAlign w:val="bottom"/>
            <w:tcBorders>
              <w:bottom w:val="single" w:sz="8" w:color="C60C35"/>
            </w:tcBorders>
            <w:vMerge w:val="continue"/>
            <w:shd w:val="clear" w:color="auto" w:fill="C60C35"/>
          </w:tcPr>
          <w:p>
            <w:pPr>
              <w:spacing w:after="0"/>
              <w:rPr>
                <w:sz w:val="19"/>
                <w:szCs w:val="19"/>
                <w:color w:val="auto"/>
              </w:rPr>
            </w:pPr>
          </w:p>
        </w:tc>
        <w:tc>
          <w:tcPr>
            <w:tcW w:w="1000" w:type="dxa"/>
            <w:vAlign w:val="bottom"/>
            <w:tcBorders>
              <w:bottom w:val="single" w:sz="8" w:color="C60C35"/>
            </w:tcBorders>
            <w:vMerge w:val="continue"/>
            <w:shd w:val="clear" w:color="auto" w:fill="C60C35"/>
          </w:tcPr>
          <w:p>
            <w:pPr>
              <w:spacing w:after="0"/>
              <w:rPr>
                <w:sz w:val="19"/>
                <w:szCs w:val="19"/>
                <w:color w:val="auto"/>
              </w:rPr>
            </w:pPr>
          </w:p>
        </w:tc>
        <w:tc>
          <w:tcPr>
            <w:tcW w:w="102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Termination</w:t>
            </w:r>
          </w:p>
        </w:tc>
        <w:tc>
          <w:tcPr>
            <w:tcW w:w="98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$296,250</w:t>
            </w:r>
          </w:p>
        </w:tc>
        <w:tc>
          <w:tcPr>
            <w:tcW w:w="10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$2,370,000</w:t>
            </w:r>
          </w:p>
        </w:tc>
        <w:tc>
          <w:tcPr>
            <w:tcW w:w="9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$296,250</w:t>
            </w:r>
          </w:p>
        </w:tc>
        <w:tc>
          <w:tcPr>
            <w:tcW w:w="10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$2,370,000</w:t>
            </w:r>
          </w:p>
        </w:tc>
        <w:tc>
          <w:tcPr>
            <w:tcW w:w="102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$3,555,000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20" w:type="dxa"/>
            <w:vAlign w:val="bottom"/>
          </w:tcPr>
          <w:p>
            <w:pPr>
              <w:jc w:val="right"/>
              <w:spacing w:after="0"/>
              <w:rPr>
                <w:sz w:val="20"/>
                <w:szCs w:val="20"/>
                <w:color w:val="auto"/>
              </w:rPr>
            </w:pPr>
            <w:r>
              <w:rPr>
                <w:rFonts w:ascii="Arial" w:cs="Arial" w:eastAsia="Arial" w:hAnsi="Arial"/>
                <w:sz w:val="13"/>
                <w:szCs w:val="13"/>
                <w:color w:val="auto"/>
              </w:rPr>
              <w:t>n/a</w:t>
            </w:r>
          </w:p>
        </w:tc>
        <w:tc>
          <w:tcPr>
            <w:tcW w:w="1060" w:type="dxa"/>
            <w:vAlign w:val="bottom"/>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1,481,250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5,678,696</w:t>
            </w:r>
          </w:p>
        </w:tc>
        <w:tc>
          <w:tcPr>
            <w:tcW w:w="9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5,678,696</w:t>
            </w:r>
          </w:p>
        </w:tc>
        <w:tc>
          <w:tcPr>
            <w:tcW w:w="102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4,443,750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118,500</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118,500</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118,500</w:t>
            </w:r>
          </w:p>
        </w:tc>
        <w:tc>
          <w:tcPr>
            <w:tcW w:w="9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118,500</w:t>
            </w:r>
          </w:p>
        </w:tc>
        <w:tc>
          <w:tcPr>
            <w:tcW w:w="102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60,293</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94,091</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Long-Term Equity Accelerated Vesting</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F1F2F2"/>
            </w:tcBorders>
            <w:shd w:val="clear" w:color="auto" w:fill="F1F2F2"/>
          </w:tcPr>
          <w:p>
            <w:pPr>
              <w:jc w:val="right"/>
              <w:ind w:right="57"/>
              <w:spacing w:after="0"/>
              <w:rPr>
                <w:sz w:val="20"/>
                <w:szCs w:val="20"/>
                <w:color w:val="auto"/>
              </w:rPr>
            </w:pPr>
            <w:r>
              <w:rPr>
                <w:rFonts w:ascii="Arial" w:cs="Arial" w:eastAsia="Arial" w:hAnsi="Arial"/>
                <w:sz w:val="13"/>
                <w:szCs w:val="13"/>
                <w:color w:val="auto"/>
              </w:rPr>
              <w:t>7,837,181</w:t>
            </w:r>
          </w:p>
        </w:tc>
        <w:tc>
          <w:tcPr>
            <w:tcW w:w="100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7,837,181</w:t>
            </w:r>
          </w:p>
        </w:tc>
        <w:tc>
          <w:tcPr>
            <w:tcW w:w="102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9,307,517</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20" w:type="dxa"/>
            <w:vAlign w:val="bottom"/>
          </w:tcPr>
          <w:p>
            <w:pPr>
              <w:jc w:val="right"/>
              <w:spacing w:after="0"/>
              <w:rPr>
                <w:sz w:val="20"/>
                <w:szCs w:val="20"/>
                <w:color w:val="auto"/>
              </w:rPr>
            </w:pPr>
            <w:r>
              <w:rPr>
                <w:rFonts w:ascii="Arial" w:cs="Arial" w:eastAsia="Arial" w:hAnsi="Arial"/>
                <w:sz w:val="13"/>
                <w:szCs w:val="13"/>
                <w:color w:val="auto"/>
              </w:rPr>
              <w:t>113,942</w:t>
            </w:r>
          </w:p>
        </w:tc>
        <w:tc>
          <w:tcPr>
            <w:tcW w:w="1060" w:type="dxa"/>
            <w:vAlign w:val="bottom"/>
          </w:tcPr>
          <w:p>
            <w:pPr>
              <w:jc w:val="right"/>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113,942</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113,942</w:t>
            </w:r>
          </w:p>
        </w:tc>
        <w:tc>
          <w:tcPr>
            <w:tcW w:w="900" w:type="dxa"/>
            <w:vAlign w:val="bottom"/>
          </w:tcPr>
          <w:p>
            <w:pPr>
              <w:jc w:val="right"/>
              <w:ind w:right="57"/>
              <w:spacing w:after="0"/>
              <w:rPr>
                <w:sz w:val="20"/>
                <w:szCs w:val="20"/>
                <w:color w:val="auto"/>
              </w:rPr>
            </w:pPr>
            <w:r>
              <w:rPr>
                <w:rFonts w:ascii="Arial" w:cs="Arial" w:eastAsia="Arial" w:hAnsi="Arial"/>
                <w:sz w:val="13"/>
                <w:szCs w:val="13"/>
                <w:color w:val="auto"/>
              </w:rPr>
              <w:t>113,942</w:t>
            </w:r>
          </w:p>
        </w:tc>
        <w:tc>
          <w:tcPr>
            <w:tcW w:w="1000" w:type="dxa"/>
            <w:vAlign w:val="bottom"/>
          </w:tcPr>
          <w:p>
            <w:pPr>
              <w:jc w:val="right"/>
              <w:ind w:right="97"/>
              <w:spacing w:after="0"/>
              <w:rPr>
                <w:sz w:val="20"/>
                <w:szCs w:val="20"/>
                <w:color w:val="auto"/>
              </w:rPr>
            </w:pPr>
            <w:r>
              <w:rPr>
                <w:rFonts w:ascii="Arial" w:cs="Arial" w:eastAsia="Arial" w:hAnsi="Arial"/>
                <w:sz w:val="13"/>
                <w:szCs w:val="13"/>
                <w:color w:val="auto"/>
              </w:rPr>
              <w:t>113,942</w:t>
            </w:r>
          </w:p>
        </w:tc>
        <w:tc>
          <w:tcPr>
            <w:tcW w:w="1020" w:type="dxa"/>
            <w:vAlign w:val="bottom"/>
          </w:tcPr>
          <w:p>
            <w:pPr>
              <w:jc w:val="right"/>
              <w:ind w:right="77"/>
              <w:spacing w:after="0"/>
              <w:rPr>
                <w:sz w:val="20"/>
                <w:szCs w:val="20"/>
                <w:color w:val="auto"/>
              </w:rPr>
            </w:pPr>
            <w:r>
              <w:rPr>
                <w:rFonts w:ascii="Arial" w:cs="Arial" w:eastAsia="Arial" w:hAnsi="Arial"/>
                <w:sz w:val="13"/>
                <w:szCs w:val="13"/>
                <w:color w:val="auto"/>
              </w:rPr>
              <w:t>113,942</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113,942</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1F2F2"/>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2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$113,942</w:t>
            </w:r>
          </w:p>
        </w:tc>
        <w:tc>
          <w:tcPr>
            <w:tcW w:w="106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n/a</w:t>
            </w:r>
          </w:p>
        </w:tc>
        <w:tc>
          <w:tcPr>
            <w:tcW w:w="102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$410,192</w:t>
            </w:r>
          </w:p>
        </w:tc>
        <w:tc>
          <w:tcPr>
            <w:tcW w:w="1000" w:type="dxa"/>
            <w:vAlign w:val="bottom"/>
            <w:shd w:val="clear" w:color="auto" w:fill="F1F2F2"/>
          </w:tcPr>
          <w:p>
            <w:pPr>
              <w:jc w:val="right"/>
              <w:ind w:right="57"/>
              <w:spacing w:after="0"/>
              <w:rPr>
                <w:sz w:val="20"/>
                <w:szCs w:val="20"/>
                <w:color w:val="auto"/>
              </w:rPr>
            </w:pPr>
            <w:r>
              <w:rPr>
                <w:rFonts w:ascii="Arial" w:cs="Arial" w:eastAsia="Arial" w:hAnsi="Arial"/>
                <w:sz w:val="13"/>
                <w:szCs w:val="13"/>
                <w:b w:val="1"/>
                <w:bCs w:val="1"/>
                <w:color w:val="auto"/>
              </w:rPr>
              <w:t>$8,459,931</w:t>
            </w:r>
          </w:p>
        </w:tc>
        <w:tc>
          <w:tcPr>
            <w:tcW w:w="900" w:type="dxa"/>
            <w:vAlign w:val="bottom"/>
            <w:shd w:val="clear" w:color="auto" w:fill="F1F2F2"/>
          </w:tcPr>
          <w:p>
            <w:pPr>
              <w:jc w:val="right"/>
              <w:ind w:right="57"/>
              <w:spacing w:after="0"/>
              <w:rPr>
                <w:sz w:val="20"/>
                <w:szCs w:val="20"/>
                <w:color w:val="auto"/>
              </w:rPr>
            </w:pPr>
            <w:r>
              <w:rPr>
                <w:rFonts w:ascii="Arial" w:cs="Arial" w:eastAsia="Arial" w:hAnsi="Arial"/>
                <w:sz w:val="13"/>
                <w:szCs w:val="13"/>
                <w:b w:val="1"/>
                <w:bCs w:val="1"/>
                <w:color w:val="auto"/>
              </w:rPr>
              <w:t>$8,247,373</w:t>
            </w:r>
          </w:p>
        </w:tc>
        <w:tc>
          <w:tcPr>
            <w:tcW w:w="100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$16,236,819</w:t>
            </w:r>
          </w:p>
        </w:tc>
        <w:tc>
          <w:tcPr>
            <w:tcW w:w="102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$113,942</w:t>
            </w:r>
          </w:p>
        </w:tc>
        <w:tc>
          <w:tcPr>
            <w:tcW w:w="98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$19,001,525</w:t>
            </w:r>
          </w:p>
        </w:tc>
        <w:tc>
          <w:tcPr>
            <w:tcW w:w="0" w:type="dxa"/>
            <w:vAlign w:val="bottom"/>
          </w:tcPr>
          <w:p>
            <w:pPr>
              <w:spacing w:after="0"/>
              <w:rPr>
                <w:sz w:val="1"/>
                <w:szCs w:val="1"/>
                <w:color w:val="auto"/>
              </w:rPr>
            </w:pPr>
          </w:p>
        </w:tc>
      </w:tr>
      <w:tr>
        <w:trPr>
          <w:trHeight w:val="22"/>
        </w:trPr>
        <w:tc>
          <w:tcPr>
            <w:tcW w:w="32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106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1000" w:type="dxa"/>
            <w:vAlign w:val="bottom"/>
            <w:shd w:val="clear" w:color="auto" w:fill="F1F2F2"/>
          </w:tcPr>
          <w:p>
            <w:pPr>
              <w:spacing w:after="0" w:line="20" w:lineRule="exact"/>
              <w:rPr>
                <w:sz w:val="1"/>
                <w:szCs w:val="1"/>
                <w:color w:val="auto"/>
              </w:rPr>
            </w:pPr>
          </w:p>
        </w:tc>
        <w:tc>
          <w:tcPr>
            <w:tcW w:w="900" w:type="dxa"/>
            <w:vAlign w:val="bottom"/>
            <w:shd w:val="clear" w:color="auto" w:fill="F1F2F2"/>
          </w:tcPr>
          <w:p>
            <w:pPr>
              <w:spacing w:after="0" w:line="20" w:lineRule="exact"/>
              <w:rPr>
                <w:sz w:val="1"/>
                <w:szCs w:val="1"/>
                <w:color w:val="auto"/>
              </w:rPr>
            </w:pPr>
          </w:p>
        </w:tc>
        <w:tc>
          <w:tcPr>
            <w:tcW w:w="100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98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Maskara did not meet retirement eligibility requirements on December 31, 2025.</w:t>
      </w:r>
    </w:p>
    <w:p>
      <w:pPr>
        <w:spacing w:after="0" w:line="122" w:lineRule="exact"/>
        <w:rPr>
          <w:rFonts w:ascii="Arial" w:cs="Arial" w:eastAsia="Arial" w:hAnsi="Arial"/>
          <w:sz w:val="14"/>
          <w:szCs w:val="14"/>
          <w:color w:val="auto"/>
        </w:rPr>
      </w:pPr>
    </w:p>
    <w:p>
      <w:pPr>
        <w:ind w:left="340" w:right="240" w:hanging="332"/>
        <w:spacing w:after="0" w:line="305" w:lineRule="auto"/>
        <w:tabs>
          <w:tab w:leader="none" w:pos="327"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amounts shown reflect the same severance benefits that would be provided to Mr. Maskara if he terminated employment with our Company for “good reason” under his employment agreement as discussed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Michael P. Quenzer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9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11"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shd w:val="clear" w:color="auto" w:fill="C60C35"/>
          </w:tcPr>
          <w:p>
            <w:pPr>
              <w:spacing w:after="0"/>
              <w:rPr>
                <w:sz w:val="14"/>
                <w:szCs w:val="14"/>
                <w:color w:val="auto"/>
              </w:rPr>
            </w:pP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960" w:type="dxa"/>
            <w:vAlign w:val="bottom"/>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Enhanced</w:t>
            </w:r>
          </w:p>
        </w:tc>
        <w:tc>
          <w:tcPr>
            <w:tcW w:w="940" w:type="dxa"/>
            <w:vAlign w:val="bottom"/>
            <w:shd w:val="clear" w:color="auto" w:fill="C60C35"/>
          </w:tcPr>
          <w:p>
            <w:pPr>
              <w:spacing w:after="0"/>
              <w:rPr>
                <w:sz w:val="14"/>
                <w:szCs w:val="14"/>
                <w:color w:val="auto"/>
              </w:rPr>
            </w:pPr>
          </w:p>
        </w:tc>
        <w:tc>
          <w:tcPr>
            <w:tcW w:w="960" w:type="dxa"/>
            <w:vAlign w:val="bottom"/>
            <w:shd w:val="clear" w:color="auto" w:fill="C60C35"/>
          </w:tcPr>
          <w:p>
            <w:pPr>
              <w:spacing w:after="0"/>
              <w:rPr>
                <w:sz w:val="14"/>
                <w:szCs w:val="14"/>
                <w:color w:val="auto"/>
              </w:rPr>
            </w:pPr>
          </w:p>
        </w:tc>
        <w:tc>
          <w:tcPr>
            <w:tcW w:w="10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r>
      <w:tr>
        <w:trPr>
          <w:trHeight w:val="227"/>
        </w:trPr>
        <w:tc>
          <w:tcPr>
            <w:tcW w:w="3240" w:type="dxa"/>
            <w:vAlign w:val="bottom"/>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96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6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Disability</w:t>
            </w:r>
          </w:p>
        </w:tc>
        <w:tc>
          <w:tcPr>
            <w:tcW w:w="10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$162,500</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$1,300,000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$162,500</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$1,300,000</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$1,300,000</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487,500</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1,232,547</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1,232,547</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975,000</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65,000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65,000</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65,000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65,000</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56,505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56,505</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1,440,581</w:t>
            </w:r>
          </w:p>
        </w:tc>
        <w:tc>
          <w:tcPr>
            <w:tcW w:w="96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1,440,581</w:t>
            </w:r>
          </w:p>
        </w:tc>
        <w:tc>
          <w:tcPr>
            <w:tcW w:w="10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1,758,150</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62,500</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62,500</w:t>
            </w: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62,500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62,500</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62,500</w:t>
            </w: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62,500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62,500</w:t>
            </w:r>
          </w:p>
        </w:tc>
      </w:tr>
      <w:tr>
        <w:trPr>
          <w:trHeight w:val="28"/>
        </w:trPr>
        <w:tc>
          <w:tcPr>
            <w:tcW w:w="3240" w:type="dxa"/>
            <w:vAlign w:val="bottom"/>
            <w:tcBorders>
              <w:bottom w:val="single" w:sz="8" w:color="F1F2F2"/>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32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$62,500</w:t>
            </w:r>
          </w:p>
        </w:tc>
        <w:tc>
          <w:tcPr>
            <w:tcW w:w="11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n/a</w:t>
            </w:r>
          </w:p>
        </w:tc>
        <w:tc>
          <w:tcPr>
            <w:tcW w:w="960" w:type="dxa"/>
            <w:vAlign w:val="bottom"/>
            <w:shd w:val="clear" w:color="auto" w:fill="F1F2F2"/>
          </w:tcPr>
          <w:p>
            <w:pPr>
              <w:jc w:val="right"/>
              <w:ind w:right="137"/>
              <w:spacing w:after="0"/>
              <w:rPr>
                <w:sz w:val="20"/>
                <w:szCs w:val="20"/>
                <w:color w:val="auto"/>
              </w:rPr>
            </w:pPr>
            <w:r>
              <w:rPr>
                <w:rFonts w:ascii="Arial" w:cs="Arial" w:eastAsia="Arial" w:hAnsi="Arial"/>
                <w:sz w:val="13"/>
                <w:szCs w:val="13"/>
                <w:b w:val="1"/>
                <w:bCs w:val="1"/>
                <w:color w:val="auto"/>
              </w:rPr>
              <w:t>$225,000</w:t>
            </w:r>
          </w:p>
        </w:tc>
        <w:tc>
          <w:tcPr>
            <w:tcW w:w="9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$2,781,552</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$1,665,581</w:t>
            </w:r>
          </w:p>
        </w:tc>
        <w:tc>
          <w:tcPr>
            <w:tcW w:w="96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$4,165,628</w:t>
            </w:r>
          </w:p>
        </w:tc>
        <w:tc>
          <w:tcPr>
            <w:tcW w:w="10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$62,500</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$4,645,630</w:t>
            </w:r>
          </w:p>
        </w:tc>
      </w:tr>
      <w:tr>
        <w:trPr>
          <w:trHeight w:val="22"/>
        </w:trPr>
        <w:tc>
          <w:tcPr>
            <w:tcW w:w="324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Mr. Quenzer did not meet retirement eligibility requirements on December 31, 2025.</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C60C35"/>
        </w:rPr>
        <w:t>Sarah 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514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2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04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108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102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Enhanced</w:t>
            </w:r>
          </w:p>
        </w:tc>
        <w:tc>
          <w:tcPr>
            <w:tcW w:w="880" w:type="dxa"/>
            <w:vAlign w:val="bottom"/>
            <w:vMerge w:val="restart"/>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60" w:type="dxa"/>
            <w:vAlign w:val="bottom"/>
            <w:vMerge w:val="restart"/>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Disability</w:t>
            </w:r>
          </w:p>
        </w:tc>
        <w:tc>
          <w:tcPr>
            <w:tcW w:w="104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040" w:type="dxa"/>
            <w:vAlign w:val="bottom"/>
            <w:tcBorders>
              <w:bottom w:val="single" w:sz="8" w:color="C60C35"/>
            </w:tcBorders>
            <w:vMerge w:val="continue"/>
            <w:shd w:val="clear" w:color="auto" w:fill="C60C35"/>
          </w:tcPr>
          <w:p>
            <w:pPr>
              <w:spacing w:after="0"/>
              <w:rPr>
                <w:sz w:val="18"/>
                <w:szCs w:val="18"/>
                <w:color w:val="auto"/>
              </w:rPr>
            </w:pPr>
          </w:p>
        </w:tc>
        <w:tc>
          <w:tcPr>
            <w:tcW w:w="108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102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880" w:type="dxa"/>
            <w:vAlign w:val="bottom"/>
            <w:tcBorders>
              <w:bottom w:val="single" w:sz="8" w:color="C60C35"/>
            </w:tcBorders>
            <w:vMerge w:val="continue"/>
            <w:shd w:val="clear" w:color="auto" w:fill="C60C35"/>
          </w:tcPr>
          <w:p>
            <w:pPr>
              <w:spacing w:after="0"/>
              <w:rPr>
                <w:sz w:val="18"/>
                <w:szCs w:val="18"/>
                <w:color w:val="auto"/>
              </w:rPr>
            </w:pPr>
          </w:p>
        </w:tc>
        <w:tc>
          <w:tcPr>
            <w:tcW w:w="960" w:type="dxa"/>
            <w:vAlign w:val="bottom"/>
            <w:tcBorders>
              <w:bottom w:val="single" w:sz="8" w:color="C60C35"/>
            </w:tcBorders>
            <w:vMerge w:val="continue"/>
            <w:shd w:val="clear" w:color="auto" w:fill="C60C35"/>
          </w:tcPr>
          <w:p>
            <w:pPr>
              <w:spacing w:after="0"/>
              <w:rPr>
                <w:sz w:val="18"/>
                <w:szCs w:val="18"/>
                <w:color w:val="auto"/>
              </w:rPr>
            </w:pPr>
          </w:p>
        </w:tc>
        <w:tc>
          <w:tcPr>
            <w:tcW w:w="104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$150,000</w:t>
            </w:r>
          </w:p>
        </w:tc>
        <w:tc>
          <w:tcPr>
            <w:tcW w:w="102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$600,000</w:t>
            </w:r>
          </w:p>
        </w:tc>
        <w:tc>
          <w:tcPr>
            <w:tcW w:w="88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$150,000</w:t>
            </w:r>
          </w:p>
        </w:tc>
        <w:tc>
          <w:tcPr>
            <w:tcW w:w="96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$600,000</w:t>
            </w:r>
          </w:p>
        </w:tc>
        <w:tc>
          <w:tcPr>
            <w:tcW w:w="104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$1,200,000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450,000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60,000</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60,000</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60,000</w:t>
            </w:r>
          </w:p>
        </w:tc>
        <w:tc>
          <w:tcPr>
            <w:tcW w:w="88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60,000</w:t>
            </w:r>
          </w:p>
        </w:tc>
        <w:tc>
          <w:tcPr>
            <w:tcW w:w="104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56,750</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56,750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444,791</w:t>
            </w:r>
          </w:p>
        </w:tc>
        <w:tc>
          <w:tcPr>
            <w:tcW w:w="96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444,791</w:t>
            </w:r>
          </w:p>
        </w:tc>
        <w:tc>
          <w:tcPr>
            <w:tcW w:w="104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1,142,569</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57,692</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080" w:type="dxa"/>
            <w:vAlign w:val="bottom"/>
          </w:tcPr>
          <w:p>
            <w:pPr>
              <w:jc w:val="right"/>
              <w:ind w:right="137"/>
              <w:spacing w:after="0"/>
              <w:rPr>
                <w:sz w:val="20"/>
                <w:szCs w:val="20"/>
                <w:color w:val="auto"/>
              </w:rPr>
            </w:pPr>
            <w:r>
              <w:rPr>
                <w:rFonts w:ascii="Arial" w:cs="Arial" w:eastAsia="Arial" w:hAnsi="Arial"/>
                <w:sz w:val="13"/>
                <w:szCs w:val="13"/>
                <w:color w:val="auto"/>
              </w:rPr>
              <w:t>57,692</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57,692</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57,692</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57,692</w:t>
            </w:r>
          </w:p>
        </w:tc>
        <w:tc>
          <w:tcPr>
            <w:tcW w:w="1040" w:type="dxa"/>
            <w:vAlign w:val="bottom"/>
          </w:tcPr>
          <w:p>
            <w:pPr>
              <w:jc w:val="right"/>
              <w:ind w:right="117"/>
              <w:spacing w:after="0"/>
              <w:rPr>
                <w:sz w:val="20"/>
                <w:szCs w:val="20"/>
                <w:color w:val="auto"/>
              </w:rPr>
            </w:pPr>
            <w:r>
              <w:rPr>
                <w:rFonts w:ascii="Arial" w:cs="Arial" w:eastAsia="Arial" w:hAnsi="Arial"/>
                <w:sz w:val="13"/>
                <w:szCs w:val="13"/>
                <w:color w:val="auto"/>
              </w:rPr>
              <w:t>57,692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57,692</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3F3F3"/>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F3F3F3"/>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$57,692</w:t>
            </w:r>
          </w:p>
        </w:tc>
        <w:tc>
          <w:tcPr>
            <w:tcW w:w="104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n/a</w:t>
            </w:r>
          </w:p>
        </w:tc>
        <w:tc>
          <w:tcPr>
            <w:tcW w:w="1080" w:type="dxa"/>
            <w:vAlign w:val="bottom"/>
            <w:shd w:val="clear" w:color="auto" w:fill="F3F3F3"/>
          </w:tcPr>
          <w:p>
            <w:pPr>
              <w:jc w:val="right"/>
              <w:ind w:right="137"/>
              <w:spacing w:after="0"/>
              <w:rPr>
                <w:sz w:val="20"/>
                <w:szCs w:val="20"/>
                <w:color w:val="auto"/>
              </w:rPr>
            </w:pPr>
            <w:r>
              <w:rPr>
                <w:rFonts w:ascii="Arial" w:cs="Arial" w:eastAsia="Arial" w:hAnsi="Arial"/>
                <w:sz w:val="13"/>
                <w:szCs w:val="13"/>
                <w:b w:val="1"/>
                <w:bCs w:val="1"/>
                <w:color w:val="auto"/>
              </w:rPr>
              <w:t>$207,692</w:t>
            </w:r>
          </w:p>
        </w:tc>
        <w:tc>
          <w:tcPr>
            <w:tcW w:w="1020" w:type="dxa"/>
            <w:vAlign w:val="bottom"/>
            <w:shd w:val="clear" w:color="auto" w:fill="F3F3F3"/>
          </w:tcPr>
          <w:p>
            <w:pPr>
              <w:jc w:val="right"/>
              <w:ind w:right="137"/>
              <w:spacing w:after="0"/>
              <w:rPr>
                <w:sz w:val="20"/>
                <w:szCs w:val="20"/>
                <w:color w:val="auto"/>
              </w:rPr>
            </w:pPr>
            <w:r>
              <w:rPr>
                <w:rFonts w:ascii="Arial" w:cs="Arial" w:eastAsia="Arial" w:hAnsi="Arial"/>
                <w:sz w:val="13"/>
                <w:szCs w:val="13"/>
                <w:b w:val="1"/>
                <w:bCs w:val="1"/>
                <w:color w:val="auto"/>
              </w:rPr>
              <w:t>$834,442</w:t>
            </w:r>
          </w:p>
        </w:tc>
        <w:tc>
          <w:tcPr>
            <w:tcW w:w="88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$652,483</w:t>
            </w:r>
          </w:p>
        </w:tc>
        <w:tc>
          <w:tcPr>
            <w:tcW w:w="96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$1,222,483</w:t>
            </w:r>
          </w:p>
        </w:tc>
        <w:tc>
          <w:tcPr>
            <w:tcW w:w="104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$57,692</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$3,812,986</w:t>
            </w:r>
          </w:p>
        </w:tc>
        <w:tc>
          <w:tcPr>
            <w:tcW w:w="0" w:type="dxa"/>
            <w:vAlign w:val="bottom"/>
          </w:tcPr>
          <w:p>
            <w:pPr>
              <w:spacing w:after="0"/>
              <w:rPr>
                <w:sz w:val="1"/>
                <w:szCs w:val="1"/>
                <w:color w:val="auto"/>
              </w:rPr>
            </w:pPr>
          </w:p>
        </w:tc>
      </w:tr>
      <w:tr>
        <w:trPr>
          <w:trHeight w:val="22"/>
        </w:trPr>
        <w:tc>
          <w:tcPr>
            <w:tcW w:w="3240" w:type="dxa"/>
            <w:vAlign w:val="bottom"/>
            <w:shd w:val="clear" w:color="auto" w:fill="F3F3F3"/>
          </w:tcPr>
          <w:p>
            <w:pPr>
              <w:spacing w:after="0" w:line="20" w:lineRule="exact"/>
              <w:rPr>
                <w:sz w:val="1"/>
                <w:szCs w:val="1"/>
                <w:color w:val="auto"/>
              </w:rPr>
            </w:pPr>
          </w:p>
        </w:tc>
        <w:tc>
          <w:tcPr>
            <w:tcW w:w="1040" w:type="dxa"/>
            <w:vAlign w:val="bottom"/>
            <w:shd w:val="clear" w:color="auto" w:fill="F3F3F3"/>
          </w:tcPr>
          <w:p>
            <w:pPr>
              <w:spacing w:after="0" w:line="20" w:lineRule="exact"/>
              <w:rPr>
                <w:sz w:val="1"/>
                <w:szCs w:val="1"/>
                <w:color w:val="auto"/>
              </w:rPr>
            </w:pPr>
          </w:p>
        </w:tc>
        <w:tc>
          <w:tcPr>
            <w:tcW w:w="1040" w:type="dxa"/>
            <w:vAlign w:val="bottom"/>
            <w:shd w:val="clear" w:color="auto" w:fill="F3F3F3"/>
          </w:tcPr>
          <w:p>
            <w:pPr>
              <w:spacing w:after="0" w:line="20" w:lineRule="exact"/>
              <w:rPr>
                <w:sz w:val="1"/>
                <w:szCs w:val="1"/>
                <w:color w:val="auto"/>
              </w:rPr>
            </w:pPr>
          </w:p>
        </w:tc>
        <w:tc>
          <w:tcPr>
            <w:tcW w:w="108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880" w:type="dxa"/>
            <w:vAlign w:val="bottom"/>
            <w:shd w:val="clear" w:color="auto" w:fill="F3F3F3"/>
          </w:tcPr>
          <w:p>
            <w:pPr>
              <w:spacing w:after="0" w:line="20" w:lineRule="exact"/>
              <w:rPr>
                <w:sz w:val="1"/>
                <w:szCs w:val="1"/>
                <w:color w:val="auto"/>
              </w:rPr>
            </w:pPr>
          </w:p>
        </w:tc>
        <w:tc>
          <w:tcPr>
            <w:tcW w:w="960" w:type="dxa"/>
            <w:vAlign w:val="bottom"/>
            <w:shd w:val="clear" w:color="auto" w:fill="F3F3F3"/>
          </w:tcPr>
          <w:p>
            <w:pPr>
              <w:spacing w:after="0" w:line="20" w:lineRule="exact"/>
              <w:rPr>
                <w:sz w:val="1"/>
                <w:szCs w:val="1"/>
                <w:color w:val="auto"/>
              </w:rPr>
            </w:pPr>
          </w:p>
        </w:tc>
        <w:tc>
          <w:tcPr>
            <w:tcW w:w="104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Ms. Martin did not meet retirement eligibility requirements on December 31,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60C35"/>
        </w:rPr>
        <w:t>Joseph F. Nassab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3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11"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shd w:val="clear" w:color="auto" w:fill="C60C35"/>
          </w:tcPr>
          <w:p>
            <w:pPr>
              <w:spacing w:after="0"/>
              <w:rPr>
                <w:sz w:val="14"/>
                <w:szCs w:val="14"/>
                <w:color w:val="auto"/>
              </w:rPr>
            </w:pP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100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Enhanced</w:t>
            </w:r>
          </w:p>
        </w:tc>
        <w:tc>
          <w:tcPr>
            <w:tcW w:w="94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r>
      <w:tr>
        <w:trPr>
          <w:trHeight w:val="227"/>
        </w:trPr>
        <w:tc>
          <w:tcPr>
            <w:tcW w:w="3240" w:type="dxa"/>
            <w:vAlign w:val="bottom"/>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100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40" w:type="dxa"/>
            <w:vAlign w:val="bottom"/>
            <w:tcBorders>
              <w:bottom w:val="single" w:sz="8" w:color="C60C35"/>
            </w:tcBorders>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$150,000</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$1,200,000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$150,000</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$1,200,000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$1,200,000</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450,000</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1,729,659</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1,729,659</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900,000</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60,000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60,000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60,000</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60,000</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55,568</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55,568</w:t>
            </w: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3"/>
        </w:trPr>
        <w:tc>
          <w:tcPr>
            <w:tcW w:w="32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1F2F2"/>
            </w:tcBorders>
            <w:shd w:val="clear" w:color="auto" w:fill="F1F2F2"/>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1,628,015</w:t>
            </w:r>
          </w:p>
        </w:tc>
        <w:tc>
          <w:tcPr>
            <w:tcW w:w="940" w:type="dxa"/>
            <w:vAlign w:val="bottom"/>
            <w:tcBorders>
              <w:bottom w:val="single" w:sz="8" w:color="F1F2F2"/>
            </w:tcBorders>
            <w:shd w:val="clear" w:color="auto" w:fill="F1F2F2"/>
          </w:tcPr>
          <w:p>
            <w:pPr>
              <w:jc w:val="right"/>
              <w:ind w:right="77"/>
              <w:spacing w:after="0"/>
              <w:rPr>
                <w:sz w:val="20"/>
                <w:szCs w:val="20"/>
                <w:color w:val="auto"/>
              </w:rPr>
            </w:pPr>
            <w:r>
              <w:rPr>
                <w:rFonts w:ascii="Arial" w:cs="Arial" w:eastAsia="Arial" w:hAnsi="Arial"/>
                <w:sz w:val="13"/>
                <w:szCs w:val="13"/>
                <w:color w:val="auto"/>
              </w:rPr>
              <w:t>1,628,015</w:t>
            </w:r>
          </w:p>
        </w:tc>
        <w:tc>
          <w:tcPr>
            <w:tcW w:w="1020" w:type="dxa"/>
            <w:vAlign w:val="bottom"/>
            <w:tcBorders>
              <w:bottom w:val="single" w:sz="8" w:color="F1F2F2"/>
            </w:tcBorders>
            <w:shd w:val="clear" w:color="auto" w:fill="F1F2F2"/>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1,918,877</w:t>
            </w: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57,692</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57,692</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57,692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57,692</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57,692</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57,692</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57,692</w:t>
            </w:r>
          </w:p>
        </w:tc>
      </w:tr>
      <w:tr>
        <w:trPr>
          <w:trHeight w:val="28"/>
        </w:trPr>
        <w:tc>
          <w:tcPr>
            <w:tcW w:w="3240" w:type="dxa"/>
            <w:vAlign w:val="bottom"/>
            <w:tcBorders>
              <w:bottom w:val="single" w:sz="8" w:color="F1F2F2"/>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4"/>
        </w:trPr>
        <w:tc>
          <w:tcPr>
            <w:tcW w:w="324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1F2F2"/>
          </w:tcPr>
          <w:p>
            <w:pPr>
              <w:jc w:val="right"/>
              <w:spacing w:after="0"/>
              <w:rPr>
                <w:sz w:val="20"/>
                <w:szCs w:val="20"/>
                <w:color w:val="auto"/>
              </w:rPr>
            </w:pPr>
            <w:r>
              <w:rPr>
                <w:rFonts w:ascii="Arial" w:cs="Arial" w:eastAsia="Arial" w:hAnsi="Arial"/>
                <w:sz w:val="13"/>
                <w:szCs w:val="13"/>
                <w:b w:val="1"/>
                <w:bCs w:val="1"/>
                <w:color w:val="auto"/>
              </w:rPr>
              <w:t>$57,692</w:t>
            </w:r>
          </w:p>
        </w:tc>
        <w:tc>
          <w:tcPr>
            <w:tcW w:w="116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n/a</w:t>
            </w:r>
          </w:p>
        </w:tc>
        <w:tc>
          <w:tcPr>
            <w:tcW w:w="960" w:type="dxa"/>
            <w:vAlign w:val="bottom"/>
            <w:shd w:val="clear" w:color="auto" w:fill="F1F2F2"/>
          </w:tcPr>
          <w:p>
            <w:pPr>
              <w:jc w:val="right"/>
              <w:ind w:right="137"/>
              <w:spacing w:after="0"/>
              <w:rPr>
                <w:sz w:val="20"/>
                <w:szCs w:val="20"/>
                <w:color w:val="auto"/>
              </w:rPr>
            </w:pPr>
            <w:r>
              <w:rPr>
                <w:rFonts w:ascii="Arial" w:cs="Arial" w:eastAsia="Arial" w:hAnsi="Arial"/>
                <w:sz w:val="13"/>
                <w:szCs w:val="13"/>
                <w:b w:val="1"/>
                <w:bCs w:val="1"/>
                <w:color w:val="auto"/>
              </w:rPr>
              <w:t>$207,692</w:t>
            </w:r>
          </w:p>
        </w:tc>
        <w:tc>
          <w:tcPr>
            <w:tcW w:w="100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$3,162,919</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$1,835,707</w:t>
            </w:r>
          </w:p>
        </w:tc>
        <w:tc>
          <w:tcPr>
            <w:tcW w:w="940" w:type="dxa"/>
            <w:vAlign w:val="bottom"/>
            <w:shd w:val="clear" w:color="auto" w:fill="F1F2F2"/>
          </w:tcPr>
          <w:p>
            <w:pPr>
              <w:jc w:val="right"/>
              <w:ind w:right="77"/>
              <w:spacing w:after="0"/>
              <w:rPr>
                <w:sz w:val="20"/>
                <w:szCs w:val="20"/>
                <w:color w:val="auto"/>
              </w:rPr>
            </w:pPr>
            <w:r>
              <w:rPr>
                <w:rFonts w:ascii="Arial" w:cs="Arial" w:eastAsia="Arial" w:hAnsi="Arial"/>
                <w:sz w:val="13"/>
                <w:szCs w:val="13"/>
                <w:b w:val="1"/>
                <w:bCs w:val="1"/>
                <w:color w:val="auto"/>
              </w:rPr>
              <w:t>$4,735,366</w:t>
            </w:r>
          </w:p>
        </w:tc>
        <w:tc>
          <w:tcPr>
            <w:tcW w:w="1020" w:type="dxa"/>
            <w:vAlign w:val="bottom"/>
            <w:shd w:val="clear" w:color="auto" w:fill="F1F2F2"/>
          </w:tcPr>
          <w:p>
            <w:pPr>
              <w:jc w:val="right"/>
              <w:ind w:right="117"/>
              <w:spacing w:after="0"/>
              <w:rPr>
                <w:sz w:val="20"/>
                <w:szCs w:val="20"/>
                <w:color w:val="auto"/>
              </w:rPr>
            </w:pPr>
            <w:r>
              <w:rPr>
                <w:rFonts w:ascii="Arial" w:cs="Arial" w:eastAsia="Arial" w:hAnsi="Arial"/>
                <w:sz w:val="13"/>
                <w:szCs w:val="13"/>
                <w:b w:val="1"/>
                <w:bCs w:val="1"/>
                <w:color w:val="auto"/>
              </w:rPr>
              <w:t>$57,692</w:t>
            </w:r>
          </w:p>
        </w:tc>
        <w:tc>
          <w:tcPr>
            <w:tcW w:w="94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$4,588,112</w:t>
            </w:r>
          </w:p>
        </w:tc>
      </w:tr>
      <w:tr>
        <w:trPr>
          <w:trHeight w:val="22"/>
        </w:trPr>
        <w:tc>
          <w:tcPr>
            <w:tcW w:w="3240" w:type="dxa"/>
            <w:vAlign w:val="bottom"/>
            <w:shd w:val="clear" w:color="auto" w:fill="F1F2F2"/>
          </w:tcPr>
          <w:p>
            <w:pPr>
              <w:spacing w:after="0" w:line="20" w:lineRule="exact"/>
              <w:rPr>
                <w:sz w:val="1"/>
                <w:szCs w:val="1"/>
                <w:color w:val="auto"/>
              </w:rPr>
            </w:pPr>
          </w:p>
        </w:tc>
        <w:tc>
          <w:tcPr>
            <w:tcW w:w="104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960" w:type="dxa"/>
            <w:vAlign w:val="bottom"/>
            <w:shd w:val="clear" w:color="auto" w:fill="F1F2F2"/>
          </w:tcPr>
          <w:p>
            <w:pPr>
              <w:spacing w:after="0" w:line="20" w:lineRule="exact"/>
              <w:rPr>
                <w:sz w:val="1"/>
                <w:szCs w:val="1"/>
                <w:color w:val="auto"/>
              </w:rPr>
            </w:pPr>
          </w:p>
        </w:tc>
        <w:tc>
          <w:tcPr>
            <w:tcW w:w="100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c>
          <w:tcPr>
            <w:tcW w:w="1020" w:type="dxa"/>
            <w:vAlign w:val="bottom"/>
            <w:shd w:val="clear" w:color="auto" w:fill="F1F2F2"/>
          </w:tcPr>
          <w:p>
            <w:pPr>
              <w:spacing w:after="0" w:line="20" w:lineRule="exact"/>
              <w:rPr>
                <w:sz w:val="1"/>
                <w:szCs w:val="1"/>
                <w:color w:val="auto"/>
              </w:rPr>
            </w:pPr>
          </w:p>
        </w:tc>
        <w:tc>
          <w:tcPr>
            <w:tcW w:w="940" w:type="dxa"/>
            <w:vAlign w:val="bottom"/>
            <w:shd w:val="clear" w:color="auto" w:fill="F1F2F2"/>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Mr. Nassab did not meet retirement eligibility requirements on December 31, 2025.</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C60C35"/>
        </w:rPr>
        <w:t>Daniel M. Sessa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4889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pacing w:after="0" w:line="19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Involuntary-Not For Cause</w:t>
      </w:r>
    </w:p>
    <w:p>
      <w:pPr>
        <w:spacing w:after="0" w:line="22" w:lineRule="exact"/>
        <w:rPr>
          <w:sz w:val="20"/>
          <w:szCs w:val="20"/>
          <w:color w:val="auto"/>
        </w:rPr>
      </w:pPr>
    </w:p>
    <w:p>
      <w:pPr>
        <w:jc w:val="center"/>
        <w:ind w:left="1320"/>
        <w:spacing w:after="0"/>
        <w:rPr>
          <w:sz w:val="20"/>
          <w:szCs w:val="20"/>
          <w:color w:val="auto"/>
        </w:rPr>
      </w:pPr>
      <w:r>
        <w:rPr>
          <w:rFonts w:ascii="Arial" w:cs="Arial" w:eastAsia="Arial" w:hAnsi="Arial"/>
          <w:sz w:val="13"/>
          <w:szCs w:val="13"/>
          <w:b w:val="1"/>
          <w:bCs w:val="1"/>
          <w:color w:val="FFFFFF"/>
        </w:rPr>
        <w:t>Termination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vMerge w:val="restart"/>
          </w:tcPr>
          <w:p>
            <w:pPr>
              <w:ind w:left="100"/>
              <w:spacing w:after="0"/>
              <w:rPr>
                <w:sz w:val="20"/>
                <w:szCs w:val="20"/>
                <w:color w:val="auto"/>
              </w:rPr>
            </w:pPr>
            <w:r>
              <w:rPr>
                <w:rFonts w:ascii="Arial" w:cs="Arial" w:eastAsia="Arial" w:hAnsi="Arial"/>
                <w:sz w:val="13"/>
                <w:szCs w:val="13"/>
                <w:b w:val="1"/>
                <w:bCs w:val="1"/>
                <w:color w:val="FFFFFF"/>
              </w:rPr>
              <w:t>Component</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Voluntary</w:t>
            </w:r>
          </w:p>
        </w:tc>
        <w:tc>
          <w:tcPr>
            <w:tcW w:w="1160" w:type="dxa"/>
            <w:vAlign w:val="bottom"/>
            <w:vMerge w:val="restart"/>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Retirement</w:t>
            </w:r>
            <w:r>
              <w:rPr>
                <w:rFonts w:ascii="Arial" w:cs="Arial" w:eastAsia="Arial" w:hAnsi="Arial"/>
                <w:sz w:val="16"/>
                <w:szCs w:val="16"/>
                <w:b w:val="1"/>
                <w:bCs w:val="1"/>
                <w:color w:val="FFFFFF"/>
                <w:vertAlign w:val="superscript"/>
              </w:rPr>
              <w:t>(1)</w:t>
            </w:r>
          </w:p>
        </w:tc>
        <w:tc>
          <w:tcPr>
            <w:tcW w:w="960" w:type="dxa"/>
            <w:vAlign w:val="bottom"/>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Normal</w:t>
            </w:r>
          </w:p>
        </w:tc>
        <w:tc>
          <w:tcPr>
            <w:tcW w:w="100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Enhanced</w:t>
            </w:r>
          </w:p>
        </w:tc>
        <w:tc>
          <w:tcPr>
            <w:tcW w:w="940" w:type="dxa"/>
            <w:vAlign w:val="bottom"/>
            <w:vMerge w:val="restart"/>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Death</w:t>
            </w:r>
          </w:p>
        </w:tc>
        <w:tc>
          <w:tcPr>
            <w:tcW w:w="940" w:type="dxa"/>
            <w:vAlign w:val="bottom"/>
            <w:vMerge w:val="restart"/>
            <w:shd w:val="clear" w:color="auto" w:fill="C60C35"/>
          </w:tcPr>
          <w:p>
            <w:pPr>
              <w:jc w:val="right"/>
              <w:ind w:right="77"/>
              <w:spacing w:after="0"/>
              <w:rPr>
                <w:sz w:val="20"/>
                <w:szCs w:val="20"/>
                <w:color w:val="auto"/>
              </w:rPr>
            </w:pPr>
            <w:r>
              <w:rPr>
                <w:rFonts w:ascii="Arial" w:cs="Arial" w:eastAsia="Arial" w:hAnsi="Arial"/>
                <w:sz w:val="13"/>
                <w:szCs w:val="13"/>
                <w:b w:val="1"/>
                <w:bCs w:val="1"/>
                <w:color w:val="FFFFFF"/>
              </w:rPr>
              <w:t>Disability</w:t>
            </w:r>
          </w:p>
        </w:tc>
        <w:tc>
          <w:tcPr>
            <w:tcW w:w="1020" w:type="dxa"/>
            <w:vAlign w:val="bottom"/>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For Cause</w:t>
            </w:r>
          </w:p>
        </w:tc>
        <w:tc>
          <w:tcPr>
            <w:tcW w:w="94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Change in</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1040" w:type="dxa"/>
            <w:vAlign w:val="bottom"/>
            <w:tcBorders>
              <w:bottom w:val="single" w:sz="8" w:color="C60C35"/>
            </w:tcBorders>
            <w:shd w:val="clear" w:color="auto" w:fill="C60C35"/>
          </w:tcPr>
          <w:p>
            <w:pPr>
              <w:jc w:val="right"/>
              <w:spacing w:after="0"/>
              <w:rPr>
                <w:sz w:val="20"/>
                <w:szCs w:val="20"/>
                <w:color w:val="auto"/>
              </w:rPr>
            </w:pPr>
            <w:r>
              <w:rPr>
                <w:rFonts w:ascii="Arial" w:cs="Arial" w:eastAsia="Arial" w:hAnsi="Arial"/>
                <w:sz w:val="13"/>
                <w:szCs w:val="13"/>
                <w:b w:val="1"/>
                <w:bCs w:val="1"/>
                <w:color w:val="FFFFFF"/>
              </w:rPr>
              <w:t>Termination</w:t>
            </w:r>
          </w:p>
        </w:tc>
        <w:tc>
          <w:tcPr>
            <w:tcW w:w="1160" w:type="dxa"/>
            <w:vAlign w:val="bottom"/>
            <w:tcBorders>
              <w:bottom w:val="single" w:sz="8" w:color="C60C35"/>
            </w:tcBorders>
            <w:vMerge w:val="continue"/>
            <w:shd w:val="clear" w:color="auto" w:fill="C60C35"/>
          </w:tcPr>
          <w:p>
            <w:pPr>
              <w:spacing w:after="0"/>
              <w:rPr>
                <w:sz w:val="18"/>
                <w:szCs w:val="18"/>
                <w:color w:val="auto"/>
              </w:rPr>
            </w:pPr>
          </w:p>
        </w:tc>
        <w:tc>
          <w:tcPr>
            <w:tcW w:w="960" w:type="dxa"/>
            <w:vAlign w:val="bottom"/>
            <w:tcBorders>
              <w:bottom w:val="single" w:sz="8" w:color="C60C35"/>
            </w:tcBorders>
            <w:shd w:val="clear" w:color="auto" w:fill="C60C35"/>
          </w:tcPr>
          <w:p>
            <w:pPr>
              <w:jc w:val="right"/>
              <w:ind w:right="137"/>
              <w:spacing w:after="0"/>
              <w:rPr>
                <w:sz w:val="20"/>
                <w:szCs w:val="20"/>
                <w:color w:val="auto"/>
              </w:rPr>
            </w:pPr>
            <w:r>
              <w:rPr>
                <w:rFonts w:ascii="Arial" w:cs="Arial" w:eastAsia="Arial" w:hAnsi="Arial"/>
                <w:sz w:val="13"/>
                <w:szCs w:val="13"/>
                <w:b w:val="1"/>
                <w:bCs w:val="1"/>
                <w:color w:val="FFFFFF"/>
              </w:rPr>
              <w:t>Severance</w:t>
            </w:r>
          </w:p>
        </w:tc>
        <w:tc>
          <w:tcPr>
            <w:tcW w:w="100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Severance</w:t>
            </w:r>
          </w:p>
        </w:tc>
        <w:tc>
          <w:tcPr>
            <w:tcW w:w="940" w:type="dxa"/>
            <w:vAlign w:val="bottom"/>
            <w:tcBorders>
              <w:bottom w:val="single" w:sz="8" w:color="C60C35"/>
            </w:tcBorders>
            <w:vMerge w:val="continue"/>
            <w:shd w:val="clear" w:color="auto" w:fill="C60C35"/>
          </w:tcPr>
          <w:p>
            <w:pPr>
              <w:spacing w:after="0"/>
              <w:rPr>
                <w:sz w:val="18"/>
                <w:szCs w:val="18"/>
                <w:color w:val="auto"/>
              </w:rPr>
            </w:pPr>
          </w:p>
        </w:tc>
        <w:tc>
          <w:tcPr>
            <w:tcW w:w="940" w:type="dxa"/>
            <w:vAlign w:val="bottom"/>
            <w:tcBorders>
              <w:bottom w:val="single" w:sz="8" w:color="C60C35"/>
            </w:tcBorders>
            <w:vMerge w:val="continue"/>
            <w:shd w:val="clear" w:color="auto" w:fill="C60C35"/>
          </w:tcPr>
          <w:p>
            <w:pPr>
              <w:spacing w:after="0"/>
              <w:rPr>
                <w:sz w:val="18"/>
                <w:szCs w:val="18"/>
                <w:color w:val="auto"/>
              </w:rPr>
            </w:pPr>
          </w:p>
        </w:tc>
        <w:tc>
          <w:tcPr>
            <w:tcW w:w="1020" w:type="dxa"/>
            <w:vAlign w:val="bottom"/>
            <w:tcBorders>
              <w:bottom w:val="single" w:sz="8" w:color="C60C35"/>
            </w:tcBorders>
            <w:shd w:val="clear" w:color="auto" w:fill="C60C35"/>
          </w:tcPr>
          <w:p>
            <w:pPr>
              <w:jc w:val="right"/>
              <w:ind w:right="117"/>
              <w:spacing w:after="0"/>
              <w:rPr>
                <w:sz w:val="20"/>
                <w:szCs w:val="20"/>
                <w:color w:val="auto"/>
              </w:rPr>
            </w:pPr>
            <w:r>
              <w:rPr>
                <w:rFonts w:ascii="Arial" w:cs="Arial" w:eastAsia="Arial" w:hAnsi="Arial"/>
                <w:sz w:val="13"/>
                <w:szCs w:val="13"/>
                <w:b w:val="1"/>
                <w:bCs w:val="1"/>
                <w:color w:val="FFFFFF"/>
              </w:rPr>
              <w:t>Termination</w:t>
            </w:r>
          </w:p>
        </w:tc>
        <w:tc>
          <w:tcPr>
            <w:tcW w:w="940" w:type="dxa"/>
            <w:vAlign w:val="bottom"/>
            <w:tcBorders>
              <w:bottom w:val="single" w:sz="8" w:color="C60C35"/>
            </w:tcBorders>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Control</w:t>
            </w:r>
          </w:p>
        </w:tc>
        <w:tc>
          <w:tcPr>
            <w:tcW w:w="0" w:type="dxa"/>
            <w:vAlign w:val="bottom"/>
          </w:tcPr>
          <w:p>
            <w:pPr>
              <w:spacing w:after="0"/>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Base Salary</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$153,750</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$1,230,000</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$153,750</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$1,230,000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$1,230,000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Prorated Bonus</w:t>
            </w:r>
          </w:p>
        </w:tc>
        <w:tc>
          <w:tcPr>
            <w:tcW w:w="1040" w:type="dxa"/>
            <w:vAlign w:val="bottom"/>
          </w:tcPr>
          <w:p>
            <w:pPr>
              <w:jc w:val="right"/>
              <w:spacing w:after="0"/>
              <w:rPr>
                <w:sz w:val="20"/>
                <w:szCs w:val="20"/>
                <w:color w:val="auto"/>
              </w:rPr>
            </w:pPr>
            <w:r>
              <w:rPr>
                <w:rFonts w:ascii="Arial" w:cs="Arial" w:eastAsia="Arial" w:hAnsi="Arial"/>
                <w:sz w:val="13"/>
                <w:szCs w:val="13"/>
                <w:color w:val="auto"/>
              </w:rPr>
              <w:t>n/a</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n/a</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461,250</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Bonus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1,860,440</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1,860,440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922,500</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Outplacement Services (or payment in lieu)</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61,500</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61,500</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Payment in Lieu of Perquisites</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61,500</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61,500</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Post-Employment Health Care Coverage</w:t>
            </w: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36,994</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36,994</w:t>
            </w:r>
          </w:p>
        </w:tc>
        <w:tc>
          <w:tcPr>
            <w:tcW w:w="0" w:type="dxa"/>
            <w:vAlign w:val="bottom"/>
          </w:tcPr>
          <w:p>
            <w:pPr>
              <w:spacing w:after="0"/>
              <w:rPr>
                <w:sz w:val="1"/>
                <w:szCs w:val="1"/>
                <w:color w:val="auto"/>
              </w:rPr>
            </w:pPr>
          </w:p>
        </w:tc>
      </w:tr>
      <w:tr>
        <w:trPr>
          <w:trHeight w:val="28"/>
        </w:trPr>
        <w:tc>
          <w:tcPr>
            <w:tcW w:w="3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tcBorders>
              <w:bottom w:val="single" w:sz="8" w:color="F3F3F3"/>
            </w:tcBorders>
            <w:shd w:val="clear" w:color="auto" w:fill="F3F3F3"/>
          </w:tcPr>
          <w:p>
            <w:pPr>
              <w:ind w:left="100"/>
              <w:spacing w:after="0"/>
              <w:rPr>
                <w:sz w:val="20"/>
                <w:szCs w:val="20"/>
                <w:color w:val="auto"/>
              </w:rPr>
            </w:pPr>
            <w:r>
              <w:rPr>
                <w:rFonts w:ascii="Arial" w:cs="Arial" w:eastAsia="Arial" w:hAnsi="Arial"/>
                <w:sz w:val="13"/>
                <w:szCs w:val="13"/>
                <w:color w:val="auto"/>
              </w:rPr>
              <w:t>Long-Term Equity Accelerated Vesting</w:t>
            </w:r>
          </w:p>
        </w:tc>
        <w:tc>
          <w:tcPr>
            <w:tcW w:w="1040" w:type="dxa"/>
            <w:vAlign w:val="bottom"/>
            <w:tcBorders>
              <w:bottom w:val="single" w:sz="8" w:color="F3F3F3"/>
            </w:tcBorders>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Borders>
              <w:bottom w:val="single" w:sz="8" w:color="F3F3F3"/>
            </w:tcBorders>
            <w:shd w:val="clear" w:color="auto" w:fill="F3F3F3"/>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1,611,991</w:t>
            </w:r>
          </w:p>
        </w:tc>
        <w:tc>
          <w:tcPr>
            <w:tcW w:w="940" w:type="dxa"/>
            <w:vAlign w:val="bottom"/>
            <w:tcBorders>
              <w:bottom w:val="single" w:sz="8" w:color="F3F3F3"/>
            </w:tcBorders>
            <w:shd w:val="clear" w:color="auto" w:fill="F3F3F3"/>
          </w:tcPr>
          <w:p>
            <w:pPr>
              <w:jc w:val="right"/>
              <w:ind w:right="77"/>
              <w:spacing w:after="0"/>
              <w:rPr>
                <w:sz w:val="20"/>
                <w:szCs w:val="20"/>
                <w:color w:val="auto"/>
              </w:rPr>
            </w:pPr>
            <w:r>
              <w:rPr>
                <w:rFonts w:ascii="Arial" w:cs="Arial" w:eastAsia="Arial" w:hAnsi="Arial"/>
                <w:sz w:val="13"/>
                <w:szCs w:val="13"/>
                <w:color w:val="auto"/>
              </w:rPr>
              <w:t>1,611,991</w:t>
            </w:r>
          </w:p>
        </w:tc>
        <w:tc>
          <w:tcPr>
            <w:tcW w:w="1020" w:type="dxa"/>
            <w:vAlign w:val="bottom"/>
            <w:tcBorders>
              <w:bottom w:val="single" w:sz="8" w:color="F3F3F3"/>
            </w:tcBorders>
            <w:shd w:val="clear" w:color="auto" w:fill="F3F3F3"/>
          </w:tcPr>
          <w:p>
            <w:pPr>
              <w:jc w:val="right"/>
              <w:ind w:right="11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F3F3F3"/>
            </w:tcBorders>
            <w:shd w:val="clear" w:color="auto" w:fill="F3F3F3"/>
          </w:tcPr>
          <w:p>
            <w:pPr>
              <w:jc w:val="right"/>
              <w:ind w:right="97"/>
              <w:spacing w:after="0"/>
              <w:rPr>
                <w:sz w:val="20"/>
                <w:szCs w:val="20"/>
                <w:color w:val="auto"/>
              </w:rPr>
            </w:pPr>
            <w:r>
              <w:rPr>
                <w:rFonts w:ascii="Arial" w:cs="Arial" w:eastAsia="Arial" w:hAnsi="Arial"/>
                <w:sz w:val="13"/>
                <w:szCs w:val="13"/>
                <w:color w:val="auto"/>
              </w:rPr>
              <w:t>1,888,771</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rPr>
                <w:sz w:val="20"/>
                <w:szCs w:val="20"/>
                <w:color w:val="auto"/>
              </w:rPr>
            </w:pPr>
            <w:r>
              <w:rPr>
                <w:rFonts w:ascii="Arial" w:cs="Arial" w:eastAsia="Arial" w:hAnsi="Arial"/>
                <w:sz w:val="13"/>
                <w:szCs w:val="13"/>
                <w:color w:val="auto"/>
              </w:rPr>
              <w:t>Unused, Accrued Vacation</w:t>
            </w:r>
          </w:p>
        </w:tc>
        <w:tc>
          <w:tcPr>
            <w:tcW w:w="1040" w:type="dxa"/>
            <w:vAlign w:val="bottom"/>
          </w:tcPr>
          <w:p>
            <w:pPr>
              <w:jc w:val="right"/>
              <w:spacing w:after="0"/>
              <w:rPr>
                <w:sz w:val="20"/>
                <w:szCs w:val="20"/>
                <w:color w:val="auto"/>
              </w:rPr>
            </w:pPr>
            <w:r>
              <w:rPr>
                <w:rFonts w:ascii="Arial" w:cs="Arial" w:eastAsia="Arial" w:hAnsi="Arial"/>
                <w:sz w:val="13"/>
                <w:szCs w:val="13"/>
                <w:color w:val="auto"/>
              </w:rPr>
              <w:t>59,135</w:t>
            </w:r>
          </w:p>
        </w:tc>
        <w:tc>
          <w:tcPr>
            <w:tcW w:w="1160" w:type="dxa"/>
            <w:vAlign w:val="bottom"/>
          </w:tcPr>
          <w:p>
            <w:pPr>
              <w:jc w:val="right"/>
              <w:ind w:right="77"/>
              <w:spacing w:after="0"/>
              <w:rPr>
                <w:sz w:val="20"/>
                <w:szCs w:val="20"/>
                <w:color w:val="auto"/>
              </w:rPr>
            </w:pPr>
            <w:r>
              <w:rPr>
                <w:rFonts w:ascii="Arial" w:cs="Arial" w:eastAsia="Arial" w:hAnsi="Arial"/>
                <w:sz w:val="13"/>
                <w:szCs w:val="13"/>
                <w:color w:val="auto"/>
              </w:rPr>
              <w:t>n/a</w:t>
            </w:r>
          </w:p>
        </w:tc>
        <w:tc>
          <w:tcPr>
            <w:tcW w:w="960" w:type="dxa"/>
            <w:vAlign w:val="bottom"/>
          </w:tcPr>
          <w:p>
            <w:pPr>
              <w:jc w:val="right"/>
              <w:ind w:right="137"/>
              <w:spacing w:after="0"/>
              <w:rPr>
                <w:sz w:val="20"/>
                <w:szCs w:val="20"/>
                <w:color w:val="auto"/>
              </w:rPr>
            </w:pPr>
            <w:r>
              <w:rPr>
                <w:rFonts w:ascii="Arial" w:cs="Arial" w:eastAsia="Arial" w:hAnsi="Arial"/>
                <w:sz w:val="13"/>
                <w:szCs w:val="13"/>
                <w:color w:val="auto"/>
              </w:rPr>
              <w:t>59,135</w:t>
            </w:r>
          </w:p>
        </w:tc>
        <w:tc>
          <w:tcPr>
            <w:tcW w:w="1000" w:type="dxa"/>
            <w:vAlign w:val="bottom"/>
          </w:tcPr>
          <w:p>
            <w:pPr>
              <w:jc w:val="right"/>
              <w:ind w:right="117"/>
              <w:spacing w:after="0"/>
              <w:rPr>
                <w:sz w:val="20"/>
                <w:szCs w:val="20"/>
                <w:color w:val="auto"/>
              </w:rPr>
            </w:pPr>
            <w:r>
              <w:rPr>
                <w:rFonts w:ascii="Arial" w:cs="Arial" w:eastAsia="Arial" w:hAnsi="Arial"/>
                <w:sz w:val="13"/>
                <w:szCs w:val="13"/>
                <w:color w:val="auto"/>
              </w:rPr>
              <w:t>59,135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59,135</w:t>
            </w: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59,135</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59,135</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59,135</w:t>
            </w:r>
          </w:p>
        </w:tc>
        <w:tc>
          <w:tcPr>
            <w:tcW w:w="0" w:type="dxa"/>
            <w:vAlign w:val="bottom"/>
          </w:tcPr>
          <w:p>
            <w:pPr>
              <w:spacing w:after="0"/>
              <w:rPr>
                <w:sz w:val="1"/>
                <w:szCs w:val="1"/>
                <w:color w:val="auto"/>
              </w:rPr>
            </w:pPr>
          </w:p>
        </w:tc>
      </w:tr>
      <w:tr>
        <w:trPr>
          <w:trHeight w:val="28"/>
        </w:trPr>
        <w:tc>
          <w:tcPr>
            <w:tcW w:w="3240" w:type="dxa"/>
            <w:vAlign w:val="bottom"/>
            <w:tcBorders>
              <w:bottom w:val="single" w:sz="8" w:color="F3F3F3"/>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F3F3F3"/>
          </w:tcPr>
          <w:p>
            <w:pPr>
              <w:ind w:left="100"/>
              <w:spacing w:after="0"/>
              <w:rPr>
                <w:sz w:val="20"/>
                <w:szCs w:val="20"/>
                <w:color w:val="auto"/>
              </w:rPr>
            </w:pPr>
            <w:r>
              <w:rPr>
                <w:rFonts w:ascii="Arial" w:cs="Arial" w:eastAsia="Arial" w:hAnsi="Arial"/>
                <w:sz w:val="13"/>
                <w:szCs w:val="13"/>
                <w:b w:val="1"/>
                <w:bCs w:val="1"/>
                <w:color w:val="auto"/>
              </w:rPr>
              <w:t>TOTAL</w:t>
            </w:r>
          </w:p>
        </w:tc>
        <w:tc>
          <w:tcPr>
            <w:tcW w:w="104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$59,135</w:t>
            </w:r>
          </w:p>
        </w:tc>
        <w:tc>
          <w:tcPr>
            <w:tcW w:w="116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n/a</w:t>
            </w:r>
          </w:p>
        </w:tc>
        <w:tc>
          <w:tcPr>
            <w:tcW w:w="960" w:type="dxa"/>
            <w:vAlign w:val="bottom"/>
            <w:shd w:val="clear" w:color="auto" w:fill="F3F3F3"/>
          </w:tcPr>
          <w:p>
            <w:pPr>
              <w:jc w:val="right"/>
              <w:ind w:right="137"/>
              <w:spacing w:after="0"/>
              <w:rPr>
                <w:sz w:val="20"/>
                <w:szCs w:val="20"/>
                <w:color w:val="auto"/>
              </w:rPr>
            </w:pPr>
            <w:r>
              <w:rPr>
                <w:rFonts w:ascii="Arial" w:cs="Arial" w:eastAsia="Arial" w:hAnsi="Arial"/>
                <w:sz w:val="13"/>
                <w:szCs w:val="13"/>
                <w:b w:val="1"/>
                <w:bCs w:val="1"/>
                <w:color w:val="auto"/>
              </w:rPr>
              <w:t>$212,885</w:t>
            </w:r>
          </w:p>
        </w:tc>
        <w:tc>
          <w:tcPr>
            <w:tcW w:w="100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$3,309,569</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$1,824,876</w:t>
            </w:r>
          </w:p>
        </w:tc>
        <w:tc>
          <w:tcPr>
            <w:tcW w:w="940" w:type="dxa"/>
            <w:vAlign w:val="bottom"/>
            <w:shd w:val="clear" w:color="auto" w:fill="F3F3F3"/>
          </w:tcPr>
          <w:p>
            <w:pPr>
              <w:jc w:val="right"/>
              <w:ind w:right="77"/>
              <w:spacing w:after="0"/>
              <w:rPr>
                <w:sz w:val="20"/>
                <w:szCs w:val="20"/>
                <w:color w:val="auto"/>
              </w:rPr>
            </w:pPr>
            <w:r>
              <w:rPr>
                <w:rFonts w:ascii="Arial" w:cs="Arial" w:eastAsia="Arial" w:hAnsi="Arial"/>
                <w:sz w:val="13"/>
                <w:szCs w:val="13"/>
                <w:b w:val="1"/>
                <w:bCs w:val="1"/>
                <w:color w:val="auto"/>
              </w:rPr>
              <w:t>$4,884,566</w:t>
            </w:r>
          </w:p>
        </w:tc>
        <w:tc>
          <w:tcPr>
            <w:tcW w:w="1020" w:type="dxa"/>
            <w:vAlign w:val="bottom"/>
            <w:shd w:val="clear" w:color="auto" w:fill="F3F3F3"/>
          </w:tcPr>
          <w:p>
            <w:pPr>
              <w:jc w:val="right"/>
              <w:ind w:right="117"/>
              <w:spacing w:after="0"/>
              <w:rPr>
                <w:sz w:val="20"/>
                <w:szCs w:val="20"/>
                <w:color w:val="auto"/>
              </w:rPr>
            </w:pPr>
            <w:r>
              <w:rPr>
                <w:rFonts w:ascii="Arial" w:cs="Arial" w:eastAsia="Arial" w:hAnsi="Arial"/>
                <w:sz w:val="13"/>
                <w:szCs w:val="13"/>
                <w:b w:val="1"/>
                <w:bCs w:val="1"/>
                <w:color w:val="auto"/>
              </w:rPr>
              <w:t>$59,135</w:t>
            </w:r>
          </w:p>
        </w:tc>
        <w:tc>
          <w:tcPr>
            <w:tcW w:w="940" w:type="dxa"/>
            <w:vAlign w:val="bottom"/>
            <w:shd w:val="clear" w:color="auto" w:fill="F3F3F3"/>
          </w:tcPr>
          <w:p>
            <w:pPr>
              <w:jc w:val="right"/>
              <w:ind w:right="97"/>
              <w:spacing w:after="0"/>
              <w:rPr>
                <w:sz w:val="20"/>
                <w:szCs w:val="20"/>
                <w:color w:val="auto"/>
              </w:rPr>
            </w:pPr>
            <w:r>
              <w:rPr>
                <w:rFonts w:ascii="Arial" w:cs="Arial" w:eastAsia="Arial" w:hAnsi="Arial"/>
                <w:sz w:val="13"/>
                <w:szCs w:val="13"/>
                <w:b w:val="1"/>
                <w:bCs w:val="1"/>
                <w:color w:val="auto"/>
              </w:rPr>
              <w:t>$4,604,625</w:t>
            </w:r>
          </w:p>
        </w:tc>
        <w:tc>
          <w:tcPr>
            <w:tcW w:w="0" w:type="dxa"/>
            <w:vAlign w:val="bottom"/>
          </w:tcPr>
          <w:p>
            <w:pPr>
              <w:spacing w:after="0"/>
              <w:rPr>
                <w:sz w:val="1"/>
                <w:szCs w:val="1"/>
                <w:color w:val="auto"/>
              </w:rPr>
            </w:pPr>
          </w:p>
        </w:tc>
      </w:tr>
      <w:tr>
        <w:trPr>
          <w:trHeight w:val="22"/>
        </w:trPr>
        <w:tc>
          <w:tcPr>
            <w:tcW w:w="3240" w:type="dxa"/>
            <w:vAlign w:val="bottom"/>
            <w:shd w:val="clear" w:color="auto" w:fill="F3F3F3"/>
          </w:tcPr>
          <w:p>
            <w:pPr>
              <w:spacing w:after="0" w:line="20" w:lineRule="exact"/>
              <w:rPr>
                <w:sz w:val="1"/>
                <w:szCs w:val="1"/>
                <w:color w:val="auto"/>
              </w:rPr>
            </w:pPr>
          </w:p>
        </w:tc>
        <w:tc>
          <w:tcPr>
            <w:tcW w:w="1040" w:type="dxa"/>
            <w:vAlign w:val="bottom"/>
            <w:shd w:val="clear" w:color="auto" w:fill="F3F3F3"/>
          </w:tcPr>
          <w:p>
            <w:pPr>
              <w:spacing w:after="0" w:line="20" w:lineRule="exact"/>
              <w:rPr>
                <w:sz w:val="1"/>
                <w:szCs w:val="1"/>
                <w:color w:val="auto"/>
              </w:rPr>
            </w:pPr>
          </w:p>
        </w:tc>
        <w:tc>
          <w:tcPr>
            <w:tcW w:w="1160" w:type="dxa"/>
            <w:vAlign w:val="bottom"/>
            <w:shd w:val="clear" w:color="auto" w:fill="F3F3F3"/>
          </w:tcPr>
          <w:p>
            <w:pPr>
              <w:spacing w:after="0" w:line="20" w:lineRule="exact"/>
              <w:rPr>
                <w:sz w:val="1"/>
                <w:szCs w:val="1"/>
                <w:color w:val="auto"/>
              </w:rPr>
            </w:pPr>
          </w:p>
        </w:tc>
        <w:tc>
          <w:tcPr>
            <w:tcW w:w="960" w:type="dxa"/>
            <w:vAlign w:val="bottom"/>
            <w:shd w:val="clear" w:color="auto" w:fill="F3F3F3"/>
          </w:tcPr>
          <w:p>
            <w:pPr>
              <w:spacing w:after="0" w:line="20" w:lineRule="exact"/>
              <w:rPr>
                <w:sz w:val="1"/>
                <w:szCs w:val="1"/>
                <w:color w:val="auto"/>
              </w:rPr>
            </w:pPr>
          </w:p>
        </w:tc>
        <w:tc>
          <w:tcPr>
            <w:tcW w:w="100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1020" w:type="dxa"/>
            <w:vAlign w:val="bottom"/>
            <w:shd w:val="clear" w:color="auto" w:fill="F3F3F3"/>
          </w:tcPr>
          <w:p>
            <w:pPr>
              <w:spacing w:after="0" w:line="20" w:lineRule="exact"/>
              <w:rPr>
                <w:sz w:val="1"/>
                <w:szCs w:val="1"/>
                <w:color w:val="auto"/>
              </w:rPr>
            </w:pPr>
          </w:p>
        </w:tc>
        <w:tc>
          <w:tcPr>
            <w:tcW w:w="940" w:type="dxa"/>
            <w:vAlign w:val="bottom"/>
            <w:shd w:val="clear" w:color="auto" w:fill="F3F3F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Mr. Sessa did not meet retirement eligibility requirements on December 31, 2025.</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29"/>
          <w:szCs w:val="29"/>
          <w:b w:val="1"/>
          <w:bCs w:val="1"/>
          <w:color w:val="C60C35"/>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15175" cy="8255"/>
                    </a:xfrm>
                    <a:prstGeom prst="rect">
                      <a:avLst/>
                    </a:prstGeom>
                    <a:noFill/>
                  </pic:spPr>
                </pic:pic>
              </a:graphicData>
            </a:graphic>
          </wp:anchor>
        </w:drawing>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1151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6" w:lineRule="exact"/>
        <w:rPr>
          <w:sz w:val="20"/>
          <w:szCs w:val="20"/>
          <w:color w:val="auto"/>
        </w:rPr>
      </w:pPr>
    </w:p>
    <w:p>
      <w:pPr>
        <w:ind w:right="100" w:firstLine="324"/>
        <w:spacing w:after="0" w:line="245" w:lineRule="auto"/>
        <w:rPr>
          <w:sz w:val="20"/>
          <w:szCs w:val="20"/>
          <w:color w:val="auto"/>
        </w:rPr>
      </w:pPr>
      <w:r>
        <w:rPr>
          <w:rFonts w:ascii="Arial" w:cs="Arial" w:eastAsia="Arial" w:hAnsi="Arial"/>
          <w:sz w:val="18"/>
          <w:szCs w:val="18"/>
          <w:color w:val="auto"/>
        </w:rPr>
        <w:t>For 2025, the ratio of the annual total compensation of the CEO to the median of the annual total compensation of all employees of the Company other than the CEO was approximately 133 to 1. The 2025 CEO pay ratio was determined using the same median employee used to determine the 2024 CEO pay ratio as permitted under SEC rules, because there has been no change in our employee population or employee compensation arrangements that the Company believes would significantly impact the pay ratio disclosure. This pay ratio is a reasonable estimate calculated in a manner consistent with Item 402(u) of Regulation S-K using the data and assumptions summarized below.</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900" w:type="dxa"/>
            <w:vAlign w:val="bottom"/>
            <w:tcBorders>
              <w:top w:val="single" w:sz="8" w:color="auto"/>
              <w:left w:val="single" w:sz="8" w:color="auto"/>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Date Used to Identify Median</w:t>
            </w:r>
          </w:p>
        </w:tc>
        <w:tc>
          <w:tcPr>
            <w:tcW w:w="8360" w:type="dxa"/>
            <w:vAlign w:val="bottom"/>
            <w:tcBorders>
              <w:top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10/31/2024</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Employee</w:t>
            </w:r>
          </w:p>
        </w:tc>
        <w:tc>
          <w:tcPr>
            <w:tcW w:w="8360" w:type="dxa"/>
            <w:vAlign w:val="bottom"/>
            <w:tcBorders>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vMerge w:val="continue"/>
            <w:shd w:val="clear" w:color="auto" w:fill="F1F2F2"/>
          </w:tcPr>
          <w:p>
            <w:pPr>
              <w:spacing w:after="0"/>
              <w:rPr>
                <w:sz w:val="11"/>
                <w:szCs w:val="11"/>
                <w:color w:val="auto"/>
              </w:rPr>
            </w:pPr>
          </w:p>
        </w:tc>
        <w:tc>
          <w:tcPr>
            <w:tcW w:w="8360" w:type="dxa"/>
            <w:vAlign w:val="bottom"/>
            <w:tcBorders>
              <w:bottom w:val="single" w:sz="8" w:color="F1F2F2"/>
              <w:right w:val="single" w:sz="8" w:color="auto"/>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8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Our employee population consisted of approximately 14,089 individuals on October 31, 2024. In</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determining the median employee, we excluded all employees from certain non-U.S. countries under</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Employee Pool Used to Identify</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de minimis exemption under applicable SEC regulations. The list of excluded countries, together</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tcPr>
          <w:p>
            <w:pPr>
              <w:spacing w:after="0"/>
              <w:rPr>
                <w:sz w:val="9"/>
                <w:szCs w:val="9"/>
                <w:color w:val="auto"/>
              </w:rPr>
            </w:pPr>
          </w:p>
        </w:tc>
        <w:tc>
          <w:tcPr>
            <w:tcW w:w="8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with the number of employees excluded in each country, was as follows: China (29) and Canada</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color w:val="auto"/>
              </w:rPr>
              <w:t>Median Employee</w:t>
            </w:r>
          </w:p>
        </w:tc>
        <w:tc>
          <w:tcPr>
            <w:tcW w:w="83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continue"/>
          </w:tcPr>
          <w:p>
            <w:pPr>
              <w:spacing w:after="0"/>
              <w:rPr>
                <w:sz w:val="11"/>
                <w:szCs w:val="11"/>
                <w:color w:val="auto"/>
              </w:rPr>
            </w:pPr>
          </w:p>
        </w:tc>
        <w:tc>
          <w:tcPr>
            <w:tcW w:w="83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(240). In total, we excluded 269 employees under the de minimis exemption, representing</w:t>
            </w:r>
          </w:p>
        </w:tc>
        <w:tc>
          <w:tcPr>
            <w:tcW w:w="0" w:type="dxa"/>
            <w:vAlign w:val="bottom"/>
          </w:tcPr>
          <w:p>
            <w:pPr>
              <w:spacing w:after="0"/>
              <w:rPr>
                <w:sz w:val="1"/>
                <w:szCs w:val="1"/>
                <w:color w:val="auto"/>
              </w:rPr>
            </w:pPr>
          </w:p>
        </w:tc>
      </w:tr>
      <w:tr>
        <w:trPr>
          <w:trHeight w:val="85"/>
        </w:trPr>
        <w:tc>
          <w:tcPr>
            <w:tcW w:w="2900" w:type="dxa"/>
            <w:vAlign w:val="bottom"/>
            <w:tcBorders>
              <w:left w:val="single" w:sz="8" w:color="auto"/>
              <w:right w:val="single" w:sz="8" w:color="auto"/>
            </w:tcBorders>
          </w:tcPr>
          <w:p>
            <w:pPr>
              <w:spacing w:after="0"/>
              <w:rPr>
                <w:sz w:val="7"/>
                <w:szCs w:val="7"/>
                <w:color w:val="auto"/>
              </w:rPr>
            </w:pPr>
          </w:p>
        </w:tc>
        <w:tc>
          <w:tcPr>
            <w:tcW w:w="83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approximately 1.9% of our total employee population as of October 31, 2024. Therefore, there were</w:t>
            </w:r>
          </w:p>
        </w:tc>
        <w:tc>
          <w:tcPr>
            <w:tcW w:w="0" w:type="dxa"/>
            <w:vAlign w:val="bottom"/>
          </w:tcPr>
          <w:p>
            <w:pPr>
              <w:spacing w:after="0"/>
              <w:rPr>
                <w:sz w:val="1"/>
                <w:szCs w:val="1"/>
                <w:color w:val="auto"/>
              </w:rPr>
            </w:pPr>
          </w:p>
        </w:tc>
      </w:tr>
      <w:tr>
        <w:trPr>
          <w:trHeight w:val="239"/>
        </w:trPr>
        <w:tc>
          <w:tcPr>
            <w:tcW w:w="2900" w:type="dxa"/>
            <w:vAlign w:val="bottom"/>
            <w:tcBorders>
              <w:left w:val="single" w:sz="8" w:color="auto"/>
              <w:right w:val="single" w:sz="8" w:color="auto"/>
            </w:tcBorders>
          </w:tcPr>
          <w:p>
            <w:pPr>
              <w:spacing w:after="0"/>
              <w:rPr>
                <w:sz w:val="20"/>
                <w:szCs w:val="20"/>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13,820 employees used for purposes of identifying our median employee.</w:t>
            </w:r>
          </w:p>
        </w:tc>
        <w:tc>
          <w:tcPr>
            <w:tcW w:w="0" w:type="dxa"/>
            <w:vAlign w:val="bottom"/>
          </w:tcPr>
          <w:p>
            <w:pPr>
              <w:spacing w:after="0"/>
              <w:rPr>
                <w:sz w:val="1"/>
                <w:szCs w:val="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Compensation Used to Identify</w:t>
            </w: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Total gross wages as derived from the Company’s payroll records.</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Median Employee</w:t>
            </w:r>
          </w:p>
        </w:tc>
        <w:tc>
          <w:tcPr>
            <w:tcW w:w="8360" w:type="dxa"/>
            <w:vAlign w:val="bottom"/>
            <w:tcBorders>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vMerge w:val="continue"/>
            <w:shd w:val="clear" w:color="auto" w:fill="F1F2F2"/>
          </w:tcPr>
          <w:p>
            <w:pPr>
              <w:spacing w:after="0"/>
              <w:rPr>
                <w:sz w:val="11"/>
                <w:szCs w:val="11"/>
                <w:color w:val="auto"/>
              </w:rPr>
            </w:pPr>
          </w:p>
        </w:tc>
        <w:tc>
          <w:tcPr>
            <w:tcW w:w="8360" w:type="dxa"/>
            <w:vAlign w:val="bottom"/>
            <w:tcBorders>
              <w:bottom w:val="single" w:sz="8" w:color="F1F2F2"/>
              <w:right w:val="single" w:sz="8" w:color="auto"/>
            </w:tcBorders>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2900" w:type="dxa"/>
            <w:vAlign w:val="bottom"/>
            <w:tcBorders>
              <w:top w:val="single" w:sz="8" w:color="auto"/>
              <w:left w:val="single" w:sz="8" w:color="auto"/>
              <w:right w:val="single" w:sz="8" w:color="auto"/>
            </w:tcBorders>
          </w:tcPr>
          <w:p>
            <w:pPr>
              <w:spacing w:after="0"/>
              <w:rPr>
                <w:sz w:val="18"/>
                <w:szCs w:val="18"/>
                <w:color w:val="auto"/>
              </w:rPr>
            </w:pPr>
          </w:p>
        </w:tc>
        <w:tc>
          <w:tcPr>
            <w:tcW w:w="8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$63,587, which includes the value of the median employee’s health and welfare benefits and</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Median Employee Annual Total</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retirement benefits. We calculated the median employee’s compensation in the same manner as we</w:t>
            </w:r>
          </w:p>
        </w:tc>
        <w:tc>
          <w:tcPr>
            <w:tcW w:w="0" w:type="dxa"/>
            <w:vAlign w:val="bottom"/>
          </w:tcPr>
          <w:p>
            <w:pPr>
              <w:spacing w:after="0"/>
              <w:rPr>
                <w:sz w:val="1"/>
                <w:szCs w:val="1"/>
                <w:color w:val="auto"/>
              </w:rPr>
            </w:pPr>
          </w:p>
        </w:tc>
      </w:tr>
      <w:tr>
        <w:trPr>
          <w:trHeight w:val="216"/>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Compensation for 2025</w:t>
            </w: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calculated total compensation of the CEO in the 2025 Summary Compensation Table and then added</w:t>
            </w:r>
          </w:p>
        </w:tc>
        <w:tc>
          <w:tcPr>
            <w:tcW w:w="0" w:type="dxa"/>
            <w:vAlign w:val="bottom"/>
          </w:tcPr>
          <w:p>
            <w:pPr>
              <w:spacing w:after="0"/>
              <w:rPr>
                <w:sz w:val="1"/>
                <w:szCs w:val="1"/>
                <w:color w:val="auto"/>
              </w:rPr>
            </w:pPr>
          </w:p>
        </w:tc>
      </w:tr>
      <w:tr>
        <w:trPr>
          <w:trHeight w:val="239"/>
        </w:trPr>
        <w:tc>
          <w:tcPr>
            <w:tcW w:w="2900" w:type="dxa"/>
            <w:vAlign w:val="bottom"/>
            <w:tcBorders>
              <w:left w:val="single" w:sz="8" w:color="auto"/>
              <w:right w:val="single" w:sz="8" w:color="auto"/>
            </w:tcBorders>
          </w:tcPr>
          <w:p>
            <w:pPr>
              <w:spacing w:after="0"/>
              <w:rPr>
                <w:sz w:val="20"/>
                <w:szCs w:val="20"/>
                <w:color w:val="auto"/>
              </w:rPr>
            </w:pPr>
          </w:p>
        </w:tc>
        <w:tc>
          <w:tcPr>
            <w:tcW w:w="83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value of health and welfare benefits.</w:t>
            </w:r>
          </w:p>
        </w:tc>
        <w:tc>
          <w:tcPr>
            <w:tcW w:w="0" w:type="dxa"/>
            <w:vAlign w:val="bottom"/>
          </w:tcPr>
          <w:p>
            <w:pPr>
              <w:spacing w:after="0"/>
              <w:rPr>
                <w:sz w:val="1"/>
                <w:szCs w:val="1"/>
                <w:color w:val="auto"/>
              </w:rPr>
            </w:pP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8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CEO Annual Total Compensation</w:t>
            </w:r>
          </w:p>
        </w:tc>
        <w:tc>
          <w:tcPr>
            <w:tcW w:w="8360" w:type="dxa"/>
            <w:vAlign w:val="bottom"/>
            <w:tcBorders>
              <w:right w:val="single" w:sz="8" w:color="auto"/>
            </w:tcBorders>
            <w:shd w:val="clear" w:color="auto" w:fill="F1F2F2"/>
          </w:tcPr>
          <w:p>
            <w:pPr>
              <w:ind w:left="120"/>
              <w:spacing w:after="0"/>
              <w:rPr>
                <w:sz w:val="20"/>
                <w:szCs w:val="20"/>
                <w:color w:val="auto"/>
              </w:rPr>
            </w:pPr>
            <w:r>
              <w:rPr>
                <w:rFonts w:ascii="Arial" w:cs="Arial" w:eastAsia="Arial" w:hAnsi="Arial"/>
                <w:sz w:val="18"/>
                <w:szCs w:val="18"/>
                <w:color w:val="auto"/>
              </w:rPr>
              <w:t>$8,451,361, which is $17,206 more than the amount disclosed in the 2025 Summary Compensation</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continue"/>
            <w:shd w:val="clear" w:color="auto" w:fill="F1F2F2"/>
          </w:tcPr>
          <w:p>
            <w:pPr>
              <w:spacing w:after="0"/>
              <w:rPr>
                <w:sz w:val="9"/>
                <w:szCs w:val="9"/>
                <w:color w:val="auto"/>
              </w:rPr>
            </w:pP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Table. The increase reflects the value of health and welfare benefits, which are excluded from the</w:t>
            </w:r>
          </w:p>
        </w:tc>
        <w:tc>
          <w:tcPr>
            <w:tcW w:w="0" w:type="dxa"/>
            <w:vAlign w:val="bottom"/>
          </w:tcPr>
          <w:p>
            <w:pPr>
              <w:spacing w:after="0"/>
              <w:rPr>
                <w:sz w:val="1"/>
                <w:szCs w:val="1"/>
                <w:color w:val="auto"/>
              </w:rPr>
            </w:pPr>
          </w:p>
        </w:tc>
      </w:tr>
      <w:tr>
        <w:trPr>
          <w:trHeight w:val="108"/>
        </w:trPr>
        <w:tc>
          <w:tcPr>
            <w:tcW w:w="2900" w:type="dxa"/>
            <w:vAlign w:val="bottom"/>
            <w:tcBorders>
              <w:left w:val="single" w:sz="8" w:color="auto"/>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for 2025</w:t>
            </w:r>
          </w:p>
        </w:tc>
        <w:tc>
          <w:tcPr>
            <w:tcW w:w="8360" w:type="dxa"/>
            <w:vAlign w:val="bottom"/>
            <w:tcBorders>
              <w:right w:val="single" w:sz="8" w:color="auto"/>
            </w:tcBorders>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right w:val="single" w:sz="8" w:color="auto"/>
            </w:tcBorders>
            <w:vMerge w:val="continue"/>
            <w:shd w:val="clear" w:color="auto" w:fill="F1F2F2"/>
          </w:tcPr>
          <w:p>
            <w:pPr>
              <w:spacing w:after="0"/>
              <w:rPr>
                <w:sz w:val="11"/>
                <w:szCs w:val="11"/>
                <w:color w:val="auto"/>
              </w:rPr>
            </w:pPr>
          </w:p>
        </w:tc>
        <w:tc>
          <w:tcPr>
            <w:tcW w:w="8360" w:type="dxa"/>
            <w:vAlign w:val="bottom"/>
            <w:tcBorders>
              <w:right w:val="single" w:sz="8" w:color="auto"/>
            </w:tcBorders>
            <w:vMerge w:val="restart"/>
            <w:shd w:val="clear" w:color="auto" w:fill="F1F2F2"/>
          </w:tcPr>
          <w:p>
            <w:pPr>
              <w:ind w:left="120"/>
              <w:spacing w:after="0"/>
              <w:rPr>
                <w:sz w:val="20"/>
                <w:szCs w:val="20"/>
                <w:color w:val="auto"/>
              </w:rPr>
            </w:pPr>
            <w:r>
              <w:rPr>
                <w:rFonts w:ascii="Arial" w:cs="Arial" w:eastAsia="Arial" w:hAnsi="Arial"/>
                <w:sz w:val="18"/>
                <w:szCs w:val="18"/>
                <w:color w:val="auto"/>
              </w:rPr>
              <w:t>2025 Summary Compensation Table under SEC rules.</w:t>
            </w:r>
          </w:p>
        </w:tc>
        <w:tc>
          <w:tcPr>
            <w:tcW w:w="0" w:type="dxa"/>
            <w:vAlign w:val="bottom"/>
          </w:tcPr>
          <w:p>
            <w:pPr>
              <w:spacing w:after="0"/>
              <w:rPr>
                <w:sz w:val="1"/>
                <w:szCs w:val="1"/>
                <w:color w:val="auto"/>
              </w:rPr>
            </w:pPr>
          </w:p>
        </w:tc>
      </w:tr>
      <w:tr>
        <w:trPr>
          <w:trHeight w:val="131"/>
        </w:trPr>
        <w:tc>
          <w:tcPr>
            <w:tcW w:w="2900" w:type="dxa"/>
            <w:vAlign w:val="bottom"/>
            <w:tcBorders>
              <w:left w:val="single" w:sz="8" w:color="auto"/>
              <w:bottom w:val="single" w:sz="8" w:color="F1F2F2"/>
              <w:right w:val="single" w:sz="8" w:color="auto"/>
            </w:tcBorders>
            <w:shd w:val="clear" w:color="auto" w:fill="F1F2F2"/>
          </w:tcPr>
          <w:p>
            <w:pPr>
              <w:spacing w:after="0"/>
              <w:rPr>
                <w:sz w:val="11"/>
                <w:szCs w:val="11"/>
                <w:color w:val="auto"/>
              </w:rPr>
            </w:pPr>
          </w:p>
        </w:tc>
        <w:tc>
          <w:tcPr>
            <w:tcW w:w="8360" w:type="dxa"/>
            <w:vAlign w:val="bottom"/>
            <w:tcBorders>
              <w:bottom w:val="single" w:sz="8" w:color="F1F2F2"/>
              <w:right w:val="single" w:sz="8" w:color="auto"/>
            </w:tcBorders>
            <w:vMerge w:val="continue"/>
            <w:shd w:val="clear" w:color="auto" w:fill="F1F2F2"/>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9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Pay Ratio</w:t>
            </w:r>
          </w:p>
        </w:tc>
        <w:tc>
          <w:tcPr>
            <w:tcW w:w="836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133:1</w:t>
            </w:r>
          </w:p>
        </w:tc>
        <w:tc>
          <w:tcPr>
            <w:tcW w:w="0" w:type="dxa"/>
            <w:vAlign w:val="bottom"/>
          </w:tcPr>
          <w:p>
            <w:pPr>
              <w:spacing w:after="0"/>
              <w:rPr>
                <w:sz w:val="1"/>
                <w:szCs w:val="1"/>
                <w:color w:val="auto"/>
              </w:rPr>
            </w:pPr>
          </w:p>
        </w:tc>
      </w:tr>
      <w:tr>
        <w:trPr>
          <w:trHeight w:val="746"/>
        </w:trPr>
        <w:tc>
          <w:tcPr>
            <w:tcW w:w="2900" w:type="dxa"/>
            <w:vAlign w:val="bottom"/>
          </w:tcPr>
          <w:p>
            <w:pPr>
              <w:spacing w:after="0"/>
              <w:rPr>
                <w:sz w:val="24"/>
                <w:szCs w:val="24"/>
                <w:color w:val="auto"/>
              </w:rPr>
            </w:pPr>
          </w:p>
        </w:tc>
        <w:tc>
          <w:tcPr>
            <w:tcW w:w="8360" w:type="dxa"/>
            <w:vAlign w:val="bottom"/>
          </w:tcPr>
          <w:p>
            <w:pPr>
              <w:ind w:left="27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60"/>
        </w:trPr>
        <w:tc>
          <w:tcPr>
            <w:tcW w:w="2900" w:type="dxa"/>
            <w:vAlign w:val="bottom"/>
            <w:tcBorders>
              <w:bottom w:val="single" w:sz="8" w:color="9A9A9A"/>
            </w:tcBorders>
          </w:tcPr>
          <w:p>
            <w:pPr>
              <w:spacing w:after="0"/>
              <w:rPr>
                <w:sz w:val="22"/>
                <w:szCs w:val="22"/>
                <w:color w:val="auto"/>
              </w:rPr>
            </w:pPr>
          </w:p>
        </w:tc>
        <w:tc>
          <w:tcPr>
            <w:tcW w:w="836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821"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29"/>
          <w:szCs w:val="29"/>
          <w:b w:val="1"/>
          <w:bCs w:val="1"/>
          <w:color w:val="C6093B"/>
        </w:rPr>
        <w:t>Pay Versus Performance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Pay Versus Performance Table</w:t>
      </w:r>
    </w:p>
    <w:p>
      <w:pPr>
        <w:spacing w:after="0" w:line="108" w:lineRule="exact"/>
        <w:rPr>
          <w:sz w:val="20"/>
          <w:szCs w:val="20"/>
          <w:color w:val="auto"/>
        </w:rPr>
      </w:pPr>
    </w:p>
    <w:p>
      <w:pPr>
        <w:ind w:right="200" w:firstLine="324"/>
        <w:spacing w:after="0" w:line="247"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or “CAP” and certain financial performance of the Company. You should refer to the “Compensation Discussion and Analysis” in this proxy statement for a more detailed description of how executive compensation relates to Company performance and how the Compensation and Human Resources Committee makes its decisions.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shd w:val="clear" w:color="auto" w:fill="C60C35"/>
          </w:tcPr>
          <w:p>
            <w:pPr>
              <w:spacing w:after="0"/>
              <w:rPr>
                <w:sz w:val="18"/>
                <w:szCs w:val="18"/>
                <w:color w:val="auto"/>
              </w:rPr>
            </w:pPr>
          </w:p>
        </w:tc>
        <w:tc>
          <w:tcPr>
            <w:tcW w:w="1240" w:type="dxa"/>
            <w:vAlign w:val="bottom"/>
            <w:shd w:val="clear" w:color="auto" w:fill="C60C35"/>
          </w:tcPr>
          <w:p>
            <w:pPr>
              <w:spacing w:after="0"/>
              <w:rPr>
                <w:sz w:val="18"/>
                <w:szCs w:val="18"/>
                <w:color w:val="auto"/>
              </w:rPr>
            </w:pPr>
          </w:p>
        </w:tc>
        <w:tc>
          <w:tcPr>
            <w:tcW w:w="1140" w:type="dxa"/>
            <w:vAlign w:val="bottom"/>
            <w:shd w:val="clear" w:color="auto" w:fill="C60C35"/>
          </w:tcPr>
          <w:p>
            <w:pPr>
              <w:spacing w:after="0"/>
              <w:rPr>
                <w:sz w:val="18"/>
                <w:szCs w:val="18"/>
                <w:color w:val="auto"/>
              </w:rPr>
            </w:pPr>
          </w:p>
        </w:tc>
        <w:tc>
          <w:tcPr>
            <w:tcW w:w="720" w:type="dxa"/>
            <w:vAlign w:val="bottom"/>
            <w:shd w:val="clear" w:color="auto" w:fill="C60C35"/>
          </w:tcPr>
          <w:p>
            <w:pPr>
              <w:spacing w:after="0"/>
              <w:rPr>
                <w:sz w:val="18"/>
                <w:szCs w:val="18"/>
                <w:color w:val="auto"/>
              </w:rPr>
            </w:pPr>
          </w:p>
        </w:tc>
        <w:tc>
          <w:tcPr>
            <w:tcW w:w="680" w:type="dxa"/>
            <w:vAlign w:val="bottom"/>
            <w:shd w:val="clear" w:color="auto" w:fill="C60C35"/>
          </w:tcPr>
          <w:p>
            <w:pPr>
              <w:spacing w:after="0"/>
              <w:rPr>
                <w:sz w:val="18"/>
                <w:szCs w:val="18"/>
                <w:color w:val="auto"/>
              </w:rPr>
            </w:pPr>
          </w:p>
        </w:tc>
        <w:tc>
          <w:tcPr>
            <w:tcW w:w="800" w:type="dxa"/>
            <w:vAlign w:val="bottom"/>
            <w:shd w:val="clear" w:color="auto" w:fill="C60C35"/>
          </w:tcPr>
          <w:p>
            <w:pPr>
              <w:spacing w:after="0"/>
              <w:rPr>
                <w:sz w:val="18"/>
                <w:szCs w:val="18"/>
                <w:color w:val="auto"/>
              </w:rPr>
            </w:pPr>
          </w:p>
        </w:tc>
        <w:tc>
          <w:tcPr>
            <w:tcW w:w="700" w:type="dxa"/>
            <w:vAlign w:val="bottom"/>
            <w:shd w:val="clear" w:color="auto" w:fill="C60C35"/>
          </w:tcPr>
          <w:p>
            <w:pPr>
              <w:spacing w:after="0"/>
              <w:rPr>
                <w:sz w:val="18"/>
                <w:szCs w:val="18"/>
                <w:color w:val="auto"/>
              </w:rPr>
            </w:pPr>
          </w:p>
        </w:tc>
        <w:tc>
          <w:tcPr>
            <w:tcW w:w="940" w:type="dxa"/>
            <w:vAlign w:val="bottom"/>
            <w:shd w:val="clear" w:color="auto" w:fill="C60C35"/>
          </w:tcPr>
          <w:p>
            <w:pPr>
              <w:spacing w:after="0"/>
              <w:rPr>
                <w:sz w:val="18"/>
                <w:szCs w:val="18"/>
                <w:color w:val="auto"/>
              </w:rPr>
            </w:pPr>
          </w:p>
        </w:tc>
        <w:tc>
          <w:tcPr>
            <w:tcW w:w="740" w:type="dxa"/>
            <w:vAlign w:val="bottom"/>
            <w:shd w:val="clear" w:color="auto" w:fill="C60C35"/>
          </w:tcPr>
          <w:p>
            <w:pPr>
              <w:spacing w:after="0"/>
              <w:rPr>
                <w:sz w:val="18"/>
                <w:szCs w:val="18"/>
                <w:color w:val="auto"/>
              </w:rPr>
            </w:pPr>
          </w:p>
        </w:tc>
        <w:tc>
          <w:tcPr>
            <w:tcW w:w="2060" w:type="dxa"/>
            <w:vAlign w:val="bottom"/>
            <w:gridSpan w:val="2"/>
            <w:shd w:val="clear" w:color="auto" w:fill="C60C35"/>
          </w:tcPr>
          <w:p>
            <w:pPr>
              <w:jc w:val="right"/>
              <w:ind w:right="221"/>
              <w:spacing w:after="0"/>
              <w:rPr>
                <w:sz w:val="20"/>
                <w:szCs w:val="20"/>
                <w:color w:val="auto"/>
              </w:rPr>
            </w:pPr>
            <w:r>
              <w:rPr>
                <w:rFonts w:ascii="Arial" w:cs="Arial" w:eastAsia="Arial" w:hAnsi="Arial"/>
                <w:sz w:val="13"/>
                <w:szCs w:val="13"/>
                <w:b w:val="1"/>
                <w:bCs w:val="1"/>
                <w:color w:val="FFFFFF"/>
              </w:rPr>
              <w:t>Value of Initial Fixed $100</w:t>
            </w:r>
          </w:p>
        </w:tc>
        <w:tc>
          <w:tcPr>
            <w:tcW w:w="820" w:type="dxa"/>
            <w:vAlign w:val="bottom"/>
            <w:shd w:val="clear" w:color="auto" w:fill="C60C35"/>
          </w:tcPr>
          <w:p>
            <w:pPr>
              <w:spacing w:after="0"/>
              <w:rPr>
                <w:sz w:val="18"/>
                <w:szCs w:val="18"/>
                <w:color w:val="auto"/>
              </w:rPr>
            </w:pPr>
          </w:p>
        </w:tc>
        <w:tc>
          <w:tcPr>
            <w:tcW w:w="940" w:type="dxa"/>
            <w:vAlign w:val="bottom"/>
            <w:shd w:val="clear" w:color="auto" w:fill="C60C35"/>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 w:type="dxa"/>
            <w:vAlign w:val="bottom"/>
            <w:shd w:val="clear" w:color="auto" w:fill="C60C35"/>
          </w:tcPr>
          <w:p>
            <w:pPr>
              <w:spacing w:after="0"/>
              <w:rPr>
                <w:sz w:val="14"/>
                <w:szCs w:val="14"/>
                <w:color w:val="auto"/>
              </w:rPr>
            </w:pPr>
          </w:p>
        </w:tc>
        <w:tc>
          <w:tcPr>
            <w:tcW w:w="1240" w:type="dxa"/>
            <w:vAlign w:val="bottom"/>
            <w:vMerge w:val="restart"/>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Summary</w:t>
            </w:r>
          </w:p>
        </w:tc>
        <w:tc>
          <w:tcPr>
            <w:tcW w:w="1140" w:type="dxa"/>
            <w:vAlign w:val="bottom"/>
            <w:shd w:val="clear" w:color="auto" w:fill="C60C35"/>
          </w:tcPr>
          <w:p>
            <w:pPr>
              <w:spacing w:after="0"/>
              <w:rPr>
                <w:sz w:val="14"/>
                <w:szCs w:val="14"/>
                <w:color w:val="auto"/>
              </w:rPr>
            </w:pPr>
          </w:p>
        </w:tc>
        <w:tc>
          <w:tcPr>
            <w:tcW w:w="720" w:type="dxa"/>
            <w:vAlign w:val="bottom"/>
            <w:shd w:val="clear" w:color="auto" w:fill="C60C35"/>
          </w:tcPr>
          <w:p>
            <w:pPr>
              <w:spacing w:after="0"/>
              <w:rPr>
                <w:sz w:val="14"/>
                <w:szCs w:val="14"/>
                <w:color w:val="auto"/>
              </w:rPr>
            </w:pPr>
          </w:p>
        </w:tc>
        <w:tc>
          <w:tcPr>
            <w:tcW w:w="680" w:type="dxa"/>
            <w:vAlign w:val="bottom"/>
            <w:shd w:val="clear" w:color="auto" w:fill="C60C35"/>
          </w:tcPr>
          <w:p>
            <w:pPr>
              <w:spacing w:after="0"/>
              <w:rPr>
                <w:sz w:val="14"/>
                <w:szCs w:val="14"/>
                <w:color w:val="auto"/>
              </w:rPr>
            </w:pPr>
          </w:p>
        </w:tc>
        <w:tc>
          <w:tcPr>
            <w:tcW w:w="800" w:type="dxa"/>
            <w:vAlign w:val="bottom"/>
            <w:shd w:val="clear" w:color="auto" w:fill="C60C35"/>
          </w:tcPr>
          <w:p>
            <w:pPr>
              <w:spacing w:after="0"/>
              <w:rPr>
                <w:sz w:val="14"/>
                <w:szCs w:val="14"/>
                <w:color w:val="auto"/>
              </w:rPr>
            </w:pPr>
          </w:p>
        </w:tc>
        <w:tc>
          <w:tcPr>
            <w:tcW w:w="700" w:type="dxa"/>
            <w:vAlign w:val="bottom"/>
            <w:shd w:val="clear" w:color="auto" w:fill="C60C35"/>
          </w:tcPr>
          <w:p>
            <w:pPr>
              <w:spacing w:after="0"/>
              <w:rPr>
                <w:sz w:val="14"/>
                <w:szCs w:val="14"/>
                <w:color w:val="auto"/>
              </w:rPr>
            </w:pPr>
          </w:p>
        </w:tc>
        <w:tc>
          <w:tcPr>
            <w:tcW w:w="940" w:type="dxa"/>
            <w:vAlign w:val="bottom"/>
            <w:vMerge w:val="restart"/>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w w:val="98"/>
              </w:rPr>
              <w:t>Average SCT</w:t>
            </w:r>
          </w:p>
        </w:tc>
        <w:tc>
          <w:tcPr>
            <w:tcW w:w="740" w:type="dxa"/>
            <w:vAlign w:val="bottom"/>
            <w:vMerge w:val="restart"/>
            <w:shd w:val="clear" w:color="auto" w:fill="C60C35"/>
          </w:tcPr>
          <w:p>
            <w:pPr>
              <w:jc w:val="right"/>
              <w:spacing w:after="0"/>
              <w:rPr>
                <w:sz w:val="20"/>
                <w:szCs w:val="20"/>
                <w:color w:val="auto"/>
              </w:rPr>
            </w:pPr>
            <w:r>
              <w:rPr>
                <w:rFonts w:ascii="Arial" w:cs="Arial" w:eastAsia="Arial" w:hAnsi="Arial"/>
                <w:sz w:val="13"/>
                <w:szCs w:val="13"/>
                <w:b w:val="1"/>
                <w:bCs w:val="1"/>
                <w:color w:val="FFFFFF"/>
              </w:rPr>
              <w:t>Average</w:t>
            </w:r>
          </w:p>
        </w:tc>
        <w:tc>
          <w:tcPr>
            <w:tcW w:w="2060" w:type="dxa"/>
            <w:vAlign w:val="bottom"/>
            <w:gridSpan w:val="2"/>
            <w:shd w:val="clear" w:color="auto" w:fill="C60C35"/>
          </w:tcPr>
          <w:p>
            <w:pPr>
              <w:jc w:val="right"/>
              <w:ind w:right="301"/>
              <w:spacing w:after="0"/>
              <w:rPr>
                <w:sz w:val="20"/>
                <w:szCs w:val="20"/>
                <w:color w:val="auto"/>
              </w:rPr>
            </w:pPr>
            <w:r>
              <w:rPr>
                <w:rFonts w:ascii="Arial" w:cs="Arial" w:eastAsia="Arial" w:hAnsi="Arial"/>
                <w:sz w:val="13"/>
                <w:szCs w:val="13"/>
                <w:b w:val="1"/>
                <w:bCs w:val="1"/>
                <w:color w:val="FFFFFF"/>
              </w:rPr>
              <w:t>Investment Based On:</w:t>
            </w:r>
          </w:p>
        </w:tc>
        <w:tc>
          <w:tcPr>
            <w:tcW w:w="82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60" w:type="dxa"/>
            <w:vAlign w:val="bottom"/>
            <w:shd w:val="clear" w:color="auto" w:fill="C60C35"/>
          </w:tcPr>
          <w:p>
            <w:pPr>
              <w:spacing w:after="0"/>
              <w:rPr>
                <w:sz w:val="4"/>
                <w:szCs w:val="4"/>
                <w:color w:val="auto"/>
              </w:rPr>
            </w:pPr>
          </w:p>
        </w:tc>
        <w:tc>
          <w:tcPr>
            <w:tcW w:w="1240" w:type="dxa"/>
            <w:vAlign w:val="bottom"/>
            <w:vMerge w:val="continue"/>
            <w:shd w:val="clear" w:color="auto" w:fill="C60C35"/>
          </w:tcPr>
          <w:p>
            <w:pPr>
              <w:spacing w:after="0"/>
              <w:rPr>
                <w:sz w:val="4"/>
                <w:szCs w:val="4"/>
                <w:color w:val="auto"/>
              </w:rPr>
            </w:pPr>
          </w:p>
        </w:tc>
        <w:tc>
          <w:tcPr>
            <w:tcW w:w="1140" w:type="dxa"/>
            <w:vAlign w:val="bottom"/>
            <w:shd w:val="clear" w:color="auto" w:fill="C60C35"/>
          </w:tcPr>
          <w:p>
            <w:pPr>
              <w:spacing w:after="0"/>
              <w:rPr>
                <w:sz w:val="4"/>
                <w:szCs w:val="4"/>
                <w:color w:val="auto"/>
              </w:rPr>
            </w:pPr>
          </w:p>
        </w:tc>
        <w:tc>
          <w:tcPr>
            <w:tcW w:w="720" w:type="dxa"/>
            <w:vAlign w:val="bottom"/>
            <w:shd w:val="clear" w:color="auto" w:fill="C60C35"/>
          </w:tcPr>
          <w:p>
            <w:pPr>
              <w:spacing w:after="0"/>
              <w:rPr>
                <w:sz w:val="4"/>
                <w:szCs w:val="4"/>
                <w:color w:val="auto"/>
              </w:rPr>
            </w:pPr>
          </w:p>
        </w:tc>
        <w:tc>
          <w:tcPr>
            <w:tcW w:w="680" w:type="dxa"/>
            <w:vAlign w:val="bottom"/>
            <w:shd w:val="clear" w:color="auto" w:fill="C60C35"/>
          </w:tcPr>
          <w:p>
            <w:pPr>
              <w:spacing w:after="0"/>
              <w:rPr>
                <w:sz w:val="4"/>
                <w:szCs w:val="4"/>
                <w:color w:val="auto"/>
              </w:rPr>
            </w:pPr>
          </w:p>
        </w:tc>
        <w:tc>
          <w:tcPr>
            <w:tcW w:w="800" w:type="dxa"/>
            <w:vAlign w:val="bottom"/>
            <w:shd w:val="clear" w:color="auto" w:fill="C60C35"/>
          </w:tcPr>
          <w:p>
            <w:pPr>
              <w:spacing w:after="0"/>
              <w:rPr>
                <w:sz w:val="4"/>
                <w:szCs w:val="4"/>
                <w:color w:val="auto"/>
              </w:rPr>
            </w:pPr>
          </w:p>
        </w:tc>
        <w:tc>
          <w:tcPr>
            <w:tcW w:w="700" w:type="dxa"/>
            <w:vAlign w:val="bottom"/>
            <w:shd w:val="clear" w:color="auto" w:fill="C60C35"/>
          </w:tcPr>
          <w:p>
            <w:pPr>
              <w:spacing w:after="0"/>
              <w:rPr>
                <w:sz w:val="4"/>
                <w:szCs w:val="4"/>
                <w:color w:val="auto"/>
              </w:rPr>
            </w:pPr>
          </w:p>
        </w:tc>
        <w:tc>
          <w:tcPr>
            <w:tcW w:w="940" w:type="dxa"/>
            <w:vAlign w:val="bottom"/>
            <w:vMerge w:val="continue"/>
            <w:shd w:val="clear" w:color="auto" w:fill="C60C35"/>
          </w:tcPr>
          <w:p>
            <w:pPr>
              <w:spacing w:after="0"/>
              <w:rPr>
                <w:sz w:val="4"/>
                <w:szCs w:val="4"/>
                <w:color w:val="auto"/>
              </w:rPr>
            </w:pPr>
          </w:p>
        </w:tc>
        <w:tc>
          <w:tcPr>
            <w:tcW w:w="740" w:type="dxa"/>
            <w:vAlign w:val="bottom"/>
            <w:vMerge w:val="continue"/>
            <w:shd w:val="clear" w:color="auto" w:fill="C60C35"/>
          </w:tcPr>
          <w:p>
            <w:pPr>
              <w:spacing w:after="0"/>
              <w:rPr>
                <w:sz w:val="4"/>
                <w:szCs w:val="4"/>
                <w:color w:val="auto"/>
              </w:rPr>
            </w:pPr>
          </w:p>
        </w:tc>
        <w:tc>
          <w:tcPr>
            <w:tcW w:w="1020" w:type="dxa"/>
            <w:vAlign w:val="bottom"/>
            <w:shd w:val="clear" w:color="auto" w:fill="C60C35"/>
          </w:tcPr>
          <w:p>
            <w:pPr>
              <w:spacing w:after="0"/>
              <w:rPr>
                <w:sz w:val="4"/>
                <w:szCs w:val="4"/>
                <w:color w:val="auto"/>
              </w:rPr>
            </w:pPr>
          </w:p>
        </w:tc>
        <w:tc>
          <w:tcPr>
            <w:tcW w:w="1040" w:type="dxa"/>
            <w:vAlign w:val="bottom"/>
            <w:shd w:val="clear" w:color="auto" w:fill="C60C35"/>
          </w:tcPr>
          <w:p>
            <w:pPr>
              <w:spacing w:after="0"/>
              <w:rPr>
                <w:sz w:val="4"/>
                <w:szCs w:val="4"/>
                <w:color w:val="auto"/>
              </w:rPr>
            </w:pPr>
          </w:p>
        </w:tc>
        <w:tc>
          <w:tcPr>
            <w:tcW w:w="820" w:type="dxa"/>
            <w:vAlign w:val="bottom"/>
            <w:shd w:val="clear" w:color="auto" w:fill="C60C35"/>
          </w:tcPr>
          <w:p>
            <w:pPr>
              <w:spacing w:after="0"/>
              <w:rPr>
                <w:sz w:val="4"/>
                <w:szCs w:val="4"/>
                <w:color w:val="auto"/>
              </w:rPr>
            </w:pPr>
          </w:p>
        </w:tc>
        <w:tc>
          <w:tcPr>
            <w:tcW w:w="940" w:type="dxa"/>
            <w:vAlign w:val="bottom"/>
            <w:shd w:val="clear" w:color="auto" w:fill="C60C35"/>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60" w:type="dxa"/>
            <w:vAlign w:val="bottom"/>
            <w:shd w:val="clear" w:color="auto" w:fill="C60C35"/>
          </w:tcPr>
          <w:p>
            <w:pPr>
              <w:spacing w:after="0"/>
              <w:rPr>
                <w:sz w:val="14"/>
                <w:szCs w:val="14"/>
                <w:color w:val="auto"/>
              </w:rPr>
            </w:pP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Compensation</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Compensation</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SCT</w:t>
            </w:r>
          </w:p>
        </w:tc>
        <w:tc>
          <w:tcPr>
            <w:tcW w:w="680" w:type="dxa"/>
            <w:vAlign w:val="bottom"/>
            <w:shd w:val="clear" w:color="auto" w:fill="C60C35"/>
          </w:tcPr>
          <w:p>
            <w:pPr>
              <w:spacing w:after="0"/>
              <w:rPr>
                <w:sz w:val="14"/>
                <w:szCs w:val="14"/>
                <w:color w:val="auto"/>
              </w:rPr>
            </w:pP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SCT</w:t>
            </w:r>
          </w:p>
        </w:tc>
        <w:tc>
          <w:tcPr>
            <w:tcW w:w="700" w:type="dxa"/>
            <w:vAlign w:val="bottom"/>
            <w:shd w:val="clear" w:color="auto" w:fill="C60C35"/>
          </w:tcPr>
          <w:p>
            <w:pPr>
              <w:spacing w:after="0"/>
              <w:rPr>
                <w:sz w:val="14"/>
                <w:szCs w:val="14"/>
                <w:color w:val="auto"/>
              </w:rPr>
            </w:pP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Total for</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CAP to</w:t>
            </w:r>
          </w:p>
        </w:tc>
        <w:tc>
          <w:tcPr>
            <w:tcW w:w="1020" w:type="dxa"/>
            <w:vAlign w:val="bottom"/>
            <w:shd w:val="clear" w:color="auto" w:fill="C60C35"/>
          </w:tcPr>
          <w:p>
            <w:pPr>
              <w:spacing w:after="0"/>
              <w:rPr>
                <w:sz w:val="14"/>
                <w:szCs w:val="14"/>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Peer</w:t>
            </w:r>
          </w:p>
        </w:tc>
        <w:tc>
          <w:tcPr>
            <w:tcW w:w="820" w:type="dxa"/>
            <w:vAlign w:val="bottom"/>
            <w:shd w:val="clear" w:color="auto" w:fill="C60C35"/>
          </w:tcPr>
          <w:p>
            <w:pPr>
              <w:spacing w:after="0"/>
              <w:rPr>
                <w:sz w:val="14"/>
                <w:szCs w:val="14"/>
                <w:color w:val="auto"/>
              </w:rPr>
            </w:pPr>
          </w:p>
        </w:tc>
        <w:tc>
          <w:tcPr>
            <w:tcW w:w="940" w:type="dxa"/>
            <w:vAlign w:val="bottom"/>
            <w:shd w:val="clear" w:color="auto" w:fill="C60C35"/>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shd w:val="clear" w:color="auto" w:fill="C60C35"/>
          </w:tcPr>
          <w:p>
            <w:pPr>
              <w:spacing w:after="0"/>
              <w:rPr>
                <w:sz w:val="12"/>
                <w:szCs w:val="12"/>
                <w:color w:val="auto"/>
              </w:rPr>
            </w:pP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Table (SCT)</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Actually Paid</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Total for</w:t>
            </w:r>
          </w:p>
        </w:tc>
        <w:tc>
          <w:tcPr>
            <w:tcW w:w="68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CAP to</w:t>
            </w: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Total for</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CAP to</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Non-PEO</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Non-PEO</w:t>
            </w:r>
          </w:p>
        </w:tc>
        <w:tc>
          <w:tcPr>
            <w:tcW w:w="1020" w:type="dxa"/>
            <w:vAlign w:val="bottom"/>
            <w:shd w:val="clear" w:color="auto" w:fill="C60C35"/>
          </w:tcPr>
          <w:p>
            <w:pPr>
              <w:spacing w:after="0"/>
              <w:rPr>
                <w:sz w:val="12"/>
                <w:szCs w:val="12"/>
                <w:color w:val="auto"/>
              </w:rPr>
            </w:pP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Group</w:t>
            </w:r>
          </w:p>
        </w:tc>
        <w:tc>
          <w:tcPr>
            <w:tcW w:w="820" w:type="dxa"/>
            <w:vAlign w:val="bottom"/>
            <w:shd w:val="clear" w:color="auto" w:fill="C60C35"/>
          </w:tcPr>
          <w:p>
            <w:pPr>
              <w:spacing w:after="0"/>
              <w:rPr>
                <w:sz w:val="12"/>
                <w:szCs w:val="12"/>
                <w:color w:val="auto"/>
              </w:rPr>
            </w:pPr>
          </w:p>
        </w:tc>
        <w:tc>
          <w:tcPr>
            <w:tcW w:w="94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Company</w:t>
            </w:r>
          </w:p>
        </w:tc>
        <w:tc>
          <w:tcPr>
            <w:tcW w:w="0" w:type="dxa"/>
            <w:vAlign w:val="bottom"/>
          </w:tcPr>
          <w:p>
            <w:pPr>
              <w:spacing w:after="0"/>
              <w:rPr>
                <w:sz w:val="1"/>
                <w:szCs w:val="1"/>
                <w:color w:val="auto"/>
              </w:rPr>
            </w:pPr>
          </w:p>
        </w:tc>
      </w:tr>
      <w:tr>
        <w:trPr>
          <w:trHeight w:val="148"/>
        </w:trPr>
        <w:tc>
          <w:tcPr>
            <w:tcW w:w="460" w:type="dxa"/>
            <w:vAlign w:val="bottom"/>
            <w:shd w:val="clear" w:color="auto" w:fill="C60C35"/>
          </w:tcPr>
          <w:p>
            <w:pPr>
              <w:spacing w:after="0"/>
              <w:rPr>
                <w:sz w:val="12"/>
                <w:szCs w:val="12"/>
                <w:color w:val="auto"/>
              </w:rPr>
            </w:pP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Total for PEO</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(“CAP”) to</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PEO 2</w:t>
            </w:r>
          </w:p>
        </w:tc>
        <w:tc>
          <w:tcPr>
            <w:tcW w:w="68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PEO 2</w:t>
            </w: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PEO 3</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PEO 3</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Named</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Named</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Total</w:t>
            </w:r>
          </w:p>
        </w:tc>
        <w:tc>
          <w:tcPr>
            <w:tcW w:w="820" w:type="dxa"/>
            <w:vAlign w:val="bottom"/>
            <w:shd w:val="clear" w:color="auto" w:fill="C60C35"/>
          </w:tcPr>
          <w:p>
            <w:pPr>
              <w:spacing w:after="0"/>
              <w:rPr>
                <w:sz w:val="12"/>
                <w:szCs w:val="12"/>
                <w:color w:val="auto"/>
              </w:rPr>
            </w:pPr>
          </w:p>
        </w:tc>
        <w:tc>
          <w:tcPr>
            <w:tcW w:w="94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Core Net</w:t>
            </w:r>
          </w:p>
        </w:tc>
        <w:tc>
          <w:tcPr>
            <w:tcW w:w="0" w:type="dxa"/>
            <w:vAlign w:val="bottom"/>
          </w:tcPr>
          <w:p>
            <w:pPr>
              <w:spacing w:after="0"/>
              <w:rPr>
                <w:sz w:val="1"/>
                <w:szCs w:val="1"/>
                <w:color w:val="auto"/>
              </w:rPr>
            </w:pPr>
          </w:p>
        </w:tc>
      </w:tr>
      <w:tr>
        <w:trPr>
          <w:trHeight w:val="148"/>
        </w:trPr>
        <w:tc>
          <w:tcPr>
            <w:tcW w:w="460" w:type="dxa"/>
            <w:vAlign w:val="bottom"/>
            <w:shd w:val="clear" w:color="auto" w:fill="C60C35"/>
          </w:tcPr>
          <w:p>
            <w:pPr>
              <w:spacing w:after="0"/>
              <w:rPr>
                <w:sz w:val="12"/>
                <w:szCs w:val="12"/>
                <w:color w:val="auto"/>
              </w:rPr>
            </w:pP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1 (Todd M.</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PEO 1 (Todd M.</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(Todd J.</w:t>
            </w:r>
          </w:p>
        </w:tc>
        <w:tc>
          <w:tcPr>
            <w:tcW w:w="68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(Todd J.</w:t>
            </w: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(Alok</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(Alok</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Executive</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Executive</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Shareholder</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Shareholder</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Net Income</w:t>
            </w:r>
          </w:p>
        </w:tc>
        <w:tc>
          <w:tcPr>
            <w:tcW w:w="94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Income</w:t>
            </w:r>
          </w:p>
        </w:tc>
        <w:tc>
          <w:tcPr>
            <w:tcW w:w="0" w:type="dxa"/>
            <w:vAlign w:val="bottom"/>
          </w:tcPr>
          <w:p>
            <w:pPr>
              <w:spacing w:after="0"/>
              <w:rPr>
                <w:sz w:val="1"/>
                <w:szCs w:val="1"/>
                <w:color w:val="auto"/>
              </w:rPr>
            </w:pPr>
          </w:p>
        </w:tc>
      </w:tr>
      <w:tr>
        <w:trPr>
          <w:trHeight w:val="152"/>
        </w:trPr>
        <w:tc>
          <w:tcPr>
            <w:tcW w:w="460" w:type="dxa"/>
            <w:vAlign w:val="bottom"/>
            <w:shd w:val="clear" w:color="auto" w:fill="C60C35"/>
          </w:tcPr>
          <w:p>
            <w:pPr>
              <w:spacing w:after="0"/>
              <w:rPr>
                <w:sz w:val="13"/>
                <w:szCs w:val="13"/>
                <w:color w:val="auto"/>
              </w:rPr>
            </w:pP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Bluedorn)</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Bluedorn)</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Teske)</w:t>
            </w:r>
          </w:p>
        </w:tc>
        <w:tc>
          <w:tcPr>
            <w:tcW w:w="68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Teske)</w:t>
            </w: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Maskara)</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Maskara)</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Officers</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Officers</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Return</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Return</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w w:val="97"/>
              </w:rPr>
              <w:t>(in $millions)</w:t>
            </w:r>
          </w:p>
        </w:tc>
        <w:tc>
          <w:tcPr>
            <w:tcW w:w="94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w w:val="99"/>
              </w:rPr>
              <w:t>(in $millions)</w:t>
            </w:r>
          </w:p>
        </w:tc>
        <w:tc>
          <w:tcPr>
            <w:tcW w:w="0" w:type="dxa"/>
            <w:vAlign w:val="bottom"/>
          </w:tcPr>
          <w:p>
            <w:pPr>
              <w:spacing w:after="0"/>
              <w:rPr>
                <w:sz w:val="1"/>
                <w:szCs w:val="1"/>
                <w:color w:val="auto"/>
              </w:rPr>
            </w:pPr>
          </w:p>
        </w:tc>
      </w:tr>
      <w:tr>
        <w:trPr>
          <w:trHeight w:val="159"/>
        </w:trPr>
        <w:tc>
          <w:tcPr>
            <w:tcW w:w="46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w w:val="90"/>
              </w:rPr>
              <w:t> Year</w:t>
            </w:r>
          </w:p>
        </w:tc>
        <w:tc>
          <w:tcPr>
            <w:tcW w:w="1240" w:type="dxa"/>
            <w:vAlign w:val="bottom"/>
            <w:shd w:val="clear" w:color="auto" w:fill="C60C35"/>
          </w:tcPr>
          <w:p>
            <w:pPr>
              <w:jc w:val="right"/>
              <w:ind w:right="63"/>
              <w:spacing w:after="0" w:line="158" w:lineRule="exact"/>
              <w:rPr>
                <w:sz w:val="20"/>
                <w:szCs w:val="20"/>
                <w:color w:val="auto"/>
              </w:rPr>
            </w:pPr>
            <w:r>
              <w:rPr>
                <w:rFonts w:ascii="Arial" w:cs="Arial" w:eastAsia="Arial" w:hAnsi="Arial"/>
                <w:sz w:val="18"/>
                <w:szCs w:val="18"/>
                <w:b w:val="1"/>
                <w:bCs w:val="1"/>
                <w:color w:val="FFFFFF"/>
                <w:vertAlign w:val="subscript"/>
              </w:rPr>
              <w:t>(b)</w:t>
            </w:r>
            <w:r>
              <w:rPr>
                <w:rFonts w:ascii="Arial" w:cs="Arial" w:eastAsia="Arial" w:hAnsi="Arial"/>
                <w:sz w:val="7"/>
                <w:szCs w:val="7"/>
                <w:b w:val="1"/>
                <w:bCs w:val="1"/>
                <w:color w:val="FFFFFF"/>
              </w:rPr>
              <w:t>(1)</w:t>
            </w:r>
          </w:p>
        </w:tc>
        <w:tc>
          <w:tcPr>
            <w:tcW w:w="1140" w:type="dxa"/>
            <w:vAlign w:val="bottom"/>
            <w:shd w:val="clear" w:color="auto" w:fill="C60C35"/>
          </w:tcPr>
          <w:p>
            <w:pPr>
              <w:jc w:val="right"/>
              <w:ind w:right="41"/>
              <w:spacing w:after="0" w:line="158" w:lineRule="exact"/>
              <w:rPr>
                <w:sz w:val="20"/>
                <w:szCs w:val="20"/>
                <w:color w:val="auto"/>
              </w:rPr>
            </w:pPr>
            <w:r>
              <w:rPr>
                <w:rFonts w:ascii="Arial" w:cs="Arial" w:eastAsia="Arial" w:hAnsi="Arial"/>
                <w:sz w:val="13"/>
                <w:szCs w:val="13"/>
                <w:b w:val="1"/>
                <w:bCs w:val="1"/>
                <w:color w:val="FFFFFF"/>
              </w:rPr>
              <w:t>(c)</w:t>
            </w:r>
            <w:r>
              <w:rPr>
                <w:rFonts w:ascii="Arial" w:cs="Arial" w:eastAsia="Arial" w:hAnsi="Arial"/>
                <w:sz w:val="16"/>
                <w:szCs w:val="16"/>
                <w:b w:val="1"/>
                <w:bCs w:val="1"/>
                <w:color w:val="FFFFFF"/>
                <w:vertAlign w:val="superscript"/>
              </w:rPr>
              <w:t>(1)</w:t>
            </w:r>
          </w:p>
        </w:tc>
        <w:tc>
          <w:tcPr>
            <w:tcW w:w="720" w:type="dxa"/>
            <w:vAlign w:val="bottom"/>
            <w:shd w:val="clear" w:color="auto" w:fill="C60C35"/>
          </w:tcPr>
          <w:p>
            <w:pPr>
              <w:jc w:val="right"/>
              <w:ind w:right="61"/>
              <w:spacing w:after="0" w:line="158" w:lineRule="exact"/>
              <w:rPr>
                <w:sz w:val="20"/>
                <w:szCs w:val="20"/>
                <w:color w:val="auto"/>
              </w:rPr>
            </w:pPr>
            <w:r>
              <w:rPr>
                <w:rFonts w:ascii="Arial" w:cs="Arial" w:eastAsia="Arial" w:hAnsi="Arial"/>
                <w:sz w:val="13"/>
                <w:szCs w:val="13"/>
                <w:b w:val="1"/>
                <w:bCs w:val="1"/>
                <w:color w:val="FFFFFF"/>
              </w:rPr>
              <w:t>(b)</w:t>
            </w:r>
            <w:r>
              <w:rPr>
                <w:rFonts w:ascii="Arial" w:cs="Arial" w:eastAsia="Arial" w:hAnsi="Arial"/>
                <w:sz w:val="16"/>
                <w:szCs w:val="16"/>
                <w:b w:val="1"/>
                <w:bCs w:val="1"/>
                <w:color w:val="FFFFFF"/>
                <w:vertAlign w:val="superscript"/>
              </w:rPr>
              <w:t>(1)</w:t>
            </w:r>
          </w:p>
        </w:tc>
        <w:tc>
          <w:tcPr>
            <w:tcW w:w="680" w:type="dxa"/>
            <w:vAlign w:val="bottom"/>
            <w:shd w:val="clear" w:color="auto" w:fill="C60C35"/>
          </w:tcPr>
          <w:p>
            <w:pPr>
              <w:jc w:val="right"/>
              <w:ind w:right="41"/>
              <w:spacing w:after="0" w:line="158" w:lineRule="exact"/>
              <w:rPr>
                <w:sz w:val="20"/>
                <w:szCs w:val="20"/>
                <w:color w:val="auto"/>
              </w:rPr>
            </w:pPr>
            <w:r>
              <w:rPr>
                <w:rFonts w:ascii="Arial" w:cs="Arial" w:eastAsia="Arial" w:hAnsi="Arial"/>
                <w:sz w:val="13"/>
                <w:szCs w:val="13"/>
                <w:b w:val="1"/>
                <w:bCs w:val="1"/>
                <w:color w:val="FFFFFF"/>
              </w:rPr>
              <w:t>(c)</w:t>
            </w:r>
            <w:r>
              <w:rPr>
                <w:rFonts w:ascii="Arial" w:cs="Arial" w:eastAsia="Arial" w:hAnsi="Arial"/>
                <w:sz w:val="16"/>
                <w:szCs w:val="16"/>
                <w:b w:val="1"/>
                <w:bCs w:val="1"/>
                <w:color w:val="FFFFFF"/>
                <w:vertAlign w:val="superscript"/>
              </w:rPr>
              <w:t>(1)</w:t>
            </w:r>
          </w:p>
        </w:tc>
        <w:tc>
          <w:tcPr>
            <w:tcW w:w="800" w:type="dxa"/>
            <w:vAlign w:val="bottom"/>
            <w:shd w:val="clear" w:color="auto" w:fill="C60C35"/>
          </w:tcPr>
          <w:p>
            <w:pPr>
              <w:jc w:val="right"/>
              <w:ind w:right="41"/>
              <w:spacing w:after="0" w:line="158" w:lineRule="exact"/>
              <w:rPr>
                <w:sz w:val="20"/>
                <w:szCs w:val="20"/>
                <w:color w:val="auto"/>
              </w:rPr>
            </w:pPr>
            <w:r>
              <w:rPr>
                <w:rFonts w:ascii="Arial" w:cs="Arial" w:eastAsia="Arial" w:hAnsi="Arial"/>
                <w:sz w:val="13"/>
                <w:szCs w:val="13"/>
                <w:b w:val="1"/>
                <w:bCs w:val="1"/>
                <w:color w:val="FFFFFF"/>
              </w:rPr>
              <w:t>(b)</w:t>
            </w:r>
            <w:r>
              <w:rPr>
                <w:rFonts w:ascii="Arial" w:cs="Arial" w:eastAsia="Arial" w:hAnsi="Arial"/>
                <w:sz w:val="16"/>
                <w:szCs w:val="16"/>
                <w:b w:val="1"/>
                <w:bCs w:val="1"/>
                <w:color w:val="FFFFFF"/>
                <w:vertAlign w:val="superscript"/>
              </w:rPr>
              <w:t>(1)</w:t>
            </w:r>
          </w:p>
        </w:tc>
        <w:tc>
          <w:tcPr>
            <w:tcW w:w="700" w:type="dxa"/>
            <w:vAlign w:val="bottom"/>
            <w:shd w:val="clear" w:color="auto" w:fill="C60C35"/>
          </w:tcPr>
          <w:p>
            <w:pPr>
              <w:jc w:val="right"/>
              <w:spacing w:after="0" w:line="158" w:lineRule="exact"/>
              <w:rPr>
                <w:sz w:val="20"/>
                <w:szCs w:val="20"/>
                <w:color w:val="auto"/>
              </w:rPr>
            </w:pPr>
            <w:r>
              <w:rPr>
                <w:rFonts w:ascii="Arial" w:cs="Arial" w:eastAsia="Arial" w:hAnsi="Arial"/>
                <w:sz w:val="18"/>
                <w:szCs w:val="18"/>
                <w:b w:val="1"/>
                <w:bCs w:val="1"/>
                <w:color w:val="FFFFFF"/>
                <w:vertAlign w:val="subscript"/>
              </w:rPr>
              <w:t>(c)</w:t>
            </w:r>
            <w:r>
              <w:rPr>
                <w:rFonts w:ascii="Arial" w:cs="Arial" w:eastAsia="Arial" w:hAnsi="Arial"/>
                <w:sz w:val="7"/>
                <w:szCs w:val="7"/>
                <w:b w:val="1"/>
                <w:bCs w:val="1"/>
                <w:color w:val="FFFFFF"/>
              </w:rPr>
              <w:t>(1)(2)</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(d)</w:t>
            </w:r>
          </w:p>
        </w:tc>
        <w:tc>
          <w:tcPr>
            <w:tcW w:w="740" w:type="dxa"/>
            <w:vAlign w:val="bottom"/>
            <w:shd w:val="clear" w:color="auto" w:fill="C60C35"/>
          </w:tcPr>
          <w:p>
            <w:pPr>
              <w:jc w:val="right"/>
              <w:spacing w:after="0" w:line="158" w:lineRule="exact"/>
              <w:rPr>
                <w:sz w:val="20"/>
                <w:szCs w:val="20"/>
                <w:color w:val="auto"/>
              </w:rPr>
            </w:pPr>
            <w:r>
              <w:rPr>
                <w:rFonts w:ascii="Arial" w:cs="Arial" w:eastAsia="Arial" w:hAnsi="Arial"/>
                <w:sz w:val="18"/>
                <w:szCs w:val="18"/>
                <w:b w:val="1"/>
                <w:bCs w:val="1"/>
                <w:color w:val="FFFFFF"/>
                <w:vertAlign w:val="subscript"/>
              </w:rPr>
              <w:t>(e)</w:t>
            </w:r>
            <w:r>
              <w:rPr>
                <w:rFonts w:ascii="Arial" w:cs="Arial" w:eastAsia="Arial" w:hAnsi="Arial"/>
                <w:sz w:val="7"/>
                <w:szCs w:val="7"/>
                <w:b w:val="1"/>
                <w:bCs w:val="1"/>
                <w:color w:val="FFFFFF"/>
              </w:rPr>
              <w:t>(1)(2)</w:t>
            </w:r>
          </w:p>
        </w:tc>
        <w:tc>
          <w:tcPr>
            <w:tcW w:w="102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(f)</w:t>
            </w:r>
            <w:r>
              <w:rPr>
                <w:rFonts w:ascii="Arial" w:cs="Arial" w:eastAsia="Arial" w:hAnsi="Arial"/>
                <w:sz w:val="16"/>
                <w:szCs w:val="16"/>
                <w:b w:val="1"/>
                <w:bCs w:val="1"/>
                <w:color w:val="FFFFFF"/>
                <w:vertAlign w:val="superscript"/>
              </w:rPr>
              <w:t>(3)</w:t>
            </w:r>
          </w:p>
        </w:tc>
        <w:tc>
          <w:tcPr>
            <w:tcW w:w="104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(g)</w:t>
            </w:r>
            <w:r>
              <w:rPr>
                <w:rFonts w:ascii="Arial" w:cs="Arial" w:eastAsia="Arial" w:hAnsi="Arial"/>
                <w:sz w:val="16"/>
                <w:szCs w:val="16"/>
                <w:b w:val="1"/>
                <w:bCs w:val="1"/>
                <w:color w:val="FFFFFF"/>
                <w:vertAlign w:val="superscript"/>
              </w:rPr>
              <w:t>(3)</w:t>
            </w:r>
          </w:p>
        </w:tc>
        <w:tc>
          <w:tcPr>
            <w:tcW w:w="820" w:type="dxa"/>
            <w:vAlign w:val="bottom"/>
            <w:shd w:val="clear" w:color="auto" w:fill="C60C35"/>
          </w:tcPr>
          <w:p>
            <w:pPr>
              <w:jc w:val="right"/>
              <w:spacing w:after="0" w:line="158" w:lineRule="exact"/>
              <w:rPr>
                <w:sz w:val="20"/>
                <w:szCs w:val="20"/>
                <w:color w:val="auto"/>
              </w:rPr>
            </w:pPr>
            <w:r>
              <w:rPr>
                <w:rFonts w:ascii="Arial" w:cs="Arial" w:eastAsia="Arial" w:hAnsi="Arial"/>
                <w:sz w:val="13"/>
                <w:szCs w:val="13"/>
                <w:b w:val="1"/>
                <w:bCs w:val="1"/>
                <w:color w:val="FFFFFF"/>
              </w:rPr>
              <w:t>(h)</w:t>
            </w:r>
            <w:r>
              <w:rPr>
                <w:rFonts w:ascii="Arial" w:cs="Arial" w:eastAsia="Arial" w:hAnsi="Arial"/>
                <w:sz w:val="16"/>
                <w:szCs w:val="16"/>
                <w:b w:val="1"/>
                <w:bCs w:val="1"/>
                <w:color w:val="FFFFFF"/>
                <w:vertAlign w:val="superscript"/>
              </w:rPr>
              <w:t>(4)</w:t>
            </w:r>
          </w:p>
        </w:tc>
        <w:tc>
          <w:tcPr>
            <w:tcW w:w="940" w:type="dxa"/>
            <w:vAlign w:val="bottom"/>
            <w:shd w:val="clear" w:color="auto" w:fill="C60C35"/>
          </w:tcPr>
          <w:p>
            <w:pPr>
              <w:jc w:val="right"/>
              <w:ind w:right="61"/>
              <w:spacing w:after="0" w:line="158" w:lineRule="exact"/>
              <w:rPr>
                <w:sz w:val="20"/>
                <w:szCs w:val="20"/>
                <w:color w:val="auto"/>
              </w:rPr>
            </w:pPr>
            <w:r>
              <w:rPr>
                <w:rFonts w:ascii="Arial" w:cs="Arial" w:eastAsia="Arial" w:hAnsi="Arial"/>
                <w:sz w:val="13"/>
                <w:szCs w:val="13"/>
                <w:b w:val="1"/>
                <w:bCs w:val="1"/>
                <w:color w:val="FFFFFF"/>
              </w:rPr>
              <w:t>(i)</w:t>
            </w:r>
            <w:r>
              <w:rPr>
                <w:rFonts w:ascii="Arial" w:cs="Arial" w:eastAsia="Arial" w:hAnsi="Arial"/>
                <w:sz w:val="16"/>
                <w:szCs w:val="16"/>
                <w:b w:val="1"/>
                <w:bCs w:val="1"/>
                <w:color w:val="FFFFFF"/>
                <w:vertAlign w:val="superscript"/>
              </w:rPr>
              <w:t>(5)</w:t>
            </w:r>
          </w:p>
        </w:tc>
        <w:tc>
          <w:tcPr>
            <w:tcW w:w="0" w:type="dxa"/>
            <w:vAlign w:val="bottom"/>
          </w:tcPr>
          <w:p>
            <w:pPr>
              <w:spacing w:after="0"/>
              <w:rPr>
                <w:sz w:val="1"/>
                <w:szCs w:val="1"/>
                <w:color w:val="auto"/>
              </w:rPr>
            </w:pPr>
          </w:p>
        </w:tc>
      </w:tr>
      <w:tr>
        <w:trPr>
          <w:trHeight w:val="185"/>
        </w:trPr>
        <w:tc>
          <w:tcPr>
            <w:tcW w:w="460" w:type="dxa"/>
            <w:vAlign w:val="bottom"/>
            <w:shd w:val="clear" w:color="auto" w:fill="C60C35"/>
          </w:tcPr>
          <w:p>
            <w:pPr>
              <w:jc w:val="center"/>
              <w:spacing w:after="0"/>
              <w:rPr>
                <w:sz w:val="20"/>
                <w:szCs w:val="20"/>
                <w:color w:val="auto"/>
              </w:rPr>
            </w:pPr>
            <w:r>
              <w:rPr>
                <w:rFonts w:ascii="Arial" w:cs="Arial" w:eastAsia="Arial" w:hAnsi="Arial"/>
                <w:sz w:val="13"/>
                <w:szCs w:val="13"/>
                <w:b w:val="1"/>
                <w:bCs w:val="1"/>
                <w:color w:val="FFFFFF"/>
              </w:rPr>
              <w:t>(a)</w:t>
            </w:r>
          </w:p>
        </w:tc>
        <w:tc>
          <w:tcPr>
            <w:tcW w:w="1240" w:type="dxa"/>
            <w:vAlign w:val="bottom"/>
            <w:shd w:val="clear" w:color="auto" w:fill="C60C35"/>
          </w:tcPr>
          <w:p>
            <w:pPr>
              <w:jc w:val="right"/>
              <w:ind w:right="63"/>
              <w:spacing w:after="0"/>
              <w:rPr>
                <w:sz w:val="20"/>
                <w:szCs w:val="20"/>
                <w:color w:val="auto"/>
              </w:rPr>
            </w:pPr>
            <w:r>
              <w:rPr>
                <w:rFonts w:ascii="Arial" w:cs="Arial" w:eastAsia="Arial" w:hAnsi="Arial"/>
                <w:sz w:val="13"/>
                <w:szCs w:val="13"/>
                <w:b w:val="1"/>
                <w:bCs w:val="1"/>
                <w:color w:val="FFFFFF"/>
              </w:rPr>
              <w:t>($)</w:t>
            </w:r>
          </w:p>
        </w:tc>
        <w:tc>
          <w:tcPr>
            <w:tcW w:w="114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w:t>
            </w:r>
          </w:p>
        </w:tc>
        <w:tc>
          <w:tcPr>
            <w:tcW w:w="72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w:t>
            </w:r>
          </w:p>
        </w:tc>
        <w:tc>
          <w:tcPr>
            <w:tcW w:w="68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C60C35"/>
          </w:tcPr>
          <w:p>
            <w:pPr>
              <w:jc w:val="right"/>
              <w:ind w:right="41"/>
              <w:spacing w:after="0"/>
              <w:rPr>
                <w:sz w:val="20"/>
                <w:szCs w:val="20"/>
                <w:color w:val="auto"/>
              </w:rPr>
            </w:pPr>
            <w:r>
              <w:rPr>
                <w:rFonts w:ascii="Arial" w:cs="Arial" w:eastAsia="Arial" w:hAnsi="Arial"/>
                <w:sz w:val="13"/>
                <w:szCs w:val="13"/>
                <w:b w:val="1"/>
                <w:bCs w:val="1"/>
                <w:color w:val="FFFFFF"/>
              </w:rPr>
              <w:t>($)</w:t>
            </w:r>
          </w:p>
        </w:tc>
        <w:tc>
          <w:tcPr>
            <w:tcW w:w="70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C60C35"/>
          </w:tcPr>
          <w:p>
            <w:pPr>
              <w:jc w:val="right"/>
              <w:ind w:right="60"/>
              <w:spacing w:after="0"/>
              <w:rPr>
                <w:sz w:val="20"/>
                <w:szCs w:val="20"/>
                <w:color w:val="auto"/>
              </w:rPr>
            </w:pPr>
            <w:r>
              <w:rPr>
                <w:rFonts w:ascii="Arial" w:cs="Arial" w:eastAsia="Arial" w:hAnsi="Arial"/>
                <w:sz w:val="13"/>
                <w:szCs w:val="13"/>
                <w:b w:val="1"/>
                <w:bCs w:val="1"/>
                <w:color w:val="FFFFFF"/>
              </w:rPr>
              <w:t>($)</w:t>
            </w:r>
          </w:p>
        </w:tc>
        <w:tc>
          <w:tcPr>
            <w:tcW w:w="7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0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104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820" w:type="dxa"/>
            <w:vAlign w:val="bottom"/>
            <w:shd w:val="clear" w:color="auto" w:fill="C60C35"/>
          </w:tcPr>
          <w:p>
            <w:pPr>
              <w:jc w:val="right"/>
              <w:spacing w:after="0"/>
              <w:rPr>
                <w:sz w:val="20"/>
                <w:szCs w:val="20"/>
                <w:color w:val="auto"/>
              </w:rPr>
            </w:pPr>
            <w:r>
              <w:rPr>
                <w:rFonts w:ascii="Arial" w:cs="Arial" w:eastAsia="Arial" w:hAnsi="Arial"/>
                <w:sz w:val="13"/>
                <w:szCs w:val="13"/>
                <w:b w:val="1"/>
                <w:bCs w:val="1"/>
                <w:color w:val="FFFFFF"/>
              </w:rPr>
              <w:t>($)</w:t>
            </w:r>
          </w:p>
        </w:tc>
        <w:tc>
          <w:tcPr>
            <w:tcW w:w="940" w:type="dxa"/>
            <w:vAlign w:val="bottom"/>
            <w:shd w:val="clear" w:color="auto" w:fill="C60C35"/>
          </w:tcPr>
          <w:p>
            <w:pPr>
              <w:jc w:val="right"/>
              <w:ind w:right="61"/>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62"/>
        </w:trPr>
        <w:tc>
          <w:tcPr>
            <w:tcW w:w="460" w:type="dxa"/>
            <w:vAlign w:val="bottom"/>
            <w:shd w:val="clear" w:color="auto" w:fill="C60C35"/>
          </w:tcPr>
          <w:p>
            <w:pPr>
              <w:spacing w:after="0"/>
              <w:rPr>
                <w:sz w:val="5"/>
                <w:szCs w:val="5"/>
                <w:color w:val="auto"/>
              </w:rPr>
            </w:pPr>
          </w:p>
        </w:tc>
        <w:tc>
          <w:tcPr>
            <w:tcW w:w="1240" w:type="dxa"/>
            <w:vAlign w:val="bottom"/>
            <w:shd w:val="clear" w:color="auto" w:fill="C60C35"/>
          </w:tcPr>
          <w:p>
            <w:pPr>
              <w:spacing w:after="0"/>
              <w:rPr>
                <w:sz w:val="5"/>
                <w:szCs w:val="5"/>
                <w:color w:val="auto"/>
              </w:rPr>
            </w:pPr>
          </w:p>
        </w:tc>
        <w:tc>
          <w:tcPr>
            <w:tcW w:w="1140" w:type="dxa"/>
            <w:vAlign w:val="bottom"/>
            <w:shd w:val="clear" w:color="auto" w:fill="C60C35"/>
          </w:tcPr>
          <w:p>
            <w:pPr>
              <w:spacing w:after="0"/>
              <w:rPr>
                <w:sz w:val="5"/>
                <w:szCs w:val="5"/>
                <w:color w:val="auto"/>
              </w:rPr>
            </w:pPr>
          </w:p>
        </w:tc>
        <w:tc>
          <w:tcPr>
            <w:tcW w:w="720" w:type="dxa"/>
            <w:vAlign w:val="bottom"/>
            <w:shd w:val="clear" w:color="auto" w:fill="C60C35"/>
          </w:tcPr>
          <w:p>
            <w:pPr>
              <w:spacing w:after="0"/>
              <w:rPr>
                <w:sz w:val="5"/>
                <w:szCs w:val="5"/>
                <w:color w:val="auto"/>
              </w:rPr>
            </w:pPr>
          </w:p>
        </w:tc>
        <w:tc>
          <w:tcPr>
            <w:tcW w:w="680" w:type="dxa"/>
            <w:vAlign w:val="bottom"/>
            <w:shd w:val="clear" w:color="auto" w:fill="C60C35"/>
          </w:tcPr>
          <w:p>
            <w:pPr>
              <w:spacing w:after="0"/>
              <w:rPr>
                <w:sz w:val="5"/>
                <w:szCs w:val="5"/>
                <w:color w:val="auto"/>
              </w:rPr>
            </w:pPr>
          </w:p>
        </w:tc>
        <w:tc>
          <w:tcPr>
            <w:tcW w:w="800" w:type="dxa"/>
            <w:vAlign w:val="bottom"/>
            <w:shd w:val="clear" w:color="auto" w:fill="C60C35"/>
          </w:tcPr>
          <w:p>
            <w:pPr>
              <w:spacing w:after="0"/>
              <w:rPr>
                <w:sz w:val="5"/>
                <w:szCs w:val="5"/>
                <w:color w:val="auto"/>
              </w:rPr>
            </w:pPr>
          </w:p>
        </w:tc>
        <w:tc>
          <w:tcPr>
            <w:tcW w:w="700" w:type="dxa"/>
            <w:vAlign w:val="bottom"/>
            <w:shd w:val="clear" w:color="auto" w:fill="C60C35"/>
          </w:tcPr>
          <w:p>
            <w:pPr>
              <w:spacing w:after="0"/>
              <w:rPr>
                <w:sz w:val="5"/>
                <w:szCs w:val="5"/>
                <w:color w:val="auto"/>
              </w:rPr>
            </w:pPr>
          </w:p>
        </w:tc>
        <w:tc>
          <w:tcPr>
            <w:tcW w:w="940" w:type="dxa"/>
            <w:vAlign w:val="bottom"/>
            <w:shd w:val="clear" w:color="auto" w:fill="C60C35"/>
          </w:tcPr>
          <w:p>
            <w:pPr>
              <w:spacing w:after="0"/>
              <w:rPr>
                <w:sz w:val="5"/>
                <w:szCs w:val="5"/>
                <w:color w:val="auto"/>
              </w:rPr>
            </w:pPr>
          </w:p>
        </w:tc>
        <w:tc>
          <w:tcPr>
            <w:tcW w:w="740" w:type="dxa"/>
            <w:vAlign w:val="bottom"/>
            <w:shd w:val="clear" w:color="auto" w:fill="C60C35"/>
          </w:tcPr>
          <w:p>
            <w:pPr>
              <w:spacing w:after="0"/>
              <w:rPr>
                <w:sz w:val="5"/>
                <w:szCs w:val="5"/>
                <w:color w:val="auto"/>
              </w:rPr>
            </w:pPr>
          </w:p>
        </w:tc>
        <w:tc>
          <w:tcPr>
            <w:tcW w:w="1020" w:type="dxa"/>
            <w:vAlign w:val="bottom"/>
            <w:shd w:val="clear" w:color="auto" w:fill="C60C35"/>
          </w:tcPr>
          <w:p>
            <w:pPr>
              <w:spacing w:after="0"/>
              <w:rPr>
                <w:sz w:val="5"/>
                <w:szCs w:val="5"/>
                <w:color w:val="auto"/>
              </w:rPr>
            </w:pPr>
          </w:p>
        </w:tc>
        <w:tc>
          <w:tcPr>
            <w:tcW w:w="1040" w:type="dxa"/>
            <w:vAlign w:val="bottom"/>
            <w:shd w:val="clear" w:color="auto" w:fill="C60C35"/>
          </w:tcPr>
          <w:p>
            <w:pPr>
              <w:spacing w:after="0"/>
              <w:rPr>
                <w:sz w:val="5"/>
                <w:szCs w:val="5"/>
                <w:color w:val="auto"/>
              </w:rPr>
            </w:pPr>
          </w:p>
        </w:tc>
        <w:tc>
          <w:tcPr>
            <w:tcW w:w="820" w:type="dxa"/>
            <w:vAlign w:val="bottom"/>
            <w:shd w:val="clear" w:color="auto" w:fill="C60C35"/>
          </w:tcPr>
          <w:p>
            <w:pPr>
              <w:spacing w:after="0"/>
              <w:rPr>
                <w:sz w:val="5"/>
                <w:szCs w:val="5"/>
                <w:color w:val="auto"/>
              </w:rPr>
            </w:pPr>
          </w:p>
        </w:tc>
        <w:tc>
          <w:tcPr>
            <w:tcW w:w="940" w:type="dxa"/>
            <w:vAlign w:val="bottom"/>
            <w:shd w:val="clear" w:color="auto" w:fill="C60C35"/>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1"/>
                <w:szCs w:val="11"/>
                <w:color w:val="auto"/>
                <w:w w:val="97"/>
              </w:rPr>
              <w:t>2025</w:t>
            </w:r>
          </w:p>
        </w:tc>
        <w:tc>
          <w:tcPr>
            <w:tcW w:w="1240" w:type="dxa"/>
            <w:vAlign w:val="bottom"/>
            <w:tcBorders>
              <w:bottom w:val="single" w:sz="8" w:color="F1F2F2"/>
            </w:tcBorders>
            <w:shd w:val="clear" w:color="auto" w:fill="F1F2F2"/>
          </w:tcPr>
          <w:p>
            <w:pPr>
              <w:jc w:val="right"/>
              <w:ind w:right="103"/>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8,434,155</w:t>
            </w:r>
          </w:p>
        </w:tc>
        <w:tc>
          <w:tcPr>
            <w:tcW w:w="700" w:type="dxa"/>
            <w:vAlign w:val="bottom"/>
            <w:tcBorders>
              <w:bottom w:val="single" w:sz="8" w:color="F1F2F2"/>
            </w:tcBorders>
            <w:shd w:val="clear" w:color="auto" w:fill="F1F2F2"/>
          </w:tcPr>
          <w:p>
            <w:pPr>
              <w:jc w:val="right"/>
              <w:ind w:right="4"/>
              <w:spacing w:after="0"/>
              <w:rPr>
                <w:sz w:val="20"/>
                <w:szCs w:val="20"/>
                <w:color w:val="auto"/>
              </w:rPr>
            </w:pPr>
            <w:r>
              <w:rPr>
                <w:rFonts w:ascii="Arial" w:cs="Arial" w:eastAsia="Arial" w:hAnsi="Arial"/>
                <w:sz w:val="11"/>
                <w:szCs w:val="11"/>
                <w:color w:val="auto"/>
              </w:rPr>
              <w:t>1,717,504</w:t>
            </w:r>
          </w:p>
        </w:tc>
        <w:tc>
          <w:tcPr>
            <w:tcW w:w="940" w:type="dxa"/>
            <w:vAlign w:val="bottom"/>
            <w:tcBorders>
              <w:bottom w:val="single" w:sz="8" w:color="F1F2F2"/>
            </w:tcBorders>
            <w:shd w:val="clear" w:color="auto" w:fill="F1F2F2"/>
          </w:tcPr>
          <w:p>
            <w:pPr>
              <w:jc w:val="right"/>
              <w:ind w:right="100"/>
              <w:spacing w:after="0"/>
              <w:rPr>
                <w:sz w:val="20"/>
                <w:szCs w:val="20"/>
                <w:color w:val="auto"/>
              </w:rPr>
            </w:pPr>
            <w:r>
              <w:rPr>
                <w:rFonts w:ascii="Arial" w:cs="Arial" w:eastAsia="Arial" w:hAnsi="Arial"/>
                <w:sz w:val="11"/>
                <w:szCs w:val="11"/>
                <w:color w:val="auto"/>
              </w:rPr>
              <w:t>2,653,024</w:t>
            </w:r>
          </w:p>
        </w:tc>
        <w:tc>
          <w:tcPr>
            <w:tcW w:w="740" w:type="dxa"/>
            <w:vAlign w:val="bottom"/>
            <w:tcBorders>
              <w:bottom w:val="single" w:sz="8" w:color="F1F2F2"/>
            </w:tcBorders>
            <w:shd w:val="clear" w:color="auto" w:fill="F1F2F2"/>
          </w:tcPr>
          <w:p>
            <w:pPr>
              <w:jc w:val="right"/>
              <w:ind w:right="3"/>
              <w:spacing w:after="0"/>
              <w:rPr>
                <w:sz w:val="20"/>
                <w:szCs w:val="20"/>
                <w:color w:val="auto"/>
              </w:rPr>
            </w:pPr>
            <w:r>
              <w:rPr>
                <w:rFonts w:ascii="Arial" w:cs="Arial" w:eastAsia="Arial" w:hAnsi="Arial"/>
                <w:sz w:val="11"/>
                <w:szCs w:val="11"/>
                <w:color w:val="auto"/>
              </w:rPr>
              <w:t>1,359,278</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188.04</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175.89</w:t>
            </w:r>
          </w:p>
        </w:tc>
        <w:tc>
          <w:tcPr>
            <w:tcW w:w="8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805.8</w:t>
            </w:r>
          </w:p>
        </w:tc>
        <w:tc>
          <w:tcPr>
            <w:tcW w:w="94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1"/>
                <w:szCs w:val="11"/>
                <w:color w:val="auto"/>
              </w:rPr>
              <w:t>818.9</w:t>
            </w:r>
          </w:p>
        </w:tc>
        <w:tc>
          <w:tcPr>
            <w:tcW w:w="0" w:type="dxa"/>
            <w:vAlign w:val="bottom"/>
          </w:tcPr>
          <w:p>
            <w:pPr>
              <w:spacing w:after="0"/>
              <w:rPr>
                <w:sz w:val="1"/>
                <w:szCs w:val="1"/>
                <w:color w:val="auto"/>
              </w:rPr>
            </w:pPr>
          </w:p>
        </w:tc>
      </w:tr>
      <w:tr>
        <w:trPr>
          <w:trHeight w:val="156"/>
        </w:trPr>
        <w:tc>
          <w:tcPr>
            <w:tcW w:w="460" w:type="dxa"/>
            <w:vAlign w:val="bottom"/>
          </w:tcPr>
          <w:p>
            <w:pPr>
              <w:jc w:val="center"/>
              <w:spacing w:after="0"/>
              <w:rPr>
                <w:sz w:val="20"/>
                <w:szCs w:val="20"/>
                <w:color w:val="auto"/>
              </w:rPr>
            </w:pPr>
            <w:r>
              <w:rPr>
                <w:rFonts w:ascii="Arial" w:cs="Arial" w:eastAsia="Arial" w:hAnsi="Arial"/>
                <w:sz w:val="11"/>
                <w:szCs w:val="11"/>
                <w:color w:val="auto"/>
                <w:w w:val="97"/>
              </w:rPr>
              <w:t>2024</w:t>
            </w:r>
          </w:p>
        </w:tc>
        <w:tc>
          <w:tcPr>
            <w:tcW w:w="124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140" w:type="dxa"/>
            <w:vAlign w:val="bottom"/>
          </w:tcPr>
          <w:p>
            <w:pPr>
              <w:jc w:val="right"/>
              <w:ind w:right="81"/>
              <w:spacing w:after="0"/>
              <w:rPr>
                <w:sz w:val="20"/>
                <w:szCs w:val="20"/>
                <w:color w:val="auto"/>
              </w:rPr>
            </w:pPr>
            <w:r>
              <w:rPr>
                <w:rFonts w:ascii="Arial" w:cs="Arial" w:eastAsia="Arial" w:hAnsi="Arial"/>
                <w:sz w:val="11"/>
                <w:szCs w:val="11"/>
                <w:color w:val="auto"/>
              </w:rPr>
              <w:t>—</w:t>
            </w:r>
          </w:p>
        </w:tc>
        <w:tc>
          <w:tcPr>
            <w:tcW w:w="720" w:type="dxa"/>
            <w:vAlign w:val="bottom"/>
          </w:tcPr>
          <w:p>
            <w:pPr>
              <w:jc w:val="right"/>
              <w:ind w:right="101"/>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1"/>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81"/>
              <w:spacing w:after="0"/>
              <w:rPr>
                <w:sz w:val="20"/>
                <w:szCs w:val="20"/>
                <w:color w:val="auto"/>
              </w:rPr>
            </w:pPr>
            <w:r>
              <w:rPr>
                <w:rFonts w:ascii="Arial" w:cs="Arial" w:eastAsia="Arial" w:hAnsi="Arial"/>
                <w:sz w:val="11"/>
                <w:szCs w:val="11"/>
                <w:color w:val="auto"/>
              </w:rPr>
              <w:t>9,907,911</w:t>
            </w: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26,216,189</w:t>
            </w:r>
          </w:p>
        </w:tc>
        <w:tc>
          <w:tcPr>
            <w:tcW w:w="940" w:type="dxa"/>
            <w:vAlign w:val="bottom"/>
          </w:tcPr>
          <w:p>
            <w:pPr>
              <w:jc w:val="right"/>
              <w:ind w:right="100"/>
              <w:spacing w:after="0"/>
              <w:rPr>
                <w:sz w:val="20"/>
                <w:szCs w:val="20"/>
                <w:color w:val="auto"/>
              </w:rPr>
            </w:pPr>
            <w:r>
              <w:rPr>
                <w:rFonts w:ascii="Arial" w:cs="Arial" w:eastAsia="Arial" w:hAnsi="Arial"/>
                <w:sz w:val="11"/>
                <w:szCs w:val="11"/>
                <w:color w:val="auto"/>
              </w:rPr>
              <w:t>3,164,046</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5,947,816</w:t>
            </w:r>
          </w:p>
        </w:tc>
        <w:tc>
          <w:tcPr>
            <w:tcW w:w="1020" w:type="dxa"/>
            <w:vAlign w:val="bottom"/>
          </w:tcPr>
          <w:p>
            <w:pPr>
              <w:jc w:val="right"/>
              <w:spacing w:after="0"/>
              <w:rPr>
                <w:sz w:val="20"/>
                <w:szCs w:val="20"/>
                <w:color w:val="auto"/>
              </w:rPr>
            </w:pPr>
            <w:r>
              <w:rPr>
                <w:rFonts w:ascii="Arial" w:cs="Arial" w:eastAsia="Arial" w:hAnsi="Arial"/>
                <w:sz w:val="11"/>
                <w:szCs w:val="11"/>
                <w:color w:val="auto"/>
              </w:rPr>
              <w:t>233.73</w:t>
            </w:r>
          </w:p>
        </w:tc>
        <w:tc>
          <w:tcPr>
            <w:tcW w:w="1040" w:type="dxa"/>
            <w:vAlign w:val="bottom"/>
          </w:tcPr>
          <w:p>
            <w:pPr>
              <w:jc w:val="right"/>
              <w:spacing w:after="0"/>
              <w:rPr>
                <w:sz w:val="20"/>
                <w:szCs w:val="20"/>
                <w:color w:val="auto"/>
              </w:rPr>
            </w:pPr>
            <w:r>
              <w:rPr>
                <w:rFonts w:ascii="Arial" w:cs="Arial" w:eastAsia="Arial" w:hAnsi="Arial"/>
                <w:sz w:val="11"/>
                <w:szCs w:val="11"/>
                <w:color w:val="auto"/>
              </w:rPr>
              <w:t>160.55</w:t>
            </w:r>
          </w:p>
        </w:tc>
        <w:tc>
          <w:tcPr>
            <w:tcW w:w="820" w:type="dxa"/>
            <w:vAlign w:val="bottom"/>
          </w:tcPr>
          <w:p>
            <w:pPr>
              <w:jc w:val="right"/>
              <w:spacing w:after="0"/>
              <w:rPr>
                <w:sz w:val="20"/>
                <w:szCs w:val="20"/>
                <w:color w:val="auto"/>
              </w:rPr>
            </w:pPr>
            <w:r>
              <w:rPr>
                <w:rFonts w:ascii="Arial" w:cs="Arial" w:eastAsia="Arial" w:hAnsi="Arial"/>
                <w:sz w:val="11"/>
                <w:szCs w:val="11"/>
                <w:color w:val="auto"/>
              </w:rPr>
              <w:t>811.1</w:t>
            </w:r>
          </w:p>
        </w:tc>
        <w:tc>
          <w:tcPr>
            <w:tcW w:w="940" w:type="dxa"/>
            <w:vAlign w:val="bottom"/>
          </w:tcPr>
          <w:p>
            <w:pPr>
              <w:jc w:val="right"/>
              <w:ind w:right="61"/>
              <w:spacing w:after="0"/>
              <w:rPr>
                <w:sz w:val="20"/>
                <w:szCs w:val="20"/>
                <w:color w:val="auto"/>
              </w:rPr>
            </w:pPr>
            <w:r>
              <w:rPr>
                <w:rFonts w:ascii="Arial" w:cs="Arial" w:eastAsia="Arial" w:hAnsi="Arial"/>
                <w:sz w:val="11"/>
                <w:szCs w:val="11"/>
                <w:color w:val="auto"/>
              </w:rPr>
              <w:t>808.4</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Borders>
              <w:bottom w:val="single" w:sz="8" w:color="F1F2F2"/>
            </w:tcBorders>
            <w:shd w:val="clear" w:color="auto" w:fill="F1F2F2"/>
          </w:tcPr>
          <w:p>
            <w:pPr>
              <w:jc w:val="center"/>
              <w:spacing w:after="0"/>
              <w:rPr>
                <w:sz w:val="20"/>
                <w:szCs w:val="20"/>
                <w:color w:val="auto"/>
              </w:rPr>
            </w:pPr>
            <w:r>
              <w:rPr>
                <w:rFonts w:ascii="Arial" w:cs="Arial" w:eastAsia="Arial" w:hAnsi="Arial"/>
                <w:sz w:val="11"/>
                <w:szCs w:val="11"/>
                <w:color w:val="auto"/>
                <w:w w:val="97"/>
              </w:rPr>
              <w:t>2023</w:t>
            </w:r>
          </w:p>
        </w:tc>
        <w:tc>
          <w:tcPr>
            <w:tcW w:w="1240" w:type="dxa"/>
            <w:vAlign w:val="bottom"/>
            <w:tcBorders>
              <w:bottom w:val="single" w:sz="8" w:color="F1F2F2"/>
            </w:tcBorders>
            <w:shd w:val="clear" w:color="auto" w:fill="F1F2F2"/>
          </w:tcPr>
          <w:p>
            <w:pPr>
              <w:jc w:val="right"/>
              <w:ind w:right="103"/>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F1F2F2"/>
            </w:tcBorders>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F1F2F2"/>
            </w:tcBorders>
            <w:shd w:val="clear" w:color="auto" w:fill="F1F2F2"/>
          </w:tcPr>
          <w:p>
            <w:pPr>
              <w:jc w:val="right"/>
              <w:ind w:right="81"/>
              <w:spacing w:after="0"/>
              <w:rPr>
                <w:sz w:val="20"/>
                <w:szCs w:val="20"/>
                <w:color w:val="auto"/>
              </w:rPr>
            </w:pPr>
            <w:r>
              <w:rPr>
                <w:rFonts w:ascii="Arial" w:cs="Arial" w:eastAsia="Arial" w:hAnsi="Arial"/>
                <w:sz w:val="11"/>
                <w:szCs w:val="11"/>
                <w:color w:val="auto"/>
              </w:rPr>
              <w:t>4,983,663</w:t>
            </w:r>
          </w:p>
        </w:tc>
        <w:tc>
          <w:tcPr>
            <w:tcW w:w="700" w:type="dxa"/>
            <w:vAlign w:val="bottom"/>
            <w:tcBorders>
              <w:bottom w:val="single" w:sz="8" w:color="F1F2F2"/>
            </w:tcBorders>
            <w:shd w:val="clear" w:color="auto" w:fill="F1F2F2"/>
          </w:tcPr>
          <w:p>
            <w:pPr>
              <w:jc w:val="right"/>
              <w:ind w:right="4"/>
              <w:spacing w:after="0"/>
              <w:rPr>
                <w:sz w:val="20"/>
                <w:szCs w:val="20"/>
                <w:color w:val="auto"/>
              </w:rPr>
            </w:pPr>
            <w:r>
              <w:rPr>
                <w:rFonts w:ascii="Arial" w:cs="Arial" w:eastAsia="Arial" w:hAnsi="Arial"/>
                <w:sz w:val="11"/>
                <w:szCs w:val="11"/>
                <w:color w:val="auto"/>
              </w:rPr>
              <w:t>17,440,536</w:t>
            </w:r>
          </w:p>
        </w:tc>
        <w:tc>
          <w:tcPr>
            <w:tcW w:w="940" w:type="dxa"/>
            <w:vAlign w:val="bottom"/>
            <w:tcBorders>
              <w:bottom w:val="single" w:sz="8" w:color="F1F2F2"/>
            </w:tcBorders>
            <w:shd w:val="clear" w:color="auto" w:fill="F1F2F2"/>
          </w:tcPr>
          <w:p>
            <w:pPr>
              <w:jc w:val="right"/>
              <w:ind w:right="100"/>
              <w:spacing w:after="0"/>
              <w:rPr>
                <w:sz w:val="20"/>
                <w:szCs w:val="20"/>
                <w:color w:val="auto"/>
              </w:rPr>
            </w:pPr>
            <w:r>
              <w:rPr>
                <w:rFonts w:ascii="Arial" w:cs="Arial" w:eastAsia="Arial" w:hAnsi="Arial"/>
                <w:sz w:val="11"/>
                <w:szCs w:val="11"/>
                <w:color w:val="auto"/>
              </w:rPr>
              <w:t>2,113,404</w:t>
            </w:r>
          </w:p>
        </w:tc>
        <w:tc>
          <w:tcPr>
            <w:tcW w:w="740" w:type="dxa"/>
            <w:vAlign w:val="bottom"/>
            <w:tcBorders>
              <w:bottom w:val="single" w:sz="8" w:color="F1F2F2"/>
            </w:tcBorders>
            <w:shd w:val="clear" w:color="auto" w:fill="F1F2F2"/>
          </w:tcPr>
          <w:p>
            <w:pPr>
              <w:jc w:val="right"/>
              <w:ind w:right="3"/>
              <w:spacing w:after="0"/>
              <w:rPr>
                <w:sz w:val="20"/>
                <w:szCs w:val="20"/>
                <w:color w:val="auto"/>
              </w:rPr>
            </w:pPr>
            <w:r>
              <w:rPr>
                <w:rFonts w:ascii="Arial" w:cs="Arial" w:eastAsia="Arial" w:hAnsi="Arial"/>
                <w:sz w:val="11"/>
                <w:szCs w:val="11"/>
                <w:color w:val="auto"/>
              </w:rPr>
              <w:t>4,640,007</w:t>
            </w:r>
          </w:p>
        </w:tc>
        <w:tc>
          <w:tcPr>
            <w:tcW w:w="10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170.27</w:t>
            </w:r>
          </w:p>
        </w:tc>
        <w:tc>
          <w:tcPr>
            <w:tcW w:w="104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141.49</w:t>
            </w:r>
          </w:p>
        </w:tc>
        <w:tc>
          <w:tcPr>
            <w:tcW w:w="8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1"/>
                <w:szCs w:val="11"/>
                <w:color w:val="auto"/>
              </w:rPr>
              <w:t>591.2</w:t>
            </w:r>
          </w:p>
        </w:tc>
        <w:tc>
          <w:tcPr>
            <w:tcW w:w="940" w:type="dxa"/>
            <w:vAlign w:val="bottom"/>
            <w:tcBorders>
              <w:bottom w:val="single" w:sz="8" w:color="F1F2F2"/>
            </w:tcBorders>
            <w:shd w:val="clear" w:color="auto" w:fill="F1F2F2"/>
          </w:tcPr>
          <w:p>
            <w:pPr>
              <w:jc w:val="right"/>
              <w:ind w:right="61"/>
              <w:spacing w:after="0"/>
              <w:rPr>
                <w:sz w:val="20"/>
                <w:szCs w:val="20"/>
                <w:color w:val="auto"/>
              </w:rPr>
            </w:pPr>
            <w:r>
              <w:rPr>
                <w:rFonts w:ascii="Arial" w:cs="Arial" w:eastAsia="Arial" w:hAnsi="Arial"/>
                <w:sz w:val="11"/>
                <w:szCs w:val="11"/>
                <w:color w:val="auto"/>
              </w:rPr>
              <w:t>641.8</w:t>
            </w:r>
          </w:p>
        </w:tc>
        <w:tc>
          <w:tcPr>
            <w:tcW w:w="0" w:type="dxa"/>
            <w:vAlign w:val="bottom"/>
          </w:tcPr>
          <w:p>
            <w:pPr>
              <w:spacing w:after="0"/>
              <w:rPr>
                <w:sz w:val="1"/>
                <w:szCs w:val="1"/>
                <w:color w:val="auto"/>
              </w:rPr>
            </w:pPr>
          </w:p>
        </w:tc>
      </w:tr>
      <w:tr>
        <w:trPr>
          <w:trHeight w:val="156"/>
        </w:trPr>
        <w:tc>
          <w:tcPr>
            <w:tcW w:w="460" w:type="dxa"/>
            <w:vAlign w:val="bottom"/>
          </w:tcPr>
          <w:p>
            <w:pPr>
              <w:jc w:val="center"/>
              <w:spacing w:after="0"/>
              <w:rPr>
                <w:sz w:val="20"/>
                <w:szCs w:val="20"/>
                <w:color w:val="auto"/>
              </w:rPr>
            </w:pPr>
            <w:r>
              <w:rPr>
                <w:rFonts w:ascii="Arial" w:cs="Arial" w:eastAsia="Arial" w:hAnsi="Arial"/>
                <w:sz w:val="11"/>
                <w:szCs w:val="11"/>
                <w:color w:val="auto"/>
                <w:w w:val="97"/>
              </w:rPr>
              <w:t>2022</w:t>
            </w:r>
          </w:p>
        </w:tc>
        <w:tc>
          <w:tcPr>
            <w:tcW w:w="1240" w:type="dxa"/>
            <w:vAlign w:val="bottom"/>
          </w:tcPr>
          <w:p>
            <w:pPr>
              <w:jc w:val="right"/>
              <w:ind w:right="103"/>
              <w:spacing w:after="0"/>
              <w:rPr>
                <w:sz w:val="20"/>
                <w:szCs w:val="20"/>
                <w:color w:val="auto"/>
              </w:rPr>
            </w:pPr>
            <w:r>
              <w:rPr>
                <w:rFonts w:ascii="Arial" w:cs="Arial" w:eastAsia="Arial" w:hAnsi="Arial"/>
                <w:sz w:val="11"/>
                <w:szCs w:val="11"/>
                <w:color w:val="auto"/>
              </w:rPr>
              <w:t>307,131</w:t>
            </w:r>
          </w:p>
        </w:tc>
        <w:tc>
          <w:tcPr>
            <w:tcW w:w="1140" w:type="dxa"/>
            <w:vAlign w:val="bottom"/>
          </w:tcPr>
          <w:p>
            <w:pPr>
              <w:jc w:val="right"/>
              <w:ind w:right="61"/>
              <w:spacing w:after="0"/>
              <w:rPr>
                <w:sz w:val="20"/>
                <w:szCs w:val="20"/>
                <w:color w:val="auto"/>
              </w:rPr>
            </w:pPr>
            <w:r>
              <w:rPr>
                <w:rFonts w:ascii="Arial" w:cs="Arial" w:eastAsia="Arial" w:hAnsi="Arial"/>
                <w:sz w:val="11"/>
                <w:szCs w:val="11"/>
                <w:color w:val="auto"/>
              </w:rPr>
              <w:t>(14,370,215)</w:t>
            </w:r>
          </w:p>
        </w:tc>
        <w:tc>
          <w:tcPr>
            <w:tcW w:w="720" w:type="dxa"/>
            <w:vAlign w:val="bottom"/>
          </w:tcPr>
          <w:p>
            <w:pPr>
              <w:jc w:val="right"/>
              <w:ind w:right="101"/>
              <w:spacing w:after="0"/>
              <w:rPr>
                <w:sz w:val="20"/>
                <w:szCs w:val="20"/>
                <w:color w:val="auto"/>
              </w:rPr>
            </w:pPr>
            <w:r>
              <w:rPr>
                <w:rFonts w:ascii="Arial" w:cs="Arial" w:eastAsia="Arial" w:hAnsi="Arial"/>
                <w:sz w:val="11"/>
                <w:szCs w:val="11"/>
                <w:color w:val="auto"/>
              </w:rPr>
              <w:t>593,636</w:t>
            </w:r>
          </w:p>
        </w:tc>
        <w:tc>
          <w:tcPr>
            <w:tcW w:w="680" w:type="dxa"/>
            <w:vAlign w:val="bottom"/>
          </w:tcPr>
          <w:p>
            <w:pPr>
              <w:jc w:val="right"/>
              <w:ind w:right="81"/>
              <w:spacing w:after="0"/>
              <w:rPr>
                <w:sz w:val="20"/>
                <w:szCs w:val="20"/>
                <w:color w:val="auto"/>
              </w:rPr>
            </w:pPr>
            <w:r>
              <w:rPr>
                <w:rFonts w:ascii="Arial" w:cs="Arial" w:eastAsia="Arial" w:hAnsi="Arial"/>
                <w:sz w:val="11"/>
                <w:szCs w:val="11"/>
                <w:color w:val="auto"/>
              </w:rPr>
              <w:t>493,206</w:t>
            </w:r>
          </w:p>
        </w:tc>
        <w:tc>
          <w:tcPr>
            <w:tcW w:w="800" w:type="dxa"/>
            <w:vAlign w:val="bottom"/>
          </w:tcPr>
          <w:p>
            <w:pPr>
              <w:jc w:val="right"/>
              <w:ind w:right="81"/>
              <w:spacing w:after="0"/>
              <w:rPr>
                <w:sz w:val="20"/>
                <w:szCs w:val="20"/>
                <w:color w:val="auto"/>
              </w:rPr>
            </w:pPr>
            <w:r>
              <w:rPr>
                <w:rFonts w:ascii="Arial" w:cs="Arial" w:eastAsia="Arial" w:hAnsi="Arial"/>
                <w:sz w:val="11"/>
                <w:szCs w:val="11"/>
                <w:color w:val="auto"/>
              </w:rPr>
              <w:t>10,097,779</w:t>
            </w: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11,097,872</w:t>
            </w:r>
          </w:p>
        </w:tc>
        <w:tc>
          <w:tcPr>
            <w:tcW w:w="940" w:type="dxa"/>
            <w:vAlign w:val="bottom"/>
          </w:tcPr>
          <w:p>
            <w:pPr>
              <w:jc w:val="right"/>
              <w:ind w:right="100"/>
              <w:spacing w:after="0"/>
              <w:rPr>
                <w:sz w:val="20"/>
                <w:szCs w:val="20"/>
                <w:color w:val="auto"/>
              </w:rPr>
            </w:pPr>
            <w:r>
              <w:rPr>
                <w:rFonts w:ascii="Arial" w:cs="Arial" w:eastAsia="Arial" w:hAnsi="Arial"/>
                <w:sz w:val="11"/>
                <w:szCs w:val="11"/>
                <w:color w:val="auto"/>
              </w:rPr>
              <w:t>2,397,526</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1,399,029</w:t>
            </w:r>
          </w:p>
        </w:tc>
        <w:tc>
          <w:tcPr>
            <w:tcW w:w="1020" w:type="dxa"/>
            <w:vAlign w:val="bottom"/>
          </w:tcPr>
          <w:p>
            <w:pPr>
              <w:jc w:val="right"/>
              <w:spacing w:after="0"/>
              <w:rPr>
                <w:sz w:val="20"/>
                <w:szCs w:val="20"/>
                <w:color w:val="auto"/>
              </w:rPr>
            </w:pPr>
            <w:r>
              <w:rPr>
                <w:rFonts w:ascii="Arial" w:cs="Arial" w:eastAsia="Arial" w:hAnsi="Arial"/>
                <w:sz w:val="11"/>
                <w:szCs w:val="11"/>
                <w:color w:val="auto"/>
              </w:rPr>
              <w:t>89.83</w:t>
            </w:r>
          </w:p>
        </w:tc>
        <w:tc>
          <w:tcPr>
            <w:tcW w:w="1040" w:type="dxa"/>
            <w:vAlign w:val="bottom"/>
          </w:tcPr>
          <w:p>
            <w:pPr>
              <w:jc w:val="right"/>
              <w:spacing w:after="0"/>
              <w:rPr>
                <w:sz w:val="20"/>
                <w:szCs w:val="20"/>
                <w:color w:val="auto"/>
              </w:rPr>
            </w:pPr>
            <w:r>
              <w:rPr>
                <w:rFonts w:ascii="Arial" w:cs="Arial" w:eastAsia="Arial" w:hAnsi="Arial"/>
                <w:sz w:val="11"/>
                <w:szCs w:val="11"/>
                <w:color w:val="auto"/>
              </w:rPr>
              <w:t>108.97</w:t>
            </w:r>
          </w:p>
        </w:tc>
        <w:tc>
          <w:tcPr>
            <w:tcW w:w="820" w:type="dxa"/>
            <w:vAlign w:val="bottom"/>
          </w:tcPr>
          <w:p>
            <w:pPr>
              <w:jc w:val="right"/>
              <w:spacing w:after="0"/>
              <w:rPr>
                <w:sz w:val="20"/>
                <w:szCs w:val="20"/>
                <w:color w:val="auto"/>
              </w:rPr>
            </w:pPr>
            <w:r>
              <w:rPr>
                <w:rFonts w:ascii="Arial" w:cs="Arial" w:eastAsia="Arial" w:hAnsi="Arial"/>
                <w:sz w:val="11"/>
                <w:szCs w:val="11"/>
                <w:color w:val="auto"/>
              </w:rPr>
              <w:t>497.1</w:t>
            </w:r>
          </w:p>
        </w:tc>
        <w:tc>
          <w:tcPr>
            <w:tcW w:w="940" w:type="dxa"/>
            <w:vAlign w:val="bottom"/>
          </w:tcPr>
          <w:p>
            <w:pPr>
              <w:jc w:val="right"/>
              <w:ind w:right="61"/>
              <w:spacing w:after="0"/>
              <w:rPr>
                <w:sz w:val="20"/>
                <w:szCs w:val="20"/>
                <w:color w:val="auto"/>
              </w:rPr>
            </w:pPr>
            <w:r>
              <w:rPr>
                <w:rFonts w:ascii="Arial" w:cs="Arial" w:eastAsia="Arial" w:hAnsi="Arial"/>
                <w:sz w:val="11"/>
                <w:szCs w:val="11"/>
                <w:color w:val="auto"/>
              </w:rPr>
              <w:t>505.3</w:t>
            </w:r>
          </w:p>
        </w:tc>
        <w:tc>
          <w:tcPr>
            <w:tcW w:w="0" w:type="dxa"/>
            <w:vAlign w:val="bottom"/>
          </w:tcPr>
          <w:p>
            <w:pPr>
              <w:spacing w:after="0"/>
              <w:rPr>
                <w:sz w:val="1"/>
                <w:szCs w:val="1"/>
                <w:color w:val="auto"/>
              </w:rPr>
            </w:pPr>
          </w:p>
        </w:tc>
      </w:tr>
      <w:tr>
        <w:trPr>
          <w:trHeight w:val="33"/>
        </w:trPr>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460" w:type="dxa"/>
            <w:vAlign w:val="bottom"/>
            <w:shd w:val="clear" w:color="auto" w:fill="F1F2F2"/>
          </w:tcPr>
          <w:p>
            <w:pPr>
              <w:jc w:val="center"/>
              <w:spacing w:after="0"/>
              <w:rPr>
                <w:sz w:val="20"/>
                <w:szCs w:val="20"/>
                <w:color w:val="auto"/>
              </w:rPr>
            </w:pPr>
            <w:r>
              <w:rPr>
                <w:rFonts w:ascii="Arial" w:cs="Arial" w:eastAsia="Arial" w:hAnsi="Arial"/>
                <w:sz w:val="11"/>
                <w:szCs w:val="11"/>
                <w:color w:val="auto"/>
                <w:w w:val="97"/>
              </w:rPr>
              <w:t>2021</w:t>
            </w:r>
          </w:p>
        </w:tc>
        <w:tc>
          <w:tcPr>
            <w:tcW w:w="1240" w:type="dxa"/>
            <w:vAlign w:val="bottom"/>
            <w:shd w:val="clear" w:color="auto" w:fill="F1F2F2"/>
          </w:tcPr>
          <w:p>
            <w:pPr>
              <w:jc w:val="right"/>
              <w:ind w:right="103"/>
              <w:spacing w:after="0"/>
              <w:rPr>
                <w:sz w:val="20"/>
                <w:szCs w:val="20"/>
                <w:color w:val="auto"/>
              </w:rPr>
            </w:pPr>
            <w:r>
              <w:rPr>
                <w:rFonts w:ascii="Arial" w:cs="Arial" w:eastAsia="Arial" w:hAnsi="Arial"/>
                <w:sz w:val="11"/>
                <w:szCs w:val="11"/>
                <w:color w:val="auto"/>
              </w:rPr>
              <w:t>5,027,345</w:t>
            </w:r>
          </w:p>
        </w:tc>
        <w:tc>
          <w:tcPr>
            <w:tcW w:w="1140" w:type="dxa"/>
            <w:vAlign w:val="bottom"/>
            <w:shd w:val="clear" w:color="auto" w:fill="F1F2F2"/>
          </w:tcPr>
          <w:p>
            <w:pPr>
              <w:jc w:val="right"/>
              <w:ind w:right="81"/>
              <w:spacing w:after="0"/>
              <w:rPr>
                <w:sz w:val="20"/>
                <w:szCs w:val="20"/>
                <w:color w:val="auto"/>
              </w:rPr>
            </w:pPr>
            <w:r>
              <w:rPr>
                <w:rFonts w:ascii="Arial" w:cs="Arial" w:eastAsia="Arial" w:hAnsi="Arial"/>
                <w:sz w:val="11"/>
                <w:szCs w:val="11"/>
                <w:color w:val="auto"/>
              </w:rPr>
              <w:t>14,483,856</w:t>
            </w:r>
          </w:p>
        </w:tc>
        <w:tc>
          <w:tcPr>
            <w:tcW w:w="720" w:type="dxa"/>
            <w:vAlign w:val="bottom"/>
            <w:shd w:val="clear" w:color="auto" w:fill="F1F2F2"/>
          </w:tcPr>
          <w:p>
            <w:pPr>
              <w:jc w:val="right"/>
              <w:ind w:right="101"/>
              <w:spacing w:after="0"/>
              <w:rPr>
                <w:sz w:val="20"/>
                <w:szCs w:val="20"/>
                <w:color w:val="auto"/>
              </w:rPr>
            </w:pPr>
            <w:r>
              <w:rPr>
                <w:rFonts w:ascii="Arial" w:cs="Arial" w:eastAsia="Arial" w:hAnsi="Arial"/>
                <w:sz w:val="11"/>
                <w:szCs w:val="11"/>
                <w:color w:val="auto"/>
              </w:rPr>
              <w:t>—</w:t>
            </w:r>
          </w:p>
        </w:tc>
        <w:tc>
          <w:tcPr>
            <w:tcW w:w="680" w:type="dxa"/>
            <w:vAlign w:val="bottom"/>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800" w:type="dxa"/>
            <w:vAlign w:val="bottom"/>
            <w:shd w:val="clear" w:color="auto" w:fill="F1F2F2"/>
          </w:tcPr>
          <w:p>
            <w:pPr>
              <w:jc w:val="right"/>
              <w:ind w:right="81"/>
              <w:spacing w:after="0"/>
              <w:rPr>
                <w:sz w:val="20"/>
                <w:szCs w:val="20"/>
                <w:color w:val="auto"/>
              </w:rPr>
            </w:pPr>
            <w:r>
              <w:rPr>
                <w:rFonts w:ascii="Arial" w:cs="Arial" w:eastAsia="Arial" w:hAnsi="Arial"/>
                <w:sz w:val="11"/>
                <w:szCs w:val="11"/>
                <w:color w:val="auto"/>
              </w:rPr>
              <w:t>—</w:t>
            </w:r>
          </w:p>
        </w:tc>
        <w:tc>
          <w:tcPr>
            <w:tcW w:w="700" w:type="dxa"/>
            <w:vAlign w:val="bottom"/>
            <w:shd w:val="clear" w:color="auto" w:fill="F1F2F2"/>
          </w:tcPr>
          <w:p>
            <w:pPr>
              <w:jc w:val="right"/>
              <w:ind w:right="4"/>
              <w:spacing w:after="0"/>
              <w:rPr>
                <w:sz w:val="20"/>
                <w:szCs w:val="20"/>
                <w:color w:val="auto"/>
              </w:rPr>
            </w:pPr>
            <w:r>
              <w:rPr>
                <w:rFonts w:ascii="Arial" w:cs="Arial" w:eastAsia="Arial" w:hAnsi="Arial"/>
                <w:sz w:val="11"/>
                <w:szCs w:val="11"/>
                <w:color w:val="auto"/>
              </w:rPr>
              <w:t>—</w:t>
            </w:r>
          </w:p>
        </w:tc>
        <w:tc>
          <w:tcPr>
            <w:tcW w:w="940" w:type="dxa"/>
            <w:vAlign w:val="bottom"/>
            <w:shd w:val="clear" w:color="auto" w:fill="F1F2F2"/>
          </w:tcPr>
          <w:p>
            <w:pPr>
              <w:jc w:val="right"/>
              <w:ind w:right="100"/>
              <w:spacing w:after="0"/>
              <w:rPr>
                <w:sz w:val="20"/>
                <w:szCs w:val="20"/>
                <w:color w:val="auto"/>
              </w:rPr>
            </w:pPr>
            <w:r>
              <w:rPr>
                <w:rFonts w:ascii="Arial" w:cs="Arial" w:eastAsia="Arial" w:hAnsi="Arial"/>
                <w:sz w:val="11"/>
                <w:szCs w:val="11"/>
                <w:color w:val="auto"/>
              </w:rPr>
              <w:t>3,314,344</w:t>
            </w:r>
          </w:p>
        </w:tc>
        <w:tc>
          <w:tcPr>
            <w:tcW w:w="740" w:type="dxa"/>
            <w:vAlign w:val="bottom"/>
            <w:shd w:val="clear" w:color="auto" w:fill="F1F2F2"/>
          </w:tcPr>
          <w:p>
            <w:pPr>
              <w:jc w:val="right"/>
              <w:ind w:right="3"/>
              <w:spacing w:after="0"/>
              <w:rPr>
                <w:sz w:val="20"/>
                <w:szCs w:val="20"/>
                <w:color w:val="auto"/>
              </w:rPr>
            </w:pPr>
            <w:r>
              <w:rPr>
                <w:rFonts w:ascii="Arial" w:cs="Arial" w:eastAsia="Arial" w:hAnsi="Arial"/>
                <w:sz w:val="11"/>
                <w:szCs w:val="11"/>
                <w:color w:val="auto"/>
              </w:rPr>
              <w:t>4,935,005</w:t>
            </w:r>
          </w:p>
        </w:tc>
        <w:tc>
          <w:tcPr>
            <w:tcW w:w="1020" w:type="dxa"/>
            <w:vAlign w:val="bottom"/>
            <w:shd w:val="clear" w:color="auto" w:fill="F1F2F2"/>
          </w:tcPr>
          <w:p>
            <w:pPr>
              <w:jc w:val="right"/>
              <w:spacing w:after="0"/>
              <w:rPr>
                <w:sz w:val="20"/>
                <w:szCs w:val="20"/>
                <w:color w:val="auto"/>
              </w:rPr>
            </w:pPr>
            <w:r>
              <w:rPr>
                <w:rFonts w:ascii="Arial" w:cs="Arial" w:eastAsia="Arial" w:hAnsi="Arial"/>
                <w:sz w:val="11"/>
                <w:szCs w:val="11"/>
                <w:color w:val="auto"/>
              </w:rPr>
              <w:t>119.70</w:t>
            </w:r>
          </w:p>
        </w:tc>
        <w:tc>
          <w:tcPr>
            <w:tcW w:w="1040" w:type="dxa"/>
            <w:vAlign w:val="bottom"/>
            <w:shd w:val="clear" w:color="auto" w:fill="F1F2F2"/>
          </w:tcPr>
          <w:p>
            <w:pPr>
              <w:jc w:val="right"/>
              <w:spacing w:after="0"/>
              <w:rPr>
                <w:sz w:val="20"/>
                <w:szCs w:val="20"/>
                <w:color w:val="auto"/>
              </w:rPr>
            </w:pPr>
            <w:r>
              <w:rPr>
                <w:rFonts w:ascii="Arial" w:cs="Arial" w:eastAsia="Arial" w:hAnsi="Arial"/>
                <w:sz w:val="11"/>
                <w:szCs w:val="11"/>
                <w:color w:val="auto"/>
              </w:rPr>
              <w:t>132.02</w:t>
            </w:r>
          </w:p>
        </w:tc>
        <w:tc>
          <w:tcPr>
            <w:tcW w:w="820" w:type="dxa"/>
            <w:vAlign w:val="bottom"/>
            <w:shd w:val="clear" w:color="auto" w:fill="F1F2F2"/>
          </w:tcPr>
          <w:p>
            <w:pPr>
              <w:jc w:val="right"/>
              <w:spacing w:after="0"/>
              <w:rPr>
                <w:sz w:val="20"/>
                <w:szCs w:val="20"/>
                <w:color w:val="auto"/>
              </w:rPr>
            </w:pPr>
            <w:r>
              <w:rPr>
                <w:rFonts w:ascii="Arial" w:cs="Arial" w:eastAsia="Arial" w:hAnsi="Arial"/>
                <w:sz w:val="11"/>
                <w:szCs w:val="11"/>
                <w:color w:val="auto"/>
              </w:rPr>
              <w:t>464.0</w:t>
            </w:r>
          </w:p>
        </w:tc>
        <w:tc>
          <w:tcPr>
            <w:tcW w:w="940" w:type="dxa"/>
            <w:vAlign w:val="bottom"/>
            <w:shd w:val="clear" w:color="auto" w:fill="F1F2F2"/>
          </w:tcPr>
          <w:p>
            <w:pPr>
              <w:jc w:val="right"/>
              <w:ind w:right="61"/>
              <w:spacing w:after="0"/>
              <w:rPr>
                <w:sz w:val="20"/>
                <w:szCs w:val="20"/>
                <w:color w:val="auto"/>
              </w:rPr>
            </w:pPr>
            <w:r>
              <w:rPr>
                <w:rFonts w:ascii="Arial" w:cs="Arial" w:eastAsia="Arial" w:hAnsi="Arial"/>
                <w:sz w:val="11"/>
                <w:szCs w:val="11"/>
                <w:color w:val="auto"/>
              </w:rPr>
              <w:t>464.5</w:t>
            </w:r>
          </w:p>
        </w:tc>
        <w:tc>
          <w:tcPr>
            <w:tcW w:w="0" w:type="dxa"/>
            <w:vAlign w:val="bottom"/>
          </w:tcPr>
          <w:p>
            <w:pPr>
              <w:spacing w:after="0"/>
              <w:rPr>
                <w:sz w:val="1"/>
                <w:szCs w:val="1"/>
                <w:color w:val="auto"/>
              </w:rPr>
            </w:pPr>
          </w:p>
        </w:tc>
      </w:tr>
      <w:tr>
        <w:trPr>
          <w:trHeight w:val="33"/>
        </w:trPr>
        <w:tc>
          <w:tcPr>
            <w:tcW w:w="460" w:type="dxa"/>
            <w:vAlign w:val="bottom"/>
            <w:shd w:val="clear" w:color="auto" w:fill="F1F2F2"/>
          </w:tcPr>
          <w:p>
            <w:pPr>
              <w:spacing w:after="0"/>
              <w:rPr>
                <w:sz w:val="2"/>
                <w:szCs w:val="2"/>
                <w:color w:val="auto"/>
              </w:rPr>
            </w:pPr>
          </w:p>
        </w:tc>
        <w:tc>
          <w:tcPr>
            <w:tcW w:w="1240" w:type="dxa"/>
            <w:vAlign w:val="bottom"/>
            <w:shd w:val="clear" w:color="auto" w:fill="F1F2F2"/>
          </w:tcPr>
          <w:p>
            <w:pPr>
              <w:spacing w:after="0"/>
              <w:rPr>
                <w:sz w:val="2"/>
                <w:szCs w:val="2"/>
                <w:color w:val="auto"/>
              </w:rPr>
            </w:pPr>
          </w:p>
        </w:tc>
        <w:tc>
          <w:tcPr>
            <w:tcW w:w="1140" w:type="dxa"/>
            <w:vAlign w:val="bottom"/>
            <w:shd w:val="clear" w:color="auto" w:fill="F1F2F2"/>
          </w:tcPr>
          <w:p>
            <w:pPr>
              <w:spacing w:after="0"/>
              <w:rPr>
                <w:sz w:val="2"/>
                <w:szCs w:val="2"/>
                <w:color w:val="auto"/>
              </w:rPr>
            </w:pPr>
          </w:p>
        </w:tc>
        <w:tc>
          <w:tcPr>
            <w:tcW w:w="720" w:type="dxa"/>
            <w:vAlign w:val="bottom"/>
            <w:shd w:val="clear" w:color="auto" w:fill="F1F2F2"/>
          </w:tcPr>
          <w:p>
            <w:pPr>
              <w:spacing w:after="0"/>
              <w:rPr>
                <w:sz w:val="2"/>
                <w:szCs w:val="2"/>
                <w:color w:val="auto"/>
              </w:rPr>
            </w:pPr>
          </w:p>
        </w:tc>
        <w:tc>
          <w:tcPr>
            <w:tcW w:w="680" w:type="dxa"/>
            <w:vAlign w:val="bottom"/>
            <w:shd w:val="clear" w:color="auto" w:fill="F1F2F2"/>
          </w:tcPr>
          <w:p>
            <w:pPr>
              <w:spacing w:after="0"/>
              <w:rPr>
                <w:sz w:val="2"/>
                <w:szCs w:val="2"/>
                <w:color w:val="auto"/>
              </w:rPr>
            </w:pPr>
          </w:p>
        </w:tc>
        <w:tc>
          <w:tcPr>
            <w:tcW w:w="800" w:type="dxa"/>
            <w:vAlign w:val="bottom"/>
            <w:shd w:val="clear" w:color="auto" w:fill="F1F2F2"/>
          </w:tcPr>
          <w:p>
            <w:pPr>
              <w:spacing w:after="0"/>
              <w:rPr>
                <w:sz w:val="2"/>
                <w:szCs w:val="2"/>
                <w:color w:val="auto"/>
              </w:rPr>
            </w:pPr>
          </w:p>
        </w:tc>
        <w:tc>
          <w:tcPr>
            <w:tcW w:w="700" w:type="dxa"/>
            <w:vAlign w:val="bottom"/>
            <w:shd w:val="clear" w:color="auto" w:fill="F1F2F2"/>
          </w:tcPr>
          <w:p>
            <w:pPr>
              <w:spacing w:after="0"/>
              <w:rPr>
                <w:sz w:val="2"/>
                <w:szCs w:val="2"/>
                <w:color w:val="auto"/>
              </w:rPr>
            </w:pPr>
          </w:p>
        </w:tc>
        <w:tc>
          <w:tcPr>
            <w:tcW w:w="940" w:type="dxa"/>
            <w:vAlign w:val="bottom"/>
            <w:shd w:val="clear" w:color="auto" w:fill="F1F2F2"/>
          </w:tcPr>
          <w:p>
            <w:pPr>
              <w:spacing w:after="0"/>
              <w:rPr>
                <w:sz w:val="2"/>
                <w:szCs w:val="2"/>
                <w:color w:val="auto"/>
              </w:rPr>
            </w:pPr>
          </w:p>
        </w:tc>
        <w:tc>
          <w:tcPr>
            <w:tcW w:w="740" w:type="dxa"/>
            <w:vAlign w:val="bottom"/>
            <w:shd w:val="clear" w:color="auto" w:fill="F1F2F2"/>
          </w:tcPr>
          <w:p>
            <w:pPr>
              <w:spacing w:after="0"/>
              <w:rPr>
                <w:sz w:val="2"/>
                <w:szCs w:val="2"/>
                <w:color w:val="auto"/>
              </w:rPr>
            </w:pPr>
          </w:p>
        </w:tc>
        <w:tc>
          <w:tcPr>
            <w:tcW w:w="1020" w:type="dxa"/>
            <w:vAlign w:val="bottom"/>
            <w:shd w:val="clear" w:color="auto" w:fill="F1F2F2"/>
          </w:tcPr>
          <w:p>
            <w:pPr>
              <w:spacing w:after="0"/>
              <w:rPr>
                <w:sz w:val="2"/>
                <w:szCs w:val="2"/>
                <w:color w:val="auto"/>
              </w:rPr>
            </w:pPr>
          </w:p>
        </w:tc>
        <w:tc>
          <w:tcPr>
            <w:tcW w:w="1040" w:type="dxa"/>
            <w:vAlign w:val="bottom"/>
            <w:shd w:val="clear" w:color="auto" w:fill="F1F2F2"/>
          </w:tcPr>
          <w:p>
            <w:pPr>
              <w:spacing w:after="0"/>
              <w:rPr>
                <w:sz w:val="2"/>
                <w:szCs w:val="2"/>
                <w:color w:val="auto"/>
              </w:rPr>
            </w:pPr>
          </w:p>
        </w:tc>
        <w:tc>
          <w:tcPr>
            <w:tcW w:w="820" w:type="dxa"/>
            <w:vAlign w:val="bottom"/>
            <w:shd w:val="clear" w:color="auto" w:fill="F1F2F2"/>
          </w:tcPr>
          <w:p>
            <w:pPr>
              <w:spacing w:after="0"/>
              <w:rPr>
                <w:sz w:val="2"/>
                <w:szCs w:val="2"/>
                <w:color w:val="auto"/>
              </w:rPr>
            </w:pPr>
          </w:p>
        </w:tc>
        <w:tc>
          <w:tcPr>
            <w:tcW w:w="940" w:type="dxa"/>
            <w:vAlign w:val="bottom"/>
            <w:shd w:val="clear" w:color="auto" w:fill="F1F2F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-1345565</wp:posOffset>
            </wp:positionV>
            <wp:extent cx="13030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173" w:lineRule="exact"/>
        <w:rPr>
          <w:sz w:val="20"/>
          <w:szCs w:val="20"/>
          <w:color w:val="auto"/>
        </w:rPr>
      </w:pPr>
    </w:p>
    <w:p>
      <w:pPr>
        <w:ind w:left="340" w:right="120" w:hanging="332"/>
        <w:spacing w:after="0" w:line="266" w:lineRule="auto"/>
        <w:tabs>
          <w:tab w:leader="none" w:pos="327" w:val="left"/>
        </w:tabs>
        <w:numPr>
          <w:ilvl w:val="0"/>
          <w:numId w:val="87"/>
        </w:numPr>
        <w:rPr>
          <w:rFonts w:ascii="Arial" w:cs="Arial" w:eastAsia="Arial" w:hAnsi="Arial"/>
          <w:sz w:val="14"/>
          <w:szCs w:val="14"/>
          <w:color w:val="auto"/>
        </w:rPr>
      </w:pPr>
      <w:r>
        <w:rPr>
          <w:rFonts w:ascii="Arial" w:cs="Arial" w:eastAsia="Arial" w:hAnsi="Arial"/>
          <w:sz w:val="14"/>
          <w:szCs w:val="14"/>
          <w:color w:val="auto"/>
        </w:rPr>
        <w:t>Todd M. Bluedorn (“PEO 1”) served as our principal executive officer (“PEO”) from January 1, 2022 to March 23, 2022, and for the full year of 2021. Todd J. Teske (“PEO 2”) served as our PEO from March 23, 2022, through May 8, 2022. Alok Maskara (“PEO 3”) has served as our PEO from May 9, 2022, to present. For 2025, our non-PEO NEOs were Michael P. Quenzer, Sarah R. Martin, Joseph F. Nassab, and Daniel M. Sessa. For 2024, our non-PEO NEOs were Michael P. Quenzer, Gary S. Bedard, Daniel M. Sessa, and John D. Torres. For 2023, our non-PEO NEOs were Joseph W. Reitmeier, Joseph F. Nassab, Daniel M. Sessa, John D. Torres, and Douglas L. Young. For 2022, our non-PEO NEOs were Joseph W. Reitmeier, Gary S. Bedard, Douglas L. Young, and Joseph F. Nassab. For 2021, our non-PEO NEOs were Joseph W. Reitmeier, Douglas L. Young, Daniel M. Sessa, and John D. Torres.</w:t>
      </w:r>
    </w:p>
    <w:p>
      <w:pPr>
        <w:spacing w:after="0" w:line="76" w:lineRule="exact"/>
        <w:rPr>
          <w:rFonts w:ascii="Arial" w:cs="Arial" w:eastAsia="Arial" w:hAnsi="Arial"/>
          <w:sz w:val="14"/>
          <w:szCs w:val="14"/>
          <w:color w:val="auto"/>
        </w:rPr>
      </w:pPr>
    </w:p>
    <w:p>
      <w:pPr>
        <w:ind w:left="340" w:right="180" w:hanging="332"/>
        <w:spacing w:after="0" w:line="305" w:lineRule="auto"/>
        <w:tabs>
          <w:tab w:leader="none" w:pos="327" w:val="left"/>
        </w:tabs>
        <w:numPr>
          <w:ilvl w:val="0"/>
          <w:numId w:val="87"/>
        </w:numPr>
        <w:rPr>
          <w:rFonts w:ascii="Arial" w:cs="Arial" w:eastAsia="Arial" w:hAnsi="Arial"/>
          <w:sz w:val="14"/>
          <w:szCs w:val="14"/>
          <w:color w:val="auto"/>
        </w:rPr>
      </w:pPr>
      <w:r>
        <w:rPr>
          <w:rFonts w:ascii="Arial" w:cs="Arial" w:eastAsia="Arial" w:hAnsi="Arial"/>
          <w:sz w:val="14"/>
          <w:szCs w:val="14"/>
          <w:color w:val="auto"/>
        </w:rPr>
        <w:t>For 2025, the values included in these columns for the compensation actually paid to our PEO and the average compensation actually paid to our non-PEO NEOs reflect the following adjustments to the values included in column (b) and column (d), respectively:</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158"/>
        </w:trPr>
        <w:tc>
          <w:tcPr>
            <w:tcW w:w="7520" w:type="dxa"/>
            <w:vAlign w:val="bottom"/>
            <w:shd w:val="clear" w:color="auto" w:fill="C60C35"/>
          </w:tcPr>
          <w:p>
            <w:pPr>
              <w:spacing w:after="0"/>
              <w:rPr>
                <w:sz w:val="13"/>
                <w:szCs w:val="13"/>
                <w:color w:val="auto"/>
              </w:rPr>
            </w:pPr>
          </w:p>
        </w:tc>
        <w:tc>
          <w:tcPr>
            <w:tcW w:w="1540" w:type="dxa"/>
            <w:vAlign w:val="bottom"/>
            <w:shd w:val="clear" w:color="auto" w:fill="C60C35"/>
          </w:tcPr>
          <w:p>
            <w:pPr>
              <w:jc w:val="right"/>
              <w:ind w:right="217"/>
              <w:spacing w:after="0"/>
              <w:rPr>
                <w:sz w:val="20"/>
                <w:szCs w:val="20"/>
                <w:color w:val="auto"/>
              </w:rPr>
            </w:pPr>
            <w:r>
              <w:rPr>
                <w:rFonts w:ascii="Arial" w:cs="Arial" w:eastAsia="Arial" w:hAnsi="Arial"/>
                <w:sz w:val="13"/>
                <w:szCs w:val="13"/>
                <w:b w:val="1"/>
                <w:bCs w:val="1"/>
                <w:color w:val="FFFFFF"/>
              </w:rPr>
              <w:t> Alok Maskara </w:t>
            </w:r>
          </w:p>
        </w:tc>
        <w:tc>
          <w:tcPr>
            <w:tcW w:w="146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Average for Non-</w:t>
            </w:r>
          </w:p>
        </w:tc>
        <w:tc>
          <w:tcPr>
            <w:tcW w:w="0" w:type="dxa"/>
            <w:vAlign w:val="bottom"/>
          </w:tcPr>
          <w:p>
            <w:pPr>
              <w:spacing w:after="0"/>
              <w:rPr>
                <w:sz w:val="1"/>
                <w:szCs w:val="1"/>
                <w:color w:val="auto"/>
              </w:rPr>
            </w:pPr>
          </w:p>
        </w:tc>
      </w:tr>
      <w:tr>
        <w:trPr>
          <w:trHeight w:val="172"/>
        </w:trPr>
        <w:tc>
          <w:tcPr>
            <w:tcW w:w="7520" w:type="dxa"/>
            <w:vAlign w:val="bottom"/>
            <w:shd w:val="clear" w:color="auto" w:fill="C60C35"/>
          </w:tcPr>
          <w:p>
            <w:pPr>
              <w:spacing w:after="0"/>
              <w:rPr>
                <w:sz w:val="14"/>
                <w:szCs w:val="14"/>
                <w:color w:val="auto"/>
              </w:rPr>
            </w:pPr>
          </w:p>
        </w:tc>
        <w:tc>
          <w:tcPr>
            <w:tcW w:w="1540" w:type="dxa"/>
            <w:vAlign w:val="bottom"/>
            <w:shd w:val="clear" w:color="auto" w:fill="C60C35"/>
          </w:tcPr>
          <w:p>
            <w:pPr>
              <w:jc w:val="right"/>
              <w:ind w:right="237"/>
              <w:spacing w:after="0"/>
              <w:rPr>
                <w:sz w:val="20"/>
                <w:szCs w:val="20"/>
                <w:color w:val="auto"/>
              </w:rPr>
            </w:pPr>
            <w:r>
              <w:rPr>
                <w:rFonts w:ascii="Arial" w:cs="Arial" w:eastAsia="Arial" w:hAnsi="Arial"/>
                <w:sz w:val="13"/>
                <w:szCs w:val="13"/>
                <w:b w:val="1"/>
                <w:bCs w:val="1"/>
                <w:color w:val="FFFFFF"/>
              </w:rPr>
              <w:t> (PEO 3)</w:t>
            </w:r>
          </w:p>
        </w:tc>
        <w:tc>
          <w:tcPr>
            <w:tcW w:w="1460" w:type="dxa"/>
            <w:vAlign w:val="bottom"/>
            <w:shd w:val="clear" w:color="auto" w:fill="C60C35"/>
          </w:tcPr>
          <w:p>
            <w:pPr>
              <w:jc w:val="right"/>
              <w:ind w:right="97"/>
              <w:spacing w:after="0"/>
              <w:rPr>
                <w:sz w:val="20"/>
                <w:szCs w:val="20"/>
                <w:color w:val="auto"/>
              </w:rPr>
            </w:pPr>
            <w:r>
              <w:rPr>
                <w:rFonts w:ascii="Arial" w:cs="Arial" w:eastAsia="Arial" w:hAnsi="Arial"/>
                <w:sz w:val="13"/>
                <w:szCs w:val="13"/>
                <w:b w:val="1"/>
                <w:bCs w:val="1"/>
                <w:color w:val="FFFFFF"/>
              </w:rPr>
              <w:t>PEO NEOs</w:t>
            </w:r>
          </w:p>
        </w:tc>
        <w:tc>
          <w:tcPr>
            <w:tcW w:w="0" w:type="dxa"/>
            <w:vAlign w:val="bottom"/>
          </w:tcPr>
          <w:p>
            <w:pPr>
              <w:spacing w:after="0"/>
              <w:rPr>
                <w:sz w:val="1"/>
                <w:szCs w:val="1"/>
                <w:color w:val="auto"/>
              </w:rPr>
            </w:pPr>
          </w:p>
        </w:tc>
      </w:tr>
      <w:tr>
        <w:trPr>
          <w:trHeight w:val="75"/>
        </w:trPr>
        <w:tc>
          <w:tcPr>
            <w:tcW w:w="7520" w:type="dxa"/>
            <w:vAlign w:val="bottom"/>
            <w:shd w:val="clear" w:color="auto" w:fill="C60C35"/>
          </w:tcPr>
          <w:p>
            <w:pPr>
              <w:spacing w:after="0"/>
              <w:rPr>
                <w:sz w:val="6"/>
                <w:szCs w:val="6"/>
                <w:color w:val="auto"/>
              </w:rPr>
            </w:pPr>
          </w:p>
        </w:tc>
        <w:tc>
          <w:tcPr>
            <w:tcW w:w="1540" w:type="dxa"/>
            <w:vAlign w:val="bottom"/>
            <w:shd w:val="clear" w:color="auto" w:fill="C60C35"/>
          </w:tcPr>
          <w:p>
            <w:pPr>
              <w:spacing w:after="0"/>
              <w:rPr>
                <w:sz w:val="6"/>
                <w:szCs w:val="6"/>
                <w:color w:val="auto"/>
              </w:rPr>
            </w:pPr>
          </w:p>
        </w:tc>
        <w:tc>
          <w:tcPr>
            <w:tcW w:w="146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752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3"/>
                <w:szCs w:val="13"/>
                <w:b w:val="1"/>
                <w:bCs w:val="1"/>
                <w:color w:val="auto"/>
              </w:rPr>
              <w:t>Summary Compensation Table Total Compensation</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b w:val="1"/>
                <w:bCs w:val="1"/>
                <w:color w:val="auto"/>
              </w:rPr>
              <w:t>8,434,155</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2,653,024</w:t>
            </w:r>
          </w:p>
        </w:tc>
        <w:tc>
          <w:tcPr>
            <w:tcW w:w="0" w:type="dxa"/>
            <w:vAlign w:val="bottom"/>
          </w:tcPr>
          <w:p>
            <w:pPr>
              <w:spacing w:after="0"/>
              <w:rPr>
                <w:sz w:val="1"/>
                <w:szCs w:val="1"/>
                <w:color w:val="auto"/>
              </w:rPr>
            </w:pPr>
          </w:p>
        </w:tc>
      </w:tr>
      <w:tr>
        <w:trPr>
          <w:trHeight w:val="175"/>
        </w:trPr>
        <w:tc>
          <w:tcPr>
            <w:tcW w:w="7520" w:type="dxa"/>
            <w:vAlign w:val="bottom"/>
          </w:tcPr>
          <w:p>
            <w:pPr>
              <w:ind w:left="180"/>
              <w:spacing w:after="0"/>
              <w:rPr>
                <w:sz w:val="20"/>
                <w:szCs w:val="20"/>
                <w:color w:val="auto"/>
              </w:rPr>
            </w:pPr>
            <w:r>
              <w:rPr>
                <w:rFonts w:ascii="Arial" w:cs="Arial" w:eastAsia="Arial" w:hAnsi="Arial"/>
                <w:sz w:val="13"/>
                <w:szCs w:val="13"/>
                <w:color w:val="auto"/>
              </w:rPr>
              <w:t>- aggregate change in actuarial present value of pension benefits</w:t>
            </w:r>
          </w:p>
        </w:tc>
        <w:tc>
          <w:tcPr>
            <w:tcW w:w="15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370,117</w:t>
            </w: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3"/>
                <w:szCs w:val="13"/>
                <w:color w:val="auto"/>
              </w:rPr>
              <w:t>+ service cost of pension benefits</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-11,828</w:t>
            </w:r>
          </w:p>
        </w:tc>
        <w:tc>
          <w:tcPr>
            <w:tcW w:w="0" w:type="dxa"/>
            <w:vAlign w:val="bottom"/>
          </w:tcPr>
          <w:p>
            <w:pPr>
              <w:spacing w:after="0"/>
              <w:rPr>
                <w:sz w:val="1"/>
                <w:szCs w:val="1"/>
                <w:color w:val="auto"/>
              </w:rPr>
            </w:pPr>
          </w:p>
        </w:tc>
      </w:tr>
      <w:tr>
        <w:trPr>
          <w:trHeight w:val="175"/>
        </w:trPr>
        <w:tc>
          <w:tcPr>
            <w:tcW w:w="7520" w:type="dxa"/>
            <w:vAlign w:val="bottom"/>
          </w:tcPr>
          <w:p>
            <w:pPr>
              <w:ind w:left="180"/>
              <w:spacing w:after="0"/>
              <w:rPr>
                <w:sz w:val="20"/>
                <w:szCs w:val="20"/>
                <w:color w:val="auto"/>
              </w:rPr>
            </w:pPr>
            <w:r>
              <w:rPr>
                <w:rFonts w:ascii="Arial" w:cs="Arial" w:eastAsia="Arial" w:hAnsi="Arial"/>
                <w:sz w:val="13"/>
                <w:szCs w:val="13"/>
                <w:color w:val="auto"/>
              </w:rPr>
              <w:t>+ prior service cost of pension benefit</w:t>
            </w:r>
          </w:p>
        </w:tc>
        <w:tc>
          <w:tcPr>
            <w:tcW w:w="15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3"/>
                <w:szCs w:val="13"/>
                <w:color w:val="auto"/>
              </w:rPr>
              <w:t>- SCT “Stock Awards” column value</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color w:val="auto"/>
              </w:rPr>
              <w:t>4,500,496</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978,314</w:t>
            </w:r>
          </w:p>
        </w:tc>
        <w:tc>
          <w:tcPr>
            <w:tcW w:w="0" w:type="dxa"/>
            <w:vAlign w:val="bottom"/>
          </w:tcPr>
          <w:p>
            <w:pPr>
              <w:spacing w:after="0"/>
              <w:rPr>
                <w:sz w:val="1"/>
                <w:szCs w:val="1"/>
                <w:color w:val="auto"/>
              </w:rPr>
            </w:pPr>
          </w:p>
        </w:tc>
      </w:tr>
      <w:tr>
        <w:trPr>
          <w:trHeight w:val="175"/>
        </w:trPr>
        <w:tc>
          <w:tcPr>
            <w:tcW w:w="7520" w:type="dxa"/>
            <w:vAlign w:val="bottom"/>
          </w:tcPr>
          <w:p>
            <w:pPr>
              <w:ind w:left="180"/>
              <w:spacing w:after="0"/>
              <w:rPr>
                <w:sz w:val="20"/>
                <w:szCs w:val="20"/>
                <w:color w:val="auto"/>
              </w:rPr>
            </w:pPr>
            <w:r>
              <w:rPr>
                <w:rFonts w:ascii="Arial" w:cs="Arial" w:eastAsia="Arial" w:hAnsi="Arial"/>
                <w:sz w:val="13"/>
                <w:szCs w:val="13"/>
                <w:color w:val="auto"/>
              </w:rPr>
              <w:t>- SCT “Option Awards” column value</w:t>
            </w:r>
          </w:p>
        </w:tc>
        <w:tc>
          <w:tcPr>
            <w:tcW w:w="1540" w:type="dxa"/>
            <w:vAlign w:val="bottom"/>
          </w:tcPr>
          <w:p>
            <w:pPr>
              <w:jc w:val="right"/>
              <w:ind w:right="217"/>
              <w:spacing w:after="0"/>
              <w:rPr>
                <w:sz w:val="20"/>
                <w:szCs w:val="20"/>
                <w:color w:val="auto"/>
              </w:rPr>
            </w:pPr>
            <w:r>
              <w:rPr>
                <w:rFonts w:ascii="Arial" w:cs="Arial" w:eastAsia="Arial" w:hAnsi="Arial"/>
                <w:sz w:val="13"/>
                <w:szCs w:val="13"/>
                <w:color w:val="auto"/>
              </w:rPr>
              <w:t>1,149,880</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172,482</w:t>
            </w: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3"/>
                <w:szCs w:val="13"/>
                <w:color w:val="auto"/>
                <w:w w:val="99"/>
              </w:rPr>
              <w:t>+ year-end fair value of equity awards granted in the covered year that are outstanding and unvested as of the covered year-end</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color w:val="auto"/>
              </w:rPr>
              <w:t>4,966,103</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1,045,754</w:t>
            </w:r>
          </w:p>
        </w:tc>
        <w:tc>
          <w:tcPr>
            <w:tcW w:w="0" w:type="dxa"/>
            <w:vAlign w:val="bottom"/>
          </w:tcPr>
          <w:p>
            <w:pPr>
              <w:spacing w:after="0"/>
              <w:rPr>
                <w:sz w:val="1"/>
                <w:szCs w:val="1"/>
                <w:color w:val="auto"/>
              </w:rPr>
            </w:pPr>
          </w:p>
        </w:tc>
      </w:tr>
      <w:tr>
        <w:trPr>
          <w:trHeight w:val="158"/>
        </w:trPr>
        <w:tc>
          <w:tcPr>
            <w:tcW w:w="7520" w:type="dxa"/>
            <w:vAlign w:val="bottom"/>
          </w:tcPr>
          <w:p>
            <w:pPr>
              <w:ind w:left="180"/>
              <w:spacing w:after="0"/>
              <w:rPr>
                <w:sz w:val="20"/>
                <w:szCs w:val="20"/>
                <w:color w:val="auto"/>
              </w:rPr>
            </w:pPr>
            <w:r>
              <w:rPr>
                <w:rFonts w:ascii="Arial" w:cs="Arial" w:eastAsia="Arial" w:hAnsi="Arial"/>
                <w:sz w:val="13"/>
                <w:szCs w:val="13"/>
                <w:color w:val="auto"/>
                <w:w w:val="97"/>
              </w:rPr>
              <w:t>[+/-] change in fair value (from prior year-end to covered year-end) of equity awards granted in prior years that are outstanding and</w:t>
            </w:r>
          </w:p>
        </w:tc>
        <w:tc>
          <w:tcPr>
            <w:tcW w:w="1540" w:type="dxa"/>
            <w:vAlign w:val="bottom"/>
            <w:vMerge w:val="restart"/>
          </w:tcPr>
          <w:p>
            <w:pPr>
              <w:jc w:val="right"/>
              <w:ind w:right="217"/>
              <w:spacing w:after="0"/>
              <w:rPr>
                <w:sz w:val="20"/>
                <w:szCs w:val="20"/>
                <w:color w:val="auto"/>
              </w:rPr>
            </w:pPr>
            <w:r>
              <w:rPr>
                <w:rFonts w:ascii="Arial" w:cs="Arial" w:eastAsia="Arial" w:hAnsi="Arial"/>
                <w:sz w:val="13"/>
                <w:szCs w:val="13"/>
                <w:color w:val="auto"/>
              </w:rPr>
              <w:t>-2,615,752</w:t>
            </w:r>
          </w:p>
        </w:tc>
        <w:tc>
          <w:tcPr>
            <w:tcW w:w="1460" w:type="dxa"/>
            <w:vAlign w:val="bottom"/>
            <w:vMerge w:val="restart"/>
          </w:tcPr>
          <w:p>
            <w:pPr>
              <w:jc w:val="right"/>
              <w:ind w:right="97"/>
              <w:spacing w:after="0"/>
              <w:rPr>
                <w:sz w:val="20"/>
                <w:szCs w:val="20"/>
                <w:color w:val="auto"/>
              </w:rPr>
            </w:pPr>
            <w:r>
              <w:rPr>
                <w:rFonts w:ascii="Arial" w:cs="Arial" w:eastAsia="Arial" w:hAnsi="Arial"/>
                <w:sz w:val="13"/>
                <w:szCs w:val="13"/>
                <w:color w:val="auto"/>
              </w:rPr>
              <w:t>-390,157</w:t>
            </w:r>
          </w:p>
        </w:tc>
        <w:tc>
          <w:tcPr>
            <w:tcW w:w="0" w:type="dxa"/>
            <w:vAlign w:val="bottom"/>
          </w:tcPr>
          <w:p>
            <w:pPr>
              <w:spacing w:after="0"/>
              <w:rPr>
                <w:sz w:val="1"/>
                <w:szCs w:val="1"/>
                <w:color w:val="auto"/>
              </w:rPr>
            </w:pPr>
          </w:p>
        </w:tc>
      </w:tr>
      <w:tr>
        <w:trPr>
          <w:trHeight w:val="85"/>
        </w:trPr>
        <w:tc>
          <w:tcPr>
            <w:tcW w:w="7520" w:type="dxa"/>
            <w:vAlign w:val="bottom"/>
            <w:vMerge w:val="restart"/>
          </w:tcPr>
          <w:p>
            <w:pPr>
              <w:ind w:left="180"/>
              <w:spacing w:after="0"/>
              <w:rPr>
                <w:sz w:val="20"/>
                <w:szCs w:val="20"/>
                <w:color w:val="auto"/>
              </w:rPr>
            </w:pPr>
            <w:r>
              <w:rPr>
                <w:rFonts w:ascii="Arial" w:cs="Arial" w:eastAsia="Arial" w:hAnsi="Arial"/>
                <w:sz w:val="13"/>
                <w:szCs w:val="13"/>
                <w:color w:val="auto"/>
              </w:rPr>
              <w:t>unvested as of the covered year-end</w:t>
            </w:r>
          </w:p>
        </w:tc>
        <w:tc>
          <w:tcPr>
            <w:tcW w:w="15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520" w:type="dxa"/>
            <w:vAlign w:val="bottom"/>
            <w:vMerge w:val="continue"/>
          </w:tcPr>
          <w:p>
            <w:pPr>
              <w:spacing w:after="0"/>
              <w:rPr>
                <w:sz w:val="7"/>
                <w:szCs w:val="7"/>
                <w:color w:val="auto"/>
              </w:rPr>
            </w:pPr>
          </w:p>
        </w:tc>
        <w:tc>
          <w:tcPr>
            <w:tcW w:w="15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3"/>
                <w:szCs w:val="13"/>
                <w:color w:val="auto"/>
              </w:rPr>
              <w:t>+ vesting date fair value of equity awards granted and vested in the covered year</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520" w:type="dxa"/>
            <w:vAlign w:val="bottom"/>
          </w:tcPr>
          <w:p>
            <w:pPr>
              <w:ind w:left="180"/>
              <w:spacing w:after="0"/>
              <w:rPr>
                <w:sz w:val="20"/>
                <w:szCs w:val="20"/>
                <w:color w:val="auto"/>
              </w:rPr>
            </w:pPr>
            <w:r>
              <w:rPr>
                <w:rFonts w:ascii="Arial" w:cs="Arial" w:eastAsia="Arial" w:hAnsi="Arial"/>
                <w:sz w:val="13"/>
                <w:szCs w:val="13"/>
                <w:color w:val="auto"/>
                <w:w w:val="96"/>
              </w:rPr>
              <w:t>[+/-] change in fair value (from prior year-end to vesting date) of equity awards granted in prior years that vested in the covered year</w:t>
            </w:r>
          </w:p>
        </w:tc>
        <w:tc>
          <w:tcPr>
            <w:tcW w:w="1540" w:type="dxa"/>
            <w:vAlign w:val="bottom"/>
          </w:tcPr>
          <w:p>
            <w:pPr>
              <w:jc w:val="right"/>
              <w:ind w:right="217"/>
              <w:spacing w:after="0"/>
              <w:rPr>
                <w:sz w:val="20"/>
                <w:szCs w:val="20"/>
                <w:color w:val="auto"/>
              </w:rPr>
            </w:pPr>
            <w:r>
              <w:rPr>
                <w:rFonts w:ascii="Arial" w:cs="Arial" w:eastAsia="Arial" w:hAnsi="Arial"/>
                <w:sz w:val="13"/>
                <w:szCs w:val="13"/>
                <w:color w:val="auto"/>
              </w:rPr>
              <w:t>-3,416,626</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-416,602</w:t>
            </w: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3"/>
                <w:szCs w:val="13"/>
                <w:color w:val="auto"/>
              </w:rPr>
              <w:t>- fair value as of prior-year end of equity awards granted in prior years that failed to vest in the covered year</w:t>
            </w:r>
          </w:p>
        </w:tc>
        <w:tc>
          <w:tcPr>
            <w:tcW w:w="1540" w:type="dxa"/>
            <w:vAlign w:val="bottom"/>
            <w:tcBorders>
              <w:bottom w:val="single" w:sz="8" w:color="F1F2F2"/>
            </w:tcBorders>
            <w:shd w:val="clear" w:color="auto" w:fill="F1F2F2"/>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Borders>
              <w:bottom w:val="single" w:sz="8" w:color="F1F2F2"/>
            </w:tcBorders>
            <w:shd w:val="clear" w:color="auto" w:fill="F1F2F2"/>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520" w:type="dxa"/>
            <w:vAlign w:val="bottom"/>
          </w:tcPr>
          <w:p>
            <w:pPr>
              <w:ind w:left="180"/>
              <w:spacing w:after="0"/>
              <w:rPr>
                <w:sz w:val="20"/>
                <w:szCs w:val="20"/>
                <w:color w:val="auto"/>
              </w:rPr>
            </w:pPr>
            <w:r>
              <w:rPr>
                <w:rFonts w:ascii="Arial" w:cs="Arial" w:eastAsia="Arial" w:hAnsi="Arial"/>
                <w:sz w:val="13"/>
                <w:szCs w:val="13"/>
                <w:color w:val="auto"/>
              </w:rPr>
              <w:t>+ dollar value of dividends/earnings paid on equity awards in the covered year</w:t>
            </w:r>
          </w:p>
        </w:tc>
        <w:tc>
          <w:tcPr>
            <w:tcW w:w="154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4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75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520" w:type="dxa"/>
            <w:vAlign w:val="bottom"/>
            <w:shd w:val="clear" w:color="auto" w:fill="F1F2F2"/>
          </w:tcPr>
          <w:p>
            <w:pPr>
              <w:ind w:left="100"/>
              <w:spacing w:after="0"/>
              <w:rPr>
                <w:sz w:val="20"/>
                <w:szCs w:val="20"/>
                <w:color w:val="auto"/>
              </w:rPr>
            </w:pPr>
            <w:r>
              <w:rPr>
                <w:rFonts w:ascii="Arial" w:cs="Arial" w:eastAsia="Arial" w:hAnsi="Arial"/>
                <w:sz w:val="13"/>
                <w:szCs w:val="13"/>
                <w:b w:val="1"/>
                <w:bCs w:val="1"/>
                <w:color w:val="auto"/>
              </w:rPr>
              <w:t>Compensation Actually Paid</w:t>
            </w:r>
          </w:p>
        </w:tc>
        <w:tc>
          <w:tcPr>
            <w:tcW w:w="1540" w:type="dxa"/>
            <w:vAlign w:val="bottom"/>
            <w:shd w:val="clear" w:color="auto" w:fill="F1F2F2"/>
          </w:tcPr>
          <w:p>
            <w:pPr>
              <w:jc w:val="right"/>
              <w:ind w:right="217"/>
              <w:spacing w:after="0"/>
              <w:rPr>
                <w:sz w:val="20"/>
                <w:szCs w:val="20"/>
                <w:color w:val="auto"/>
              </w:rPr>
            </w:pPr>
            <w:r>
              <w:rPr>
                <w:rFonts w:ascii="Arial" w:cs="Arial" w:eastAsia="Arial" w:hAnsi="Arial"/>
                <w:sz w:val="13"/>
                <w:szCs w:val="13"/>
                <w:b w:val="1"/>
                <w:bCs w:val="1"/>
                <w:color w:val="auto"/>
              </w:rPr>
              <w:t>1,717,504</w:t>
            </w:r>
          </w:p>
        </w:tc>
        <w:tc>
          <w:tcPr>
            <w:tcW w:w="1460" w:type="dxa"/>
            <w:vAlign w:val="bottom"/>
            <w:shd w:val="clear" w:color="auto" w:fill="F1F2F2"/>
          </w:tcPr>
          <w:p>
            <w:pPr>
              <w:jc w:val="right"/>
              <w:ind w:right="97"/>
              <w:spacing w:after="0"/>
              <w:rPr>
                <w:sz w:val="20"/>
                <w:szCs w:val="20"/>
                <w:color w:val="auto"/>
              </w:rPr>
            </w:pPr>
            <w:r>
              <w:rPr>
                <w:rFonts w:ascii="Arial" w:cs="Arial" w:eastAsia="Arial" w:hAnsi="Arial"/>
                <w:sz w:val="13"/>
                <w:szCs w:val="13"/>
                <w:b w:val="1"/>
                <w:bCs w:val="1"/>
                <w:color w:val="auto"/>
              </w:rPr>
              <w:t>1,359,278</w:t>
            </w:r>
          </w:p>
        </w:tc>
        <w:tc>
          <w:tcPr>
            <w:tcW w:w="0" w:type="dxa"/>
            <w:vAlign w:val="bottom"/>
          </w:tcPr>
          <w:p>
            <w:pPr>
              <w:spacing w:after="0"/>
              <w:rPr>
                <w:sz w:val="1"/>
                <w:szCs w:val="1"/>
                <w:color w:val="auto"/>
              </w:rPr>
            </w:pPr>
          </w:p>
        </w:tc>
      </w:tr>
      <w:tr>
        <w:trPr>
          <w:trHeight w:val="22"/>
        </w:trPr>
        <w:tc>
          <w:tcPr>
            <w:tcW w:w="7520" w:type="dxa"/>
            <w:vAlign w:val="bottom"/>
            <w:shd w:val="clear" w:color="auto" w:fill="F1F2F2"/>
          </w:tcPr>
          <w:p>
            <w:pPr>
              <w:spacing w:after="0" w:line="20" w:lineRule="exact"/>
              <w:rPr>
                <w:sz w:val="1"/>
                <w:szCs w:val="1"/>
                <w:color w:val="auto"/>
              </w:rPr>
            </w:pPr>
          </w:p>
        </w:tc>
        <w:tc>
          <w:tcPr>
            <w:tcW w:w="1540" w:type="dxa"/>
            <w:vAlign w:val="bottom"/>
            <w:shd w:val="clear" w:color="auto" w:fill="F1F2F2"/>
          </w:tcPr>
          <w:p>
            <w:pPr>
              <w:spacing w:after="0" w:line="20" w:lineRule="exact"/>
              <w:rPr>
                <w:sz w:val="1"/>
                <w:szCs w:val="1"/>
                <w:color w:val="auto"/>
              </w:rPr>
            </w:pPr>
          </w:p>
        </w:tc>
        <w:tc>
          <w:tcPr>
            <w:tcW w:w="1460" w:type="dxa"/>
            <w:vAlign w:val="bottom"/>
            <w:shd w:val="clear" w:color="auto" w:fill="F1F2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67" w:name="page68"/>
    <w:bookmarkEnd w:id="67"/>
    <w:p>
      <w:pPr>
        <w:ind w:left="340" w:right="660"/>
        <w:spacing w:after="0" w:line="305" w:lineRule="auto"/>
        <w:rPr>
          <w:sz w:val="20"/>
          <w:szCs w:val="20"/>
          <w:color w:val="auto"/>
        </w:rPr>
      </w:pPr>
      <w:r>
        <w:rPr>
          <w:rFonts w:ascii="Arial" w:cs="Arial" w:eastAsia="Arial" w:hAnsi="Arial"/>
          <w:sz w:val="14"/>
          <w:szCs w:val="14"/>
          <w:color w:val="auto"/>
        </w:rPr>
        <w:t>The fair values reflected for equity awards are calculated in a manner consistent with the methodology used to account for share-based payments in our financial statements, as described in Note 15 of the Consolidated Financial Statements for the fiscal year ended December 31, 2025, included in our Form 10-K.</w:t>
      </w:r>
    </w:p>
    <w:p>
      <w:pPr>
        <w:spacing w:after="0" w:line="50" w:lineRule="exact"/>
        <w:rPr>
          <w:sz w:val="20"/>
          <w:szCs w:val="20"/>
          <w:color w:val="auto"/>
        </w:rPr>
      </w:pPr>
    </w:p>
    <w:p>
      <w:pPr>
        <w:ind w:left="340" w:right="180" w:hanging="332"/>
        <w:spacing w:after="0" w:line="269" w:lineRule="auto"/>
        <w:tabs>
          <w:tab w:leader="none" w:pos="3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purposes of this pay versus performance disclosure, our peer group consists of the following entities for 2025, which are the same entities included in the peer group for 2024: A. O. Smith Corporation, Acuity Inc., Dover Corporation, Flowserve Corporation, Fortune Brands Innovations, Inc., Hubbell Incorporated, IDEX Corporation, Masco Corporation, Owens Corning, Pentair plc, Regal Rexnord Corporation, Rockwell Automation, Inc., Snap-On Incorporated, The Timken Company, and Xylem Inc. (the “Peer Group”).</w:t>
      </w:r>
    </w:p>
    <w:p>
      <w:pPr>
        <w:spacing w:after="0" w:line="74" w:lineRule="exact"/>
        <w:rPr>
          <w:rFonts w:ascii="Arial" w:cs="Arial" w:eastAsia="Arial" w:hAnsi="Arial"/>
          <w:sz w:val="14"/>
          <w:szCs w:val="14"/>
          <w:color w:val="auto"/>
        </w:rPr>
      </w:pPr>
    </w:p>
    <w:p>
      <w:pPr>
        <w:ind w:left="340" w:right="460" w:hanging="332"/>
        <w:spacing w:after="0" w:line="305" w:lineRule="auto"/>
        <w:tabs>
          <w:tab w:leader="none" w:pos="3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 2025, we elected to change our method of accounting for certain inventories, as more fully described in our Form 10-K. Net income for 2023 and 2024 reflects the retrospective application of this change.</w:t>
      </w:r>
    </w:p>
    <w:p>
      <w:pPr>
        <w:spacing w:after="0" w:line="36" w:lineRule="exact"/>
        <w:rPr>
          <w:rFonts w:ascii="Arial" w:cs="Arial" w:eastAsia="Arial" w:hAnsi="Arial"/>
          <w:sz w:val="14"/>
          <w:szCs w:val="14"/>
          <w:color w:val="auto"/>
        </w:rPr>
      </w:pPr>
    </w:p>
    <w:p>
      <w:pPr>
        <w:jc w:val="both"/>
        <w:ind w:left="340" w:hanging="332"/>
        <w:spacing w:after="0" w:line="283" w:lineRule="auto"/>
        <w:tabs>
          <w:tab w:leader="none" w:pos="327"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Company core net income, a non-GAAP financial measure, is income from continuing operations, adjusted for restructuring charges, certain legal charges and contingency adjustments, impairments on assets held for sale, gain (loss) on sale of previous dispositions, non-core business results, and certain other items. Prior years have not been adjusted for the accounting method change described in footnote (4), as compensation was determined based on the prior methodology.</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Pay Versus Performance Relationship Descriptions</w:t>
      </w:r>
    </w:p>
    <w:p>
      <w:pPr>
        <w:spacing w:after="0" w:line="108" w:lineRule="exact"/>
        <w:rPr>
          <w:sz w:val="20"/>
          <w:szCs w:val="20"/>
          <w:color w:val="auto"/>
        </w:rPr>
      </w:pPr>
    </w:p>
    <w:p>
      <w:pPr>
        <w:ind w:right="240" w:firstLine="324"/>
        <w:spacing w:after="0" w:line="247" w:lineRule="auto"/>
        <w:rPr>
          <w:sz w:val="20"/>
          <w:szCs w:val="20"/>
          <w:color w:val="auto"/>
        </w:rPr>
      </w:pPr>
      <w:r>
        <w:rPr>
          <w:rFonts w:ascii="Arial" w:cs="Arial" w:eastAsia="Arial" w:hAnsi="Arial"/>
          <w:sz w:val="18"/>
          <w:szCs w:val="18"/>
          <w:color w:val="auto"/>
        </w:rPr>
        <w:t>The following graphical comparisons provide descriptions of the relationships between certain figures included in the Pay Versus Performance table for each of 2025, 2024, 2023, 2022, and 2021, including: (a) a comparison between our cumulative total shareholder return and the total shareholder return of the Peer Group; and (b) comparisons between (i) the compensation actually paid to the three PEOs, and the average compensation actually paid to our non-PEO NEOs and (ii) each of the performance measures set forth in columns (f), (h) and (i) of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132715</wp:posOffset>
            </wp:positionV>
            <wp:extent cx="5254625" cy="27946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5462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500380</wp:posOffset>
            </wp:positionV>
            <wp:extent cx="5254625" cy="5854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254625" cy="585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Tabular List</w:t>
      </w:r>
    </w:p>
    <w:p>
      <w:pPr>
        <w:spacing w:after="0" w:line="277"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The following table lists the four financial performance measures that we believe represent the most important financial performance measures the Company used to link compensation actually paid to our NEOs for fiscal 2025 to our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92075</wp:posOffset>
            </wp:positionV>
            <wp:extent cx="4389120" cy="11055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89120" cy="1105535"/>
                    </a:xfrm>
                    <a:prstGeom prst="rect">
                      <a:avLst/>
                    </a:prstGeom>
                    <a:noFill/>
                  </pic:spPr>
                </pic:pic>
              </a:graphicData>
            </a:graphic>
          </wp:anchor>
        </w:drawing>
      </w:r>
    </w:p>
    <w:p>
      <w:pPr>
        <w:spacing w:after="0" w:line="14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Company Core Net Income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ROIC</w:t>
      </w:r>
    </w:p>
    <w:p>
      <w:pPr>
        <w:spacing w:after="0" w:line="22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Company Free Cash Flow</w:t>
      </w: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type w:val="continuous"/>
        </w:sectPr>
      </w:pPr>
    </w:p>
    <w:bookmarkStart w:id="69" w:name="page70"/>
    <w:bookmarkEnd w:id="69"/>
    <w:p>
      <w:pPr>
        <w:jc w:val="center"/>
        <w:ind w:right="-19"/>
        <w:spacing w:after="0"/>
        <w:rPr>
          <w:sz w:val="20"/>
          <w:szCs w:val="20"/>
          <w:color w:val="auto"/>
        </w:rPr>
      </w:pPr>
      <w:r>
        <w:rPr>
          <w:rFonts w:ascii="Arial" w:cs="Arial" w:eastAsia="Arial" w:hAnsi="Arial"/>
          <w:sz w:val="29"/>
          <w:szCs w:val="29"/>
          <w:b w:val="1"/>
          <w:bCs w:val="1"/>
          <w:color w:val="C6093B"/>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currently administer two equity compensation plans: the 2019 Equity and Incentive Compensation Plan and the 2022 Employee Stock Purchase Plan. The following table provides information as of December 31, 2025, regarding shares of our common stock that may be issued under these equity compensation plans.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612"/>
        </w:trPr>
        <w:tc>
          <w:tcPr>
            <w:tcW w:w="4840" w:type="dxa"/>
            <w:vAlign w:val="bottom"/>
            <w:shd w:val="clear" w:color="auto" w:fill="C60C35"/>
          </w:tcPr>
          <w:p>
            <w:pPr>
              <w:spacing w:after="0"/>
              <w:rPr>
                <w:sz w:val="24"/>
                <w:szCs w:val="24"/>
                <w:color w:val="auto"/>
              </w:rPr>
            </w:pP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Number of Securities to</w:t>
            </w:r>
          </w:p>
        </w:tc>
        <w:tc>
          <w:tcPr>
            <w:tcW w:w="140" w:type="dxa"/>
            <w:vAlign w:val="bottom"/>
            <w:shd w:val="clear" w:color="auto" w:fill="C60C35"/>
          </w:tcPr>
          <w:p>
            <w:pPr>
              <w:spacing w:after="0"/>
              <w:rPr>
                <w:sz w:val="24"/>
                <w:szCs w:val="24"/>
                <w:color w:val="auto"/>
              </w:rPr>
            </w:pPr>
          </w:p>
        </w:tc>
        <w:tc>
          <w:tcPr>
            <w:tcW w:w="160" w:type="dxa"/>
            <w:vAlign w:val="bottom"/>
            <w:shd w:val="clear" w:color="auto" w:fill="C60C35"/>
          </w:tcPr>
          <w:p>
            <w:pPr>
              <w:spacing w:after="0"/>
              <w:rPr>
                <w:sz w:val="24"/>
                <w:szCs w:val="24"/>
                <w:color w:val="auto"/>
              </w:rPr>
            </w:pPr>
          </w:p>
        </w:tc>
        <w:tc>
          <w:tcPr>
            <w:tcW w:w="1580" w:type="dxa"/>
            <w:vAlign w:val="bottom"/>
            <w:shd w:val="clear" w:color="auto" w:fill="C60C35"/>
          </w:tcPr>
          <w:p>
            <w:pPr>
              <w:spacing w:after="0"/>
              <w:rPr>
                <w:sz w:val="24"/>
                <w:szCs w:val="24"/>
                <w:color w:val="auto"/>
              </w:rPr>
            </w:pPr>
          </w:p>
        </w:tc>
        <w:tc>
          <w:tcPr>
            <w:tcW w:w="280" w:type="dxa"/>
            <w:vAlign w:val="bottom"/>
            <w:shd w:val="clear" w:color="auto" w:fill="C60C35"/>
          </w:tcPr>
          <w:p>
            <w:pPr>
              <w:spacing w:after="0"/>
              <w:rPr>
                <w:sz w:val="24"/>
                <w:szCs w:val="24"/>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Number of Securities Remaining</w:t>
            </w:r>
          </w:p>
        </w:tc>
        <w:tc>
          <w:tcPr>
            <w:tcW w:w="0" w:type="dxa"/>
            <w:vAlign w:val="bottom"/>
          </w:tcPr>
          <w:p>
            <w:pPr>
              <w:spacing w:after="0"/>
              <w:rPr>
                <w:sz w:val="1"/>
                <w:szCs w:val="1"/>
                <w:color w:val="auto"/>
              </w:rPr>
            </w:pPr>
          </w:p>
        </w:tc>
      </w:tr>
      <w:tr>
        <w:trPr>
          <w:trHeight w:val="175"/>
        </w:trPr>
        <w:tc>
          <w:tcPr>
            <w:tcW w:w="4840" w:type="dxa"/>
            <w:vAlign w:val="bottom"/>
            <w:shd w:val="clear" w:color="auto" w:fill="C60C35"/>
          </w:tcPr>
          <w:p>
            <w:pPr>
              <w:spacing w:after="0"/>
              <w:rPr>
                <w:sz w:val="15"/>
                <w:szCs w:val="15"/>
                <w:color w:val="auto"/>
              </w:rPr>
            </w:pP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be Issued Upon</w:t>
            </w:r>
          </w:p>
        </w:tc>
        <w:tc>
          <w:tcPr>
            <w:tcW w:w="140" w:type="dxa"/>
            <w:vAlign w:val="bottom"/>
            <w:shd w:val="clear" w:color="auto" w:fill="C60C35"/>
          </w:tcPr>
          <w:p>
            <w:pPr>
              <w:spacing w:after="0"/>
              <w:rPr>
                <w:sz w:val="15"/>
                <w:szCs w:val="15"/>
                <w:color w:val="auto"/>
              </w:rPr>
            </w:pPr>
          </w:p>
        </w:tc>
        <w:tc>
          <w:tcPr>
            <w:tcW w:w="160" w:type="dxa"/>
            <w:vAlign w:val="bottom"/>
            <w:shd w:val="clear" w:color="auto" w:fill="C60C35"/>
          </w:tcPr>
          <w:p>
            <w:pPr>
              <w:spacing w:after="0"/>
              <w:rPr>
                <w:sz w:val="15"/>
                <w:szCs w:val="15"/>
                <w:color w:val="auto"/>
              </w:rPr>
            </w:pPr>
          </w:p>
        </w:tc>
        <w:tc>
          <w:tcPr>
            <w:tcW w:w="15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80" w:type="dxa"/>
            <w:vAlign w:val="bottom"/>
            <w:shd w:val="clear" w:color="auto" w:fill="C60C35"/>
          </w:tcPr>
          <w:p>
            <w:pPr>
              <w:spacing w:after="0"/>
              <w:rPr>
                <w:sz w:val="15"/>
                <w:szCs w:val="15"/>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Available for Future Issuance</w:t>
            </w:r>
          </w:p>
        </w:tc>
        <w:tc>
          <w:tcPr>
            <w:tcW w:w="0" w:type="dxa"/>
            <w:vAlign w:val="bottom"/>
          </w:tcPr>
          <w:p>
            <w:pPr>
              <w:spacing w:after="0"/>
              <w:rPr>
                <w:sz w:val="1"/>
                <w:szCs w:val="1"/>
                <w:color w:val="auto"/>
              </w:rPr>
            </w:pPr>
          </w:p>
        </w:tc>
      </w:tr>
      <w:tr>
        <w:trPr>
          <w:trHeight w:val="176"/>
        </w:trPr>
        <w:tc>
          <w:tcPr>
            <w:tcW w:w="4840" w:type="dxa"/>
            <w:vAlign w:val="bottom"/>
            <w:shd w:val="clear" w:color="auto" w:fill="C60C35"/>
          </w:tcPr>
          <w:p>
            <w:pPr>
              <w:spacing w:after="0"/>
              <w:rPr>
                <w:sz w:val="15"/>
                <w:szCs w:val="15"/>
                <w:color w:val="auto"/>
              </w:rPr>
            </w:pP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Exercise of Outstanding</w:t>
            </w:r>
          </w:p>
        </w:tc>
        <w:tc>
          <w:tcPr>
            <w:tcW w:w="140" w:type="dxa"/>
            <w:vAlign w:val="bottom"/>
            <w:shd w:val="clear" w:color="auto" w:fill="C60C35"/>
          </w:tcPr>
          <w:p>
            <w:pPr>
              <w:spacing w:after="0"/>
              <w:rPr>
                <w:sz w:val="15"/>
                <w:szCs w:val="15"/>
                <w:color w:val="auto"/>
              </w:rPr>
            </w:pPr>
          </w:p>
        </w:tc>
        <w:tc>
          <w:tcPr>
            <w:tcW w:w="160" w:type="dxa"/>
            <w:vAlign w:val="bottom"/>
            <w:shd w:val="clear" w:color="auto" w:fill="C60C35"/>
          </w:tcPr>
          <w:p>
            <w:pPr>
              <w:spacing w:after="0"/>
              <w:rPr>
                <w:sz w:val="15"/>
                <w:szCs w:val="15"/>
                <w:color w:val="auto"/>
              </w:rPr>
            </w:pPr>
          </w:p>
        </w:tc>
        <w:tc>
          <w:tcPr>
            <w:tcW w:w="15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Exercise Price of</w:t>
            </w:r>
          </w:p>
        </w:tc>
        <w:tc>
          <w:tcPr>
            <w:tcW w:w="280" w:type="dxa"/>
            <w:vAlign w:val="bottom"/>
            <w:shd w:val="clear" w:color="auto" w:fill="C60C35"/>
          </w:tcPr>
          <w:p>
            <w:pPr>
              <w:spacing w:after="0"/>
              <w:rPr>
                <w:sz w:val="15"/>
                <w:szCs w:val="15"/>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Under Equity Compensation</w:t>
            </w:r>
          </w:p>
        </w:tc>
        <w:tc>
          <w:tcPr>
            <w:tcW w:w="0" w:type="dxa"/>
            <w:vAlign w:val="bottom"/>
          </w:tcPr>
          <w:p>
            <w:pPr>
              <w:spacing w:after="0"/>
              <w:rPr>
                <w:sz w:val="1"/>
                <w:szCs w:val="1"/>
                <w:color w:val="auto"/>
              </w:rPr>
            </w:pPr>
          </w:p>
        </w:tc>
      </w:tr>
      <w:tr>
        <w:trPr>
          <w:trHeight w:val="173"/>
        </w:trPr>
        <w:tc>
          <w:tcPr>
            <w:tcW w:w="4840" w:type="dxa"/>
            <w:vAlign w:val="bottom"/>
            <w:shd w:val="clear" w:color="auto" w:fill="C60C35"/>
          </w:tcPr>
          <w:p>
            <w:pPr>
              <w:spacing w:after="0"/>
              <w:rPr>
                <w:sz w:val="15"/>
                <w:szCs w:val="15"/>
                <w:color w:val="auto"/>
              </w:rPr>
            </w:pP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Options, Warrants and</w:t>
            </w:r>
          </w:p>
        </w:tc>
        <w:tc>
          <w:tcPr>
            <w:tcW w:w="140" w:type="dxa"/>
            <w:vAlign w:val="bottom"/>
            <w:shd w:val="clear" w:color="auto" w:fill="C60C35"/>
          </w:tcPr>
          <w:p>
            <w:pPr>
              <w:spacing w:after="0"/>
              <w:rPr>
                <w:sz w:val="15"/>
                <w:szCs w:val="15"/>
                <w:color w:val="auto"/>
              </w:rPr>
            </w:pPr>
          </w:p>
        </w:tc>
        <w:tc>
          <w:tcPr>
            <w:tcW w:w="160" w:type="dxa"/>
            <w:vAlign w:val="bottom"/>
            <w:shd w:val="clear" w:color="auto" w:fill="C60C35"/>
          </w:tcPr>
          <w:p>
            <w:pPr>
              <w:spacing w:after="0"/>
              <w:rPr>
                <w:sz w:val="15"/>
                <w:szCs w:val="15"/>
                <w:color w:val="auto"/>
              </w:rPr>
            </w:pPr>
          </w:p>
        </w:tc>
        <w:tc>
          <w:tcPr>
            <w:tcW w:w="15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Outstanding Options,</w:t>
            </w:r>
          </w:p>
        </w:tc>
        <w:tc>
          <w:tcPr>
            <w:tcW w:w="280" w:type="dxa"/>
            <w:vAlign w:val="bottom"/>
            <w:shd w:val="clear" w:color="auto" w:fill="C60C35"/>
          </w:tcPr>
          <w:p>
            <w:pPr>
              <w:spacing w:after="0"/>
              <w:rPr>
                <w:sz w:val="15"/>
                <w:szCs w:val="15"/>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Plans (excluding securities</w:t>
            </w:r>
          </w:p>
        </w:tc>
        <w:tc>
          <w:tcPr>
            <w:tcW w:w="0" w:type="dxa"/>
            <w:vAlign w:val="bottom"/>
          </w:tcPr>
          <w:p>
            <w:pPr>
              <w:spacing w:after="0"/>
              <w:rPr>
                <w:sz w:val="1"/>
                <w:szCs w:val="1"/>
                <w:color w:val="auto"/>
              </w:rPr>
            </w:pPr>
          </w:p>
        </w:tc>
      </w:tr>
      <w:tr>
        <w:trPr>
          <w:trHeight w:val="214"/>
        </w:trPr>
        <w:tc>
          <w:tcPr>
            <w:tcW w:w="4840" w:type="dxa"/>
            <w:vAlign w:val="bottom"/>
            <w:shd w:val="clear" w:color="auto" w:fill="C60C35"/>
          </w:tcPr>
          <w:p>
            <w:pPr>
              <w:spacing w:after="0"/>
              <w:rPr>
                <w:sz w:val="18"/>
                <w:szCs w:val="18"/>
                <w:color w:val="auto"/>
              </w:rPr>
            </w:pP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Rights</w:t>
            </w:r>
            <w:r>
              <w:rPr>
                <w:rFonts w:ascii="Arial" w:cs="Arial" w:eastAsia="Arial" w:hAnsi="Arial"/>
                <w:sz w:val="18"/>
                <w:szCs w:val="18"/>
                <w:b w:val="1"/>
                <w:bCs w:val="1"/>
                <w:color w:val="FFFFFF"/>
                <w:vertAlign w:val="superscript"/>
              </w:rPr>
              <w:t>(1)</w:t>
            </w:r>
          </w:p>
        </w:tc>
        <w:tc>
          <w:tcPr>
            <w:tcW w:w="140" w:type="dxa"/>
            <w:vAlign w:val="bottom"/>
            <w:shd w:val="clear" w:color="auto" w:fill="C60C35"/>
          </w:tcPr>
          <w:p>
            <w:pPr>
              <w:spacing w:after="0"/>
              <w:rPr>
                <w:sz w:val="18"/>
                <w:szCs w:val="18"/>
                <w:color w:val="auto"/>
              </w:rPr>
            </w:pPr>
          </w:p>
        </w:tc>
        <w:tc>
          <w:tcPr>
            <w:tcW w:w="160" w:type="dxa"/>
            <w:vAlign w:val="bottom"/>
            <w:shd w:val="clear" w:color="auto" w:fill="C60C35"/>
          </w:tcPr>
          <w:p>
            <w:pPr>
              <w:spacing w:after="0"/>
              <w:rPr>
                <w:sz w:val="18"/>
                <w:szCs w:val="18"/>
                <w:color w:val="auto"/>
              </w:rPr>
            </w:pPr>
          </w:p>
        </w:tc>
        <w:tc>
          <w:tcPr>
            <w:tcW w:w="15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Warrants and Rights</w:t>
            </w:r>
            <w:r>
              <w:rPr>
                <w:rFonts w:ascii="Arial" w:cs="Arial" w:eastAsia="Arial" w:hAnsi="Arial"/>
                <w:sz w:val="18"/>
                <w:szCs w:val="18"/>
                <w:b w:val="1"/>
                <w:bCs w:val="1"/>
                <w:color w:val="FFFFFF"/>
                <w:vertAlign w:val="superscript"/>
              </w:rPr>
              <w:t>(2)</w:t>
            </w:r>
          </w:p>
        </w:tc>
        <w:tc>
          <w:tcPr>
            <w:tcW w:w="280" w:type="dxa"/>
            <w:vAlign w:val="bottom"/>
            <w:shd w:val="clear" w:color="auto" w:fill="C60C35"/>
          </w:tcPr>
          <w:p>
            <w:pPr>
              <w:spacing w:after="0"/>
              <w:rPr>
                <w:sz w:val="18"/>
                <w:szCs w:val="18"/>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reflected in column (a))</w:t>
            </w:r>
            <w:r>
              <w:rPr>
                <w:rFonts w:ascii="Arial" w:cs="Arial" w:eastAsia="Arial" w:hAnsi="Arial"/>
                <w:sz w:val="18"/>
                <w:szCs w:val="18"/>
                <w:b w:val="1"/>
                <w:bCs w:val="1"/>
                <w:color w:val="FFFFFF"/>
                <w:vertAlign w:val="superscript"/>
              </w:rPr>
              <w:t>(3)</w:t>
            </w:r>
          </w:p>
        </w:tc>
        <w:tc>
          <w:tcPr>
            <w:tcW w:w="0" w:type="dxa"/>
            <w:vAlign w:val="bottom"/>
          </w:tcPr>
          <w:p>
            <w:pPr>
              <w:spacing w:after="0"/>
              <w:rPr>
                <w:sz w:val="1"/>
                <w:szCs w:val="1"/>
                <w:color w:val="auto"/>
              </w:rPr>
            </w:pPr>
          </w:p>
        </w:tc>
      </w:tr>
      <w:tr>
        <w:trPr>
          <w:trHeight w:val="214"/>
        </w:trPr>
        <w:tc>
          <w:tcPr>
            <w:tcW w:w="48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Plan Category</w:t>
            </w:r>
          </w:p>
        </w:tc>
        <w:tc>
          <w:tcPr>
            <w:tcW w:w="172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w:t>
            </w:r>
          </w:p>
        </w:tc>
        <w:tc>
          <w:tcPr>
            <w:tcW w:w="140" w:type="dxa"/>
            <w:vAlign w:val="bottom"/>
            <w:shd w:val="clear" w:color="auto" w:fill="C60C35"/>
          </w:tcPr>
          <w:p>
            <w:pPr>
              <w:spacing w:after="0"/>
              <w:rPr>
                <w:sz w:val="18"/>
                <w:szCs w:val="18"/>
                <w:color w:val="auto"/>
              </w:rPr>
            </w:pPr>
          </w:p>
        </w:tc>
        <w:tc>
          <w:tcPr>
            <w:tcW w:w="160" w:type="dxa"/>
            <w:vAlign w:val="bottom"/>
            <w:shd w:val="clear" w:color="auto" w:fill="C60C35"/>
          </w:tcPr>
          <w:p>
            <w:pPr>
              <w:spacing w:after="0"/>
              <w:rPr>
                <w:sz w:val="18"/>
                <w:szCs w:val="18"/>
                <w:color w:val="auto"/>
              </w:rPr>
            </w:pPr>
          </w:p>
        </w:tc>
        <w:tc>
          <w:tcPr>
            <w:tcW w:w="15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(b)</w:t>
            </w:r>
          </w:p>
        </w:tc>
        <w:tc>
          <w:tcPr>
            <w:tcW w:w="280" w:type="dxa"/>
            <w:vAlign w:val="bottom"/>
            <w:shd w:val="clear" w:color="auto" w:fill="C60C35"/>
          </w:tcPr>
          <w:p>
            <w:pPr>
              <w:spacing w:after="0"/>
              <w:rPr>
                <w:sz w:val="18"/>
                <w:szCs w:val="18"/>
                <w:color w:val="auto"/>
              </w:rPr>
            </w:pPr>
          </w:p>
        </w:tc>
        <w:tc>
          <w:tcPr>
            <w:tcW w:w="250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w:t>
            </w:r>
          </w:p>
        </w:tc>
        <w:tc>
          <w:tcPr>
            <w:tcW w:w="0" w:type="dxa"/>
            <w:vAlign w:val="bottom"/>
          </w:tcPr>
          <w:p>
            <w:pPr>
              <w:spacing w:after="0"/>
              <w:rPr>
                <w:sz w:val="1"/>
                <w:szCs w:val="1"/>
                <w:color w:val="auto"/>
              </w:rPr>
            </w:pPr>
          </w:p>
        </w:tc>
      </w:tr>
      <w:tr>
        <w:trPr>
          <w:trHeight w:val="110"/>
        </w:trPr>
        <w:tc>
          <w:tcPr>
            <w:tcW w:w="4840" w:type="dxa"/>
            <w:vAlign w:val="bottom"/>
            <w:shd w:val="clear" w:color="auto" w:fill="C60C35"/>
          </w:tcPr>
          <w:p>
            <w:pPr>
              <w:spacing w:after="0"/>
              <w:rPr>
                <w:sz w:val="9"/>
                <w:szCs w:val="9"/>
                <w:color w:val="auto"/>
              </w:rPr>
            </w:pPr>
          </w:p>
        </w:tc>
        <w:tc>
          <w:tcPr>
            <w:tcW w:w="1720" w:type="dxa"/>
            <w:vAlign w:val="bottom"/>
            <w:shd w:val="clear" w:color="auto" w:fill="C60C35"/>
          </w:tcPr>
          <w:p>
            <w:pPr>
              <w:spacing w:after="0"/>
              <w:rPr>
                <w:sz w:val="9"/>
                <w:szCs w:val="9"/>
                <w:color w:val="auto"/>
              </w:rPr>
            </w:pPr>
          </w:p>
        </w:tc>
        <w:tc>
          <w:tcPr>
            <w:tcW w:w="140" w:type="dxa"/>
            <w:vAlign w:val="bottom"/>
            <w:shd w:val="clear" w:color="auto" w:fill="C60C35"/>
          </w:tcPr>
          <w:p>
            <w:pPr>
              <w:spacing w:after="0"/>
              <w:rPr>
                <w:sz w:val="9"/>
                <w:szCs w:val="9"/>
                <w:color w:val="auto"/>
              </w:rPr>
            </w:pPr>
          </w:p>
        </w:tc>
        <w:tc>
          <w:tcPr>
            <w:tcW w:w="160" w:type="dxa"/>
            <w:vAlign w:val="bottom"/>
            <w:shd w:val="clear" w:color="auto" w:fill="C60C35"/>
          </w:tcPr>
          <w:p>
            <w:pPr>
              <w:spacing w:after="0"/>
              <w:rPr>
                <w:sz w:val="9"/>
                <w:szCs w:val="9"/>
                <w:color w:val="auto"/>
              </w:rPr>
            </w:pPr>
          </w:p>
        </w:tc>
        <w:tc>
          <w:tcPr>
            <w:tcW w:w="1580" w:type="dxa"/>
            <w:vAlign w:val="bottom"/>
            <w:shd w:val="clear" w:color="auto" w:fill="C60C35"/>
          </w:tcPr>
          <w:p>
            <w:pPr>
              <w:spacing w:after="0"/>
              <w:rPr>
                <w:sz w:val="9"/>
                <w:szCs w:val="9"/>
                <w:color w:val="auto"/>
              </w:rPr>
            </w:pPr>
          </w:p>
        </w:tc>
        <w:tc>
          <w:tcPr>
            <w:tcW w:w="280" w:type="dxa"/>
            <w:vAlign w:val="bottom"/>
            <w:shd w:val="clear" w:color="auto" w:fill="C60C35"/>
          </w:tcPr>
          <w:p>
            <w:pPr>
              <w:spacing w:after="0"/>
              <w:rPr>
                <w:sz w:val="9"/>
                <w:szCs w:val="9"/>
                <w:color w:val="auto"/>
              </w:rPr>
            </w:pPr>
          </w:p>
        </w:tc>
        <w:tc>
          <w:tcPr>
            <w:tcW w:w="2500" w:type="dxa"/>
            <w:vAlign w:val="bottom"/>
            <w:shd w:val="clear" w:color="auto" w:fill="C60C35"/>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Equity compensation plans approved by security holders</w:t>
            </w:r>
          </w:p>
        </w:tc>
        <w:tc>
          <w:tcPr>
            <w:tcW w:w="1720" w:type="dxa"/>
            <w:vAlign w:val="bottom"/>
            <w:tcBorders>
              <w:bottom w:val="single" w:sz="8" w:color="F1F2F2"/>
            </w:tcBorders>
            <w:shd w:val="clear" w:color="auto" w:fill="F1F2F2"/>
          </w:tcPr>
          <w:p>
            <w:pPr>
              <w:spacing w:after="0"/>
              <w:rPr>
                <w:sz w:val="18"/>
                <w:szCs w:val="18"/>
                <w:color w:val="auto"/>
              </w:rPr>
            </w:pPr>
          </w:p>
        </w:tc>
        <w:tc>
          <w:tcPr>
            <w:tcW w:w="140" w:type="dxa"/>
            <w:vAlign w:val="bottom"/>
            <w:tcBorders>
              <w:bottom w:val="single" w:sz="8" w:color="F1F2F2"/>
            </w:tcBorders>
            <w:shd w:val="clear" w:color="auto" w:fill="F1F2F2"/>
          </w:tcPr>
          <w:p>
            <w:pPr>
              <w:spacing w:after="0"/>
              <w:rPr>
                <w:sz w:val="18"/>
                <w:szCs w:val="18"/>
                <w:color w:val="auto"/>
              </w:rPr>
            </w:pPr>
          </w:p>
        </w:tc>
        <w:tc>
          <w:tcPr>
            <w:tcW w:w="160" w:type="dxa"/>
            <w:vAlign w:val="bottom"/>
            <w:tcBorders>
              <w:bottom w:val="single" w:sz="8" w:color="F1F2F2"/>
            </w:tcBorders>
            <w:shd w:val="clear" w:color="auto" w:fill="F1F2F2"/>
          </w:tcPr>
          <w:p>
            <w:pPr>
              <w:spacing w:after="0"/>
              <w:rPr>
                <w:sz w:val="18"/>
                <w:szCs w:val="18"/>
                <w:color w:val="auto"/>
              </w:rPr>
            </w:pPr>
          </w:p>
        </w:tc>
        <w:tc>
          <w:tcPr>
            <w:tcW w:w="1580" w:type="dxa"/>
            <w:vAlign w:val="bottom"/>
            <w:tcBorders>
              <w:bottom w:val="single" w:sz="8" w:color="F1F2F2"/>
            </w:tcBorders>
            <w:shd w:val="clear" w:color="auto" w:fill="F1F2F2"/>
          </w:tcPr>
          <w:p>
            <w:pPr>
              <w:spacing w:after="0"/>
              <w:rPr>
                <w:sz w:val="18"/>
                <w:szCs w:val="18"/>
                <w:color w:val="auto"/>
              </w:rPr>
            </w:pPr>
          </w:p>
        </w:tc>
        <w:tc>
          <w:tcPr>
            <w:tcW w:w="280" w:type="dxa"/>
            <w:vAlign w:val="bottom"/>
            <w:tcBorders>
              <w:bottom w:val="single" w:sz="8" w:color="F1F2F2"/>
            </w:tcBorders>
            <w:shd w:val="clear" w:color="auto" w:fill="F1F2F2"/>
          </w:tcPr>
          <w:p>
            <w:pPr>
              <w:spacing w:after="0"/>
              <w:rPr>
                <w:sz w:val="18"/>
                <w:szCs w:val="18"/>
                <w:color w:val="auto"/>
              </w:rPr>
            </w:pPr>
          </w:p>
        </w:tc>
        <w:tc>
          <w:tcPr>
            <w:tcW w:w="2500" w:type="dxa"/>
            <w:vAlign w:val="bottom"/>
            <w:tcBorders>
              <w:bottom w:val="single" w:sz="8" w:color="F1F2F2"/>
            </w:tcBorders>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4840" w:type="dxa"/>
            <w:vAlign w:val="bottom"/>
            <w:vMerge w:val="restart"/>
          </w:tcPr>
          <w:p>
            <w:pPr>
              <w:ind w:left="360"/>
              <w:spacing w:after="0"/>
              <w:rPr>
                <w:sz w:val="20"/>
                <w:szCs w:val="20"/>
                <w:color w:val="auto"/>
              </w:rPr>
            </w:pPr>
            <w:r>
              <w:rPr>
                <w:rFonts w:ascii="Arial" w:cs="Arial" w:eastAsia="Arial" w:hAnsi="Arial"/>
                <w:sz w:val="14"/>
                <w:szCs w:val="14"/>
                <w:color w:val="auto"/>
              </w:rPr>
              <w:t>•   2019 Equity and Incentive Compensation Plan</w:t>
            </w:r>
          </w:p>
        </w:tc>
        <w:tc>
          <w:tcPr>
            <w:tcW w:w="1720" w:type="dxa"/>
            <w:vAlign w:val="bottom"/>
            <w:vMerge w:val="restart"/>
          </w:tcPr>
          <w:p>
            <w:pPr>
              <w:jc w:val="right"/>
              <w:spacing w:after="0"/>
              <w:rPr>
                <w:sz w:val="20"/>
                <w:szCs w:val="20"/>
                <w:color w:val="auto"/>
              </w:rPr>
            </w:pPr>
            <w:r>
              <w:rPr>
                <w:rFonts w:ascii="Arial" w:cs="Arial" w:eastAsia="Arial" w:hAnsi="Arial"/>
                <w:sz w:val="14"/>
                <w:szCs w:val="14"/>
                <w:color w:val="auto"/>
              </w:rPr>
              <w:t>270,127</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580" w:type="dxa"/>
            <w:vAlign w:val="bottom"/>
            <w:vMerge w:val="restart"/>
          </w:tcPr>
          <w:p>
            <w:pPr>
              <w:jc w:val="right"/>
              <w:ind w:right="8"/>
              <w:spacing w:after="0"/>
              <w:rPr>
                <w:sz w:val="20"/>
                <w:szCs w:val="20"/>
                <w:color w:val="auto"/>
              </w:rPr>
            </w:pPr>
            <w:r>
              <w:rPr>
                <w:rFonts w:ascii="Arial" w:cs="Arial" w:eastAsia="Arial" w:hAnsi="Arial"/>
                <w:sz w:val="14"/>
                <w:szCs w:val="14"/>
                <w:color w:val="auto"/>
              </w:rPr>
              <w:t>355.72</w:t>
            </w:r>
          </w:p>
        </w:tc>
        <w:tc>
          <w:tcPr>
            <w:tcW w:w="280" w:type="dxa"/>
            <w:vAlign w:val="bottom"/>
          </w:tcPr>
          <w:p>
            <w:pPr>
              <w:jc w:val="right"/>
              <w:spacing w:after="0"/>
              <w:rPr>
                <w:sz w:val="20"/>
                <w:szCs w:val="20"/>
                <w:color w:val="auto"/>
              </w:rPr>
            </w:pPr>
            <w:r>
              <w:rPr>
                <w:rFonts w:ascii="Arial" w:cs="Arial" w:eastAsia="Arial" w:hAnsi="Arial"/>
                <w:sz w:val="9"/>
                <w:szCs w:val="9"/>
                <w:color w:val="auto"/>
              </w:rPr>
              <w:t>(4)</w:t>
            </w:r>
          </w:p>
        </w:tc>
        <w:tc>
          <w:tcPr>
            <w:tcW w:w="2500" w:type="dxa"/>
            <w:vAlign w:val="bottom"/>
            <w:vMerge w:val="restart"/>
          </w:tcPr>
          <w:p>
            <w:pPr>
              <w:jc w:val="right"/>
              <w:ind w:right="88"/>
              <w:spacing w:after="0"/>
              <w:rPr>
                <w:sz w:val="20"/>
                <w:szCs w:val="20"/>
                <w:color w:val="auto"/>
              </w:rPr>
            </w:pPr>
            <w:r>
              <w:rPr>
                <w:rFonts w:ascii="Arial" w:cs="Arial" w:eastAsia="Arial" w:hAnsi="Arial"/>
                <w:sz w:val="14"/>
                <w:szCs w:val="14"/>
                <w:color w:val="auto"/>
              </w:rPr>
              <w:t>1,611,670</w:t>
            </w:r>
          </w:p>
        </w:tc>
        <w:tc>
          <w:tcPr>
            <w:tcW w:w="0" w:type="dxa"/>
            <w:vAlign w:val="bottom"/>
          </w:tcPr>
          <w:p>
            <w:pPr>
              <w:spacing w:after="0"/>
              <w:rPr>
                <w:sz w:val="1"/>
                <w:szCs w:val="1"/>
                <w:color w:val="auto"/>
              </w:rPr>
            </w:pPr>
          </w:p>
        </w:tc>
      </w:tr>
      <w:tr>
        <w:trPr>
          <w:trHeight w:val="85"/>
        </w:trPr>
        <w:tc>
          <w:tcPr>
            <w:tcW w:w="48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tcBorders>
              <w:bottom w:val="single" w:sz="8" w:color="F1F2F2"/>
            </w:tcBorders>
            <w:shd w:val="clear" w:color="auto" w:fill="F1F2F2"/>
          </w:tcPr>
          <w:p>
            <w:pPr>
              <w:ind w:left="360"/>
              <w:spacing w:after="0"/>
              <w:rPr>
                <w:sz w:val="20"/>
                <w:szCs w:val="20"/>
                <w:color w:val="auto"/>
              </w:rPr>
            </w:pPr>
            <w:r>
              <w:rPr>
                <w:rFonts w:ascii="Arial" w:cs="Arial" w:eastAsia="Arial" w:hAnsi="Arial"/>
                <w:sz w:val="14"/>
                <w:szCs w:val="14"/>
                <w:color w:val="auto"/>
              </w:rPr>
              <w:t>•   2022 Employee Stock Purchase Plan</w:t>
            </w:r>
          </w:p>
        </w:tc>
        <w:tc>
          <w:tcPr>
            <w:tcW w:w="172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F1F2F2"/>
            </w:tcBorders>
            <w:shd w:val="clear" w:color="auto" w:fill="F1F2F2"/>
          </w:tcPr>
          <w:p>
            <w:pPr>
              <w:spacing w:after="0"/>
              <w:rPr>
                <w:sz w:val="18"/>
                <w:szCs w:val="18"/>
                <w:color w:val="auto"/>
              </w:rPr>
            </w:pPr>
          </w:p>
        </w:tc>
        <w:tc>
          <w:tcPr>
            <w:tcW w:w="160" w:type="dxa"/>
            <w:vAlign w:val="bottom"/>
            <w:tcBorders>
              <w:bottom w:val="single" w:sz="8" w:color="F1F2F2"/>
            </w:tcBorders>
            <w:shd w:val="clear" w:color="auto" w:fill="F1F2F2"/>
          </w:tcPr>
          <w:p>
            <w:pPr>
              <w:spacing w:after="0"/>
              <w:rPr>
                <w:sz w:val="18"/>
                <w:szCs w:val="18"/>
                <w:color w:val="auto"/>
              </w:rPr>
            </w:pPr>
          </w:p>
        </w:tc>
        <w:tc>
          <w:tcPr>
            <w:tcW w:w="15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F1F2F2"/>
            </w:tcBorders>
            <w:shd w:val="clear" w:color="auto" w:fill="F1F2F2"/>
          </w:tcPr>
          <w:p>
            <w:pPr>
              <w:spacing w:after="0"/>
              <w:rPr>
                <w:sz w:val="18"/>
                <w:szCs w:val="18"/>
                <w:color w:val="auto"/>
              </w:rPr>
            </w:pPr>
          </w:p>
        </w:tc>
        <w:tc>
          <w:tcPr>
            <w:tcW w:w="250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959,836</w:t>
            </w: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Equity compensation plans not approved by security holders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25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40" w:type="dxa"/>
            <w:vAlign w:val="bottom"/>
            <w:tcBorders>
              <w:bottom w:val="single" w:sz="8" w:color="F1F2F2"/>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1F2F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1F2F2"/>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8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270,127</w:t>
            </w:r>
          </w:p>
        </w:tc>
        <w:tc>
          <w:tcPr>
            <w:tcW w:w="300" w:type="dxa"/>
            <w:vAlign w:val="bottom"/>
            <w:tcBorders>
              <w:bottom w:val="single" w:sz="8" w:color="auto"/>
            </w:tcBorders>
            <w:gridSpan w:val="2"/>
            <w:shd w:val="clear" w:color="auto" w:fill="F1F2F2"/>
          </w:tcPr>
          <w:p>
            <w:pPr>
              <w:jc w:val="right"/>
              <w:ind w:right="60"/>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F1F2F2"/>
          </w:tcPr>
          <w:p>
            <w:pPr>
              <w:jc w:val="right"/>
              <w:ind w:right="8"/>
              <w:spacing w:after="0"/>
              <w:rPr>
                <w:sz w:val="20"/>
                <w:szCs w:val="20"/>
                <w:color w:val="auto"/>
              </w:rPr>
            </w:pPr>
            <w:r>
              <w:rPr>
                <w:rFonts w:ascii="Arial" w:cs="Arial" w:eastAsia="Arial" w:hAnsi="Arial"/>
                <w:sz w:val="14"/>
                <w:szCs w:val="14"/>
                <w:b w:val="1"/>
                <w:bCs w:val="1"/>
                <w:color w:val="auto"/>
              </w:rPr>
              <w:t>355.72</w:t>
            </w:r>
          </w:p>
        </w:tc>
        <w:tc>
          <w:tcPr>
            <w:tcW w:w="280" w:type="dxa"/>
            <w:vAlign w:val="bottom"/>
            <w:tcBorders>
              <w:bottom w:val="single" w:sz="8" w:color="auto"/>
            </w:tcBorders>
            <w:shd w:val="clear" w:color="auto" w:fill="F1F2F2"/>
          </w:tcPr>
          <w:p>
            <w:pPr>
              <w:spacing w:after="0"/>
              <w:rPr>
                <w:sz w:val="20"/>
                <w:szCs w:val="20"/>
                <w:color w:val="auto"/>
              </w:rPr>
            </w:pPr>
          </w:p>
        </w:tc>
        <w:tc>
          <w:tcPr>
            <w:tcW w:w="250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2,571,506</w:t>
            </w:r>
          </w:p>
        </w:tc>
        <w:tc>
          <w:tcPr>
            <w:tcW w:w="0" w:type="dxa"/>
            <w:vAlign w:val="bottom"/>
          </w:tcPr>
          <w:p>
            <w:pPr>
              <w:spacing w:after="0"/>
              <w:rPr>
                <w:sz w:val="1"/>
                <w:szCs w:val="1"/>
                <w:color w:val="auto"/>
              </w:rPr>
            </w:pPr>
          </w:p>
        </w:tc>
      </w:tr>
      <w:tr>
        <w:trPr>
          <w:trHeight w:val="20"/>
        </w:trPr>
        <w:tc>
          <w:tcPr>
            <w:tcW w:w="4840" w:type="dxa"/>
            <w:vAlign w:val="bottom"/>
            <w:tcBorders>
              <w:top w:val="single" w:sz="8" w:color="F1F2F2"/>
            </w:tcBorders>
          </w:tcPr>
          <w:p>
            <w:pPr>
              <w:spacing w:after="0" w:line="20" w:lineRule="exact"/>
              <w:rPr>
                <w:sz w:val="1"/>
                <w:szCs w:val="1"/>
                <w:color w:val="auto"/>
              </w:rPr>
            </w:pPr>
          </w:p>
        </w:tc>
        <w:tc>
          <w:tcPr>
            <w:tcW w:w="1720" w:type="dxa"/>
            <w:vAlign w:val="bottom"/>
            <w:tcBorders>
              <w:top w:val="single" w:sz="8" w:color="F1F2F2"/>
              <w:bottom w:val="single" w:sz="8" w:color="auto"/>
            </w:tcBorders>
          </w:tcPr>
          <w:p>
            <w:pPr>
              <w:spacing w:after="0" w:line="20" w:lineRule="exact"/>
              <w:rPr>
                <w:sz w:val="1"/>
                <w:szCs w:val="1"/>
                <w:color w:val="auto"/>
              </w:rPr>
            </w:pPr>
          </w:p>
        </w:tc>
        <w:tc>
          <w:tcPr>
            <w:tcW w:w="140" w:type="dxa"/>
            <w:vAlign w:val="bottom"/>
            <w:tcBorders>
              <w:top w:val="single" w:sz="8" w:color="F1F2F2"/>
              <w:bottom w:val="single" w:sz="8" w:color="auto"/>
            </w:tcBorders>
          </w:tcPr>
          <w:p>
            <w:pPr>
              <w:spacing w:after="0" w:line="20" w:lineRule="exact"/>
              <w:rPr>
                <w:sz w:val="1"/>
                <w:szCs w:val="1"/>
                <w:color w:val="auto"/>
              </w:rPr>
            </w:pPr>
          </w:p>
        </w:tc>
        <w:tc>
          <w:tcPr>
            <w:tcW w:w="160" w:type="dxa"/>
            <w:vAlign w:val="bottom"/>
            <w:tcBorders>
              <w:top w:val="single" w:sz="8" w:color="F1F2F2"/>
              <w:bottom w:val="single" w:sz="8" w:color="auto"/>
            </w:tcBorders>
          </w:tcPr>
          <w:p>
            <w:pPr>
              <w:spacing w:after="0" w:line="20" w:lineRule="exact"/>
              <w:rPr>
                <w:sz w:val="1"/>
                <w:szCs w:val="1"/>
                <w:color w:val="auto"/>
              </w:rPr>
            </w:pPr>
          </w:p>
        </w:tc>
        <w:tc>
          <w:tcPr>
            <w:tcW w:w="1580" w:type="dxa"/>
            <w:vAlign w:val="bottom"/>
            <w:tcBorders>
              <w:top w:val="single" w:sz="8" w:color="F1F2F2"/>
              <w:bottom w:val="single" w:sz="8" w:color="auto"/>
            </w:tcBorders>
          </w:tcPr>
          <w:p>
            <w:pPr>
              <w:spacing w:after="0" w:line="20" w:lineRule="exact"/>
              <w:rPr>
                <w:sz w:val="1"/>
                <w:szCs w:val="1"/>
                <w:color w:val="auto"/>
              </w:rPr>
            </w:pPr>
          </w:p>
        </w:tc>
        <w:tc>
          <w:tcPr>
            <w:tcW w:w="280" w:type="dxa"/>
            <w:vAlign w:val="bottom"/>
            <w:tcBorders>
              <w:top w:val="single" w:sz="8" w:color="F1F2F2"/>
              <w:bottom w:val="single" w:sz="8" w:color="auto"/>
            </w:tcBorders>
          </w:tcPr>
          <w:p>
            <w:pPr>
              <w:spacing w:after="0" w:line="20" w:lineRule="exact"/>
              <w:rPr>
                <w:sz w:val="1"/>
                <w:szCs w:val="1"/>
                <w:color w:val="auto"/>
              </w:rPr>
            </w:pPr>
          </w:p>
        </w:tc>
        <w:tc>
          <w:tcPr>
            <w:tcW w:w="2500" w:type="dxa"/>
            <w:vAlign w:val="bottom"/>
            <w:tcBorders>
              <w:top w:val="single" w:sz="8" w:color="F1F2F2"/>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Includes the following:</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1"/>
          <w:numId w:val="89"/>
        </w:numPr>
        <w:rPr>
          <w:rFonts w:ascii="Arial" w:cs="Arial" w:eastAsia="Arial" w:hAnsi="Arial"/>
          <w:sz w:val="14"/>
          <w:szCs w:val="14"/>
          <w:color w:val="auto"/>
        </w:rPr>
      </w:pPr>
      <w:r>
        <w:rPr>
          <w:rFonts w:ascii="Arial" w:cs="Arial" w:eastAsia="Arial" w:hAnsi="Arial"/>
          <w:sz w:val="14"/>
          <w:szCs w:val="14"/>
          <w:color w:val="auto"/>
        </w:rPr>
        <w:t>188,811 SARs outstanding under the 2019 Equity and Incentive Compensation Plan, which, upon exercise, will be net-settled in shares of our common stock;</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1"/>
          <w:numId w:val="89"/>
        </w:numPr>
        <w:rPr>
          <w:rFonts w:ascii="Arial" w:cs="Arial" w:eastAsia="Arial" w:hAnsi="Arial"/>
          <w:sz w:val="14"/>
          <w:szCs w:val="14"/>
          <w:color w:val="auto"/>
        </w:rPr>
      </w:pPr>
      <w:r>
        <w:rPr>
          <w:rFonts w:ascii="Arial" w:cs="Arial" w:eastAsia="Arial" w:hAnsi="Arial"/>
          <w:sz w:val="14"/>
          <w:szCs w:val="14"/>
          <w:color w:val="auto"/>
        </w:rPr>
        <w:t>45,310 shares of our common stock to be issued upon the vesting of RSUs outstanding under the 2019 Equity and Incentive Compensation Plan; and</w:t>
      </w:r>
    </w:p>
    <w:p>
      <w:pPr>
        <w:spacing w:after="0" w:line="68" w:lineRule="exact"/>
        <w:rPr>
          <w:rFonts w:ascii="Arial" w:cs="Arial" w:eastAsia="Arial" w:hAnsi="Arial"/>
          <w:sz w:val="14"/>
          <w:szCs w:val="14"/>
          <w:color w:val="auto"/>
        </w:rPr>
      </w:pPr>
    </w:p>
    <w:p>
      <w:pPr>
        <w:ind w:left="660" w:right="600" w:hanging="328"/>
        <w:spacing w:after="0" w:line="285" w:lineRule="auto"/>
        <w:tabs>
          <w:tab w:leader="none" w:pos="656" w:val="left"/>
        </w:tabs>
        <w:numPr>
          <w:ilvl w:val="1"/>
          <w:numId w:val="89"/>
        </w:numPr>
        <w:rPr>
          <w:rFonts w:ascii="Arial" w:cs="Arial" w:eastAsia="Arial" w:hAnsi="Arial"/>
          <w:sz w:val="14"/>
          <w:szCs w:val="14"/>
          <w:color w:val="auto"/>
        </w:rPr>
      </w:pPr>
      <w:r>
        <w:rPr>
          <w:rFonts w:ascii="Arial" w:cs="Arial" w:eastAsia="Arial" w:hAnsi="Arial"/>
          <w:sz w:val="14"/>
          <w:szCs w:val="14"/>
          <w:color w:val="auto"/>
        </w:rPr>
        <w:t>36,006 shares of our common stock to be issued, assuming we meet the target performance goals for the applicable three-year performance period, of PSUs outstanding under the 2019 Equity and Incentive Compensation Plan.</w:t>
      </w:r>
    </w:p>
    <w:p>
      <w:pPr>
        <w:spacing w:after="0" w:line="63" w:lineRule="exact"/>
        <w:rPr>
          <w:sz w:val="20"/>
          <w:szCs w:val="20"/>
          <w:color w:val="auto"/>
        </w:rPr>
      </w:pPr>
    </w:p>
    <w:p>
      <w:pPr>
        <w:jc w:val="both"/>
        <w:ind w:left="340"/>
        <w:spacing w:after="0" w:line="283" w:lineRule="auto"/>
        <w:rPr>
          <w:sz w:val="20"/>
          <w:szCs w:val="20"/>
          <w:color w:val="auto"/>
        </w:rPr>
      </w:pPr>
      <w:r>
        <w:rPr>
          <w:rFonts w:ascii="Arial" w:cs="Arial" w:eastAsia="Arial" w:hAnsi="Arial"/>
          <w:sz w:val="14"/>
          <w:szCs w:val="14"/>
          <w:color w:val="auto"/>
        </w:rPr>
        <w:t>The following table illustrates the number of shares of our common stock that may be issued pursuant to outstanding PSUs and the number of shares that may be available for future issuance under our equity compensation plans (excluding the PSUs that vested December 31, 2025 and were distributed in 2026), if our performance falls below or exceeds our target performance goals:</w:t>
      </w:r>
    </w:p>
    <w:p>
      <w:pPr>
        <w:spacing w:after="0" w:line="1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040" w:type="dxa"/>
            <w:vAlign w:val="bottom"/>
            <w:shd w:val="clear" w:color="auto" w:fill="C60C35"/>
          </w:tcPr>
          <w:p>
            <w:pPr>
              <w:spacing w:after="0"/>
              <w:rPr>
                <w:sz w:val="18"/>
                <w:szCs w:val="18"/>
                <w:color w:val="auto"/>
              </w:rPr>
            </w:pPr>
          </w:p>
        </w:tc>
        <w:tc>
          <w:tcPr>
            <w:tcW w:w="980" w:type="dxa"/>
            <w:vAlign w:val="bottom"/>
            <w:shd w:val="clear" w:color="auto" w:fill="C60C35"/>
          </w:tcPr>
          <w:p>
            <w:pPr>
              <w:spacing w:after="0"/>
              <w:rPr>
                <w:sz w:val="18"/>
                <w:szCs w:val="18"/>
                <w:color w:val="auto"/>
              </w:rPr>
            </w:pPr>
          </w:p>
        </w:tc>
        <w:tc>
          <w:tcPr>
            <w:tcW w:w="2460" w:type="dxa"/>
            <w:vAlign w:val="bottom"/>
            <w:gridSpan w:val="2"/>
            <w:shd w:val="clear" w:color="auto" w:fill="C60C35"/>
          </w:tcPr>
          <w:p>
            <w:pPr>
              <w:jc w:val="right"/>
              <w:ind w:right="548"/>
              <w:spacing w:after="0"/>
              <w:rPr>
                <w:sz w:val="20"/>
                <w:szCs w:val="20"/>
                <w:color w:val="auto"/>
              </w:rPr>
            </w:pPr>
            <w:r>
              <w:rPr>
                <w:rFonts w:ascii="Arial" w:cs="Arial" w:eastAsia="Arial" w:hAnsi="Arial"/>
                <w:sz w:val="14"/>
                <w:szCs w:val="14"/>
                <w:b w:val="1"/>
                <w:bCs w:val="1"/>
                <w:color w:val="FFFFFF"/>
              </w:rPr>
              <w:t>Performance Level</w:t>
            </w:r>
          </w:p>
        </w:tc>
        <w:tc>
          <w:tcPr>
            <w:tcW w:w="1040" w:type="dxa"/>
            <w:vAlign w:val="bottom"/>
            <w:shd w:val="clear" w:color="auto" w:fill="C60C35"/>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40" w:type="dxa"/>
            <w:vAlign w:val="bottom"/>
            <w:shd w:val="clear" w:color="auto" w:fill="C60C35"/>
          </w:tcPr>
          <w:p>
            <w:pPr>
              <w:spacing w:after="0"/>
              <w:rPr>
                <w:sz w:val="22"/>
                <w:szCs w:val="22"/>
                <w:color w:val="auto"/>
              </w:rPr>
            </w:pPr>
          </w:p>
        </w:tc>
        <w:tc>
          <w:tcPr>
            <w:tcW w:w="9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Below</w:t>
            </w:r>
          </w:p>
        </w:tc>
        <w:tc>
          <w:tcPr>
            <w:tcW w:w="1340" w:type="dxa"/>
            <w:vAlign w:val="bottom"/>
            <w:shd w:val="clear" w:color="auto" w:fill="C60C35"/>
          </w:tcPr>
          <w:p>
            <w:pPr>
              <w:spacing w:after="0"/>
              <w:rPr>
                <w:sz w:val="22"/>
                <w:szCs w:val="22"/>
                <w:color w:val="auto"/>
              </w:rPr>
            </w:pPr>
          </w:p>
        </w:tc>
        <w:tc>
          <w:tcPr>
            <w:tcW w:w="1120" w:type="dxa"/>
            <w:vAlign w:val="bottom"/>
            <w:shd w:val="clear" w:color="auto" w:fill="C60C35"/>
          </w:tcPr>
          <w:p>
            <w:pPr>
              <w:spacing w:after="0"/>
              <w:rPr>
                <w:sz w:val="22"/>
                <w:szCs w:val="22"/>
                <w:color w:val="auto"/>
              </w:rPr>
            </w:pPr>
          </w:p>
        </w:tc>
        <w:tc>
          <w:tcPr>
            <w:tcW w:w="1040" w:type="dxa"/>
            <w:vAlign w:val="bottom"/>
            <w:shd w:val="clear" w:color="auto" w:fill="C60C35"/>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40" w:type="dxa"/>
            <w:vAlign w:val="bottom"/>
            <w:shd w:val="clear" w:color="auto" w:fill="C60C35"/>
          </w:tcPr>
          <w:p>
            <w:pPr>
              <w:spacing w:after="0"/>
              <w:rPr>
                <w:sz w:val="18"/>
                <w:szCs w:val="18"/>
                <w:color w:val="auto"/>
              </w:rPr>
            </w:pPr>
          </w:p>
        </w:tc>
        <w:tc>
          <w:tcPr>
            <w:tcW w:w="98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Threshold</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Threshold</w:t>
            </w:r>
          </w:p>
        </w:tc>
        <w:tc>
          <w:tcPr>
            <w:tcW w:w="112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Target</w:t>
            </w:r>
          </w:p>
        </w:tc>
        <w:tc>
          <w:tcPr>
            <w:tcW w:w="104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Maximum</w:t>
            </w:r>
          </w:p>
        </w:tc>
        <w:tc>
          <w:tcPr>
            <w:tcW w:w="0" w:type="dxa"/>
            <w:vAlign w:val="bottom"/>
          </w:tcPr>
          <w:p>
            <w:pPr>
              <w:spacing w:after="0"/>
              <w:rPr>
                <w:sz w:val="1"/>
                <w:szCs w:val="1"/>
                <w:color w:val="auto"/>
              </w:rPr>
            </w:pPr>
          </w:p>
        </w:tc>
      </w:tr>
      <w:tr>
        <w:trPr>
          <w:trHeight w:val="69"/>
        </w:trPr>
        <w:tc>
          <w:tcPr>
            <w:tcW w:w="6040" w:type="dxa"/>
            <w:vAlign w:val="bottom"/>
            <w:shd w:val="clear" w:color="auto" w:fill="C60C35"/>
          </w:tcPr>
          <w:p>
            <w:pPr>
              <w:spacing w:after="0"/>
              <w:rPr>
                <w:sz w:val="6"/>
                <w:szCs w:val="6"/>
                <w:color w:val="auto"/>
              </w:rPr>
            </w:pPr>
          </w:p>
        </w:tc>
        <w:tc>
          <w:tcPr>
            <w:tcW w:w="980" w:type="dxa"/>
            <w:vAlign w:val="bottom"/>
            <w:shd w:val="clear" w:color="auto" w:fill="C60C35"/>
          </w:tcPr>
          <w:p>
            <w:pPr>
              <w:spacing w:after="0"/>
              <w:rPr>
                <w:sz w:val="6"/>
                <w:szCs w:val="6"/>
                <w:color w:val="auto"/>
              </w:rPr>
            </w:pPr>
          </w:p>
        </w:tc>
        <w:tc>
          <w:tcPr>
            <w:tcW w:w="1340" w:type="dxa"/>
            <w:vAlign w:val="bottom"/>
            <w:shd w:val="clear" w:color="auto" w:fill="C60C35"/>
          </w:tcPr>
          <w:p>
            <w:pPr>
              <w:spacing w:after="0"/>
              <w:rPr>
                <w:sz w:val="6"/>
                <w:szCs w:val="6"/>
                <w:color w:val="auto"/>
              </w:rPr>
            </w:pPr>
          </w:p>
        </w:tc>
        <w:tc>
          <w:tcPr>
            <w:tcW w:w="1120" w:type="dxa"/>
            <w:vAlign w:val="bottom"/>
            <w:shd w:val="clear" w:color="auto" w:fill="C60C35"/>
          </w:tcPr>
          <w:p>
            <w:pPr>
              <w:spacing w:after="0"/>
              <w:rPr>
                <w:sz w:val="6"/>
                <w:szCs w:val="6"/>
                <w:color w:val="auto"/>
              </w:rPr>
            </w:pPr>
          </w:p>
        </w:tc>
        <w:tc>
          <w:tcPr>
            <w:tcW w:w="1040" w:type="dxa"/>
            <w:vAlign w:val="bottom"/>
            <w:shd w:val="clear" w:color="auto" w:fill="C60C35"/>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04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color w:val="auto"/>
              </w:rPr>
              <w:t>Shares to be Issued Pursuant to Outstanding PSUs</w:t>
            </w:r>
          </w:p>
        </w:tc>
        <w:tc>
          <w:tcPr>
            <w:tcW w:w="98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18,003</w:t>
            </w:r>
          </w:p>
        </w:tc>
        <w:tc>
          <w:tcPr>
            <w:tcW w:w="112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36,006</w:t>
            </w:r>
          </w:p>
        </w:tc>
        <w:tc>
          <w:tcPr>
            <w:tcW w:w="104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72,012</w:t>
            </w:r>
          </w:p>
        </w:tc>
        <w:tc>
          <w:tcPr>
            <w:tcW w:w="0" w:type="dxa"/>
            <w:vAlign w:val="bottom"/>
          </w:tcPr>
          <w:p>
            <w:pPr>
              <w:spacing w:after="0"/>
              <w:rPr>
                <w:sz w:val="1"/>
                <w:szCs w:val="1"/>
                <w:color w:val="auto"/>
              </w:rPr>
            </w:pPr>
          </w:p>
        </w:tc>
      </w:tr>
      <w:tr>
        <w:trPr>
          <w:trHeight w:val="180"/>
        </w:trPr>
        <w:tc>
          <w:tcPr>
            <w:tcW w:w="6040" w:type="dxa"/>
            <w:vAlign w:val="bottom"/>
          </w:tcPr>
          <w:p>
            <w:pPr>
              <w:ind w:left="100"/>
              <w:spacing w:after="0"/>
              <w:rPr>
                <w:sz w:val="20"/>
                <w:szCs w:val="20"/>
                <w:color w:val="auto"/>
              </w:rPr>
            </w:pPr>
            <w:r>
              <w:rPr>
                <w:rFonts w:ascii="Arial" w:cs="Arial" w:eastAsia="Arial" w:hAnsi="Arial"/>
                <w:sz w:val="14"/>
                <w:szCs w:val="14"/>
                <w:color w:val="auto"/>
              </w:rPr>
              <w:t>Number of Securities Remaining Available for Future Issuance Under Equity</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2,607,512</w:t>
            </w:r>
          </w:p>
        </w:tc>
        <w:tc>
          <w:tcPr>
            <w:tcW w:w="1340" w:type="dxa"/>
            <w:vAlign w:val="bottom"/>
            <w:vMerge w:val="restart"/>
          </w:tcPr>
          <w:p>
            <w:pPr>
              <w:jc w:val="right"/>
              <w:ind w:right="168"/>
              <w:spacing w:after="0"/>
              <w:rPr>
                <w:sz w:val="20"/>
                <w:szCs w:val="20"/>
                <w:color w:val="auto"/>
              </w:rPr>
            </w:pPr>
            <w:r>
              <w:rPr>
                <w:rFonts w:ascii="Arial" w:cs="Arial" w:eastAsia="Arial" w:hAnsi="Arial"/>
                <w:sz w:val="14"/>
                <w:szCs w:val="14"/>
                <w:color w:val="auto"/>
              </w:rPr>
              <w:t>2,589,509</w:t>
            </w: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color w:val="auto"/>
              </w:rPr>
              <w:t>2,571,506</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2,535,500</w:t>
            </w:r>
          </w:p>
        </w:tc>
        <w:tc>
          <w:tcPr>
            <w:tcW w:w="0" w:type="dxa"/>
            <w:vAlign w:val="bottom"/>
          </w:tcPr>
          <w:p>
            <w:pPr>
              <w:spacing w:after="0"/>
              <w:rPr>
                <w:sz w:val="1"/>
                <w:szCs w:val="1"/>
                <w:color w:val="auto"/>
              </w:rPr>
            </w:pPr>
          </w:p>
        </w:tc>
      </w:tr>
      <w:tr>
        <w:trPr>
          <w:trHeight w:val="109"/>
        </w:trPr>
        <w:tc>
          <w:tcPr>
            <w:tcW w:w="6040" w:type="dxa"/>
            <w:vAlign w:val="bottom"/>
            <w:vMerge w:val="restart"/>
          </w:tcPr>
          <w:p>
            <w:pPr>
              <w:ind w:left="100"/>
              <w:spacing w:after="0"/>
              <w:rPr>
                <w:sz w:val="20"/>
                <w:szCs w:val="20"/>
                <w:color w:val="auto"/>
              </w:rPr>
            </w:pPr>
            <w:r>
              <w:rPr>
                <w:rFonts w:ascii="Arial" w:cs="Arial" w:eastAsia="Arial" w:hAnsi="Arial"/>
                <w:sz w:val="14"/>
                <w:szCs w:val="14"/>
                <w:color w:val="auto"/>
              </w:rPr>
              <w:t>Compensation Plans</w:t>
            </w:r>
          </w:p>
        </w:tc>
        <w:tc>
          <w:tcPr>
            <w:tcW w:w="9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604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-680085</wp:posOffset>
            </wp:positionV>
            <wp:extent cx="276034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195"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Excludes PSU and RSU awards because those awards do not have an exercise price.</w:t>
      </w:r>
    </w:p>
    <w:p>
      <w:pPr>
        <w:spacing w:after="0" w:line="122" w:lineRule="exact"/>
        <w:rPr>
          <w:rFonts w:ascii="Arial" w:cs="Arial" w:eastAsia="Arial" w:hAnsi="Arial"/>
          <w:sz w:val="14"/>
          <w:szCs w:val="14"/>
          <w:color w:val="auto"/>
        </w:rPr>
      </w:pPr>
    </w:p>
    <w:p>
      <w:pPr>
        <w:ind w:left="340" w:right="160" w:hanging="332"/>
        <w:spacing w:after="0" w:line="280" w:lineRule="auto"/>
        <w:tabs>
          <w:tab w:leader="none" w:pos="327" w:val="left"/>
        </w:tabs>
        <w:numPr>
          <w:ilvl w:val="0"/>
          <w:numId w:val="90"/>
        </w:numPr>
        <w:rPr>
          <w:rFonts w:ascii="Arial" w:cs="Arial" w:eastAsia="Arial" w:hAnsi="Arial"/>
          <w:sz w:val="14"/>
          <w:szCs w:val="14"/>
          <w:color w:val="auto"/>
        </w:rPr>
      </w:pPr>
      <w:r>
        <w:rPr>
          <w:rFonts w:ascii="Arial" w:cs="Arial" w:eastAsia="Arial" w:hAnsi="Arial"/>
          <w:sz w:val="14"/>
          <w:szCs w:val="14"/>
          <w:color w:val="auto"/>
        </w:rPr>
        <w:t>With respect to outstanding PSUs, the number shown assumes we meet target performance goals for the applicable three-year performance period, and includes 1,611,670 shares of common stock available for issuance in the form of options, stock appreciation rights, restricted stock, RSUs, other stock-based awards and cash awards under the 2019 Equity and Incentive Compensation Plan, and 959,836 shares of common stock available for issuance under the 2022 Employee Stock Purchase Plan.</w:t>
      </w:r>
    </w:p>
    <w:p>
      <w:pPr>
        <w:spacing w:after="0" w:line="233" w:lineRule="exact"/>
        <w:rPr>
          <w:rFonts w:ascii="Arial" w:cs="Arial" w:eastAsia="Arial" w:hAnsi="Arial"/>
          <w:sz w:val="14"/>
          <w:szCs w:val="14"/>
          <w:color w:val="auto"/>
        </w:rPr>
      </w:pPr>
    </w:p>
    <w:p>
      <w:pPr>
        <w:ind w:left="320" w:hanging="312"/>
        <w:spacing w:after="0"/>
        <w:tabs>
          <w:tab w:leader="none" w:pos="32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 total, the weighted-average term for all outstanding SARs is 3.86 years.</w:t>
      </w: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28"/>
          <w:szCs w:val="28"/>
          <w:b w:val="1"/>
          <w:bCs w:val="1"/>
          <w:color w:val="C6093B"/>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07" w:right="379" w:bottom="1440" w:gutter="0" w:footer="0" w:header="0"/>
        </w:sectPr>
      </w:pPr>
    </w:p>
    <w:p>
      <w:pPr>
        <w:spacing w:after="0" w:line="274"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The written Related Party Transactions Policy adopted by our Board requires the Audit Committee to approve any potential related party transaction, which is defined in the policy to mirror the definition of Item 404 of Regulation S-K. Any related party transaction must be on terms that are fair to our Company and comparable to those that could be obtained in arm’s length dealings with an unrelated third party. In the event a related party transaction involves one or more members of the Audit Committee, such member will recuse themself from the review, consideration, or approval of the transaction. There were no transactions with related persons in 2025 that require disclosure pursuant to Item 404(a)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Compensation Committee Interlocks and Insider Participation</w:t>
      </w:r>
    </w:p>
    <w:p>
      <w:pPr>
        <w:spacing w:after="0" w:line="108"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Messrs. Wall, Norris, Somasundaram, Swienton, and Vander Ark, and Ms. Embree, served on the Compensation and Human Resources Committee during 2025. No member of the Compensation and Human Resources Committee was an officer or employee of our Company or any of our subsidiaries during 2025 or an officer at any other time, and no member had any relationship with the Company requiring disclosure under “Certain Relationships and Related Party Transactions” above. In addition, none of our executive officers served on the board of directors or on the compensation committee of any other entity, for which any executive officers of such other entity served either on our Board or on our Compensation and Human Resources Committee.</w:t>
      </w: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07" w:right="37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29"/>
          <w:szCs w:val="29"/>
          <w:b w:val="1"/>
          <w:bCs w:val="1"/>
          <w:color w:val="C6093B"/>
        </w:rPr>
        <w:t>Beneficial Ownership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right="340" w:firstLine="324"/>
        <w:spacing w:after="0" w:line="253" w:lineRule="auto"/>
        <w:rPr>
          <w:sz w:val="20"/>
          <w:szCs w:val="20"/>
          <w:color w:val="auto"/>
        </w:rPr>
      </w:pPr>
      <w:r>
        <w:rPr>
          <w:rFonts w:ascii="Arial" w:cs="Arial" w:eastAsia="Arial" w:hAnsi="Arial"/>
          <w:sz w:val="18"/>
          <w:szCs w:val="18"/>
          <w:color w:val="auto"/>
        </w:rPr>
        <w:t>The following table provides information regarding the beneficial ownership of our common stock as of March 15, 2026 by (1) each person known to own beneficially more than 5% of our common stock, (2) each of our directors, (3) each of our named executive officers, and (4) all current directors and executive officers as a group.</w:t>
      </w:r>
    </w:p>
    <w:p>
      <w:pPr>
        <w:spacing w:after="0" w:line="12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For purposes of this table, “beneficial ownership” (as defined in Rule 13d-3 of the Exchange Act) takes into account shares as to which the individual has or shares voting or investment power as well as shares that may be acquired within 60 days (such as by exercising vested SARs, receiving earned performance shares, or the vesting of RSUs) and is different from beneficial ownership for purposes of Section 16 of the Exchange Act. As a result, the numbers below may differ from the numbers reported in forms filed pursuant to Section 16 (e.g., Form 4).</w:t>
      </w:r>
    </w:p>
    <w:p>
      <w:pPr>
        <w:spacing w:after="0" w:line="116" w:lineRule="exact"/>
        <w:rPr>
          <w:sz w:val="20"/>
          <w:szCs w:val="20"/>
          <w:color w:val="auto"/>
        </w:rPr>
      </w:pPr>
    </w:p>
    <w:p>
      <w:pPr>
        <w:jc w:val="both"/>
        <w:ind w:right="180" w:firstLine="324"/>
        <w:spacing w:after="0" w:line="252" w:lineRule="auto"/>
        <w:rPr>
          <w:sz w:val="20"/>
          <w:szCs w:val="20"/>
          <w:color w:val="auto"/>
        </w:rPr>
      </w:pPr>
      <w:r>
        <w:rPr>
          <w:rFonts w:ascii="Arial" w:cs="Arial" w:eastAsia="Arial" w:hAnsi="Arial"/>
          <w:sz w:val="18"/>
          <w:szCs w:val="18"/>
          <w:color w:val="auto"/>
        </w:rPr>
        <w:t>To our knowledge and unless otherwise indicated, each stockholder listed below has sole voting and investment power over the shares listed as beneficially owned by such stockholder. Percentage of ownership is based on 34,781,312 shares of common stock outstanding as of March 15, 2026. Number of shares held by beneficial owners of more than 5% of our common stock are as of the date of the applicable SEC filing made by those owners (unless otherwise noted).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40" w:type="dxa"/>
            <w:vAlign w:val="bottom"/>
            <w:shd w:val="clear" w:color="auto" w:fill="C60C35"/>
          </w:tcPr>
          <w:p>
            <w:pPr>
              <w:spacing w:after="0"/>
              <w:rPr>
                <w:sz w:val="16"/>
                <w:szCs w:val="16"/>
                <w:color w:val="auto"/>
              </w:rPr>
            </w:pPr>
          </w:p>
        </w:tc>
        <w:tc>
          <w:tcPr>
            <w:tcW w:w="1440" w:type="dxa"/>
            <w:vAlign w:val="bottom"/>
            <w:shd w:val="clear" w:color="auto" w:fill="C60C35"/>
          </w:tcPr>
          <w:p>
            <w:pPr>
              <w:spacing w:after="0"/>
              <w:rPr>
                <w:sz w:val="16"/>
                <w:szCs w:val="16"/>
                <w:color w:val="auto"/>
              </w:rPr>
            </w:pP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Common Stock</w:t>
            </w:r>
          </w:p>
        </w:tc>
        <w:tc>
          <w:tcPr>
            <w:tcW w:w="1340" w:type="dxa"/>
            <w:vAlign w:val="bottom"/>
            <w:shd w:val="clear" w:color="auto" w:fill="C60C35"/>
          </w:tcPr>
          <w:p>
            <w:pPr>
              <w:spacing w:after="0"/>
              <w:rPr>
                <w:sz w:val="16"/>
                <w:szCs w:val="16"/>
                <w:color w:val="auto"/>
              </w:rPr>
            </w:pPr>
          </w:p>
        </w:tc>
        <w:tc>
          <w:tcPr>
            <w:tcW w:w="1080" w:type="dxa"/>
            <w:vAlign w:val="bottom"/>
            <w:shd w:val="clear" w:color="auto" w:fill="C60C35"/>
          </w:tcPr>
          <w:p>
            <w:pPr>
              <w:spacing w:after="0"/>
              <w:rPr>
                <w:sz w:val="16"/>
                <w:szCs w:val="16"/>
                <w:color w:val="auto"/>
              </w:rPr>
            </w:pPr>
          </w:p>
        </w:tc>
      </w:tr>
      <w:tr>
        <w:trPr>
          <w:trHeight w:val="176"/>
        </w:trPr>
        <w:tc>
          <w:tcPr>
            <w:tcW w:w="574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Common</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that may be</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Total Shares</w:t>
            </w:r>
          </w:p>
        </w:tc>
        <w:tc>
          <w:tcPr>
            <w:tcW w:w="1080" w:type="dxa"/>
            <w:vAlign w:val="bottom"/>
            <w:shd w:val="clear" w:color="auto" w:fill="C60C35"/>
          </w:tcPr>
          <w:p>
            <w:pPr>
              <w:spacing w:after="0"/>
              <w:rPr>
                <w:sz w:val="15"/>
                <w:szCs w:val="15"/>
                <w:color w:val="auto"/>
              </w:rPr>
            </w:pPr>
          </w:p>
        </w:tc>
      </w:tr>
      <w:tr>
        <w:trPr>
          <w:trHeight w:val="176"/>
        </w:trPr>
        <w:tc>
          <w:tcPr>
            <w:tcW w:w="5740" w:type="dxa"/>
            <w:vAlign w:val="bottom"/>
            <w:shd w:val="clear" w:color="auto" w:fill="C60C35"/>
          </w:tcPr>
          <w:p>
            <w:pPr>
              <w:spacing w:after="0"/>
              <w:rPr>
                <w:sz w:val="15"/>
                <w:szCs w:val="15"/>
                <w:color w:val="auto"/>
              </w:rPr>
            </w:pP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Stock</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Acquired Within</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Beneficially</w:t>
            </w:r>
          </w:p>
        </w:tc>
        <w:tc>
          <w:tcPr>
            <w:tcW w:w="10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Percent of</w:t>
            </w:r>
          </w:p>
        </w:tc>
      </w:tr>
      <w:tr>
        <w:trPr>
          <w:trHeight w:val="162"/>
        </w:trPr>
        <w:tc>
          <w:tcPr>
            <w:tcW w:w="5740" w:type="dxa"/>
            <w:vAlign w:val="bottom"/>
            <w:shd w:val="clear" w:color="auto" w:fill="C60C35"/>
          </w:tcPr>
          <w:p>
            <w:pPr>
              <w:spacing w:after="0"/>
              <w:rPr>
                <w:sz w:val="14"/>
                <w:szCs w:val="14"/>
                <w:color w:val="auto"/>
              </w:rPr>
            </w:pP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Held</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60 Days</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Held</w:t>
            </w:r>
          </w:p>
        </w:tc>
        <w:tc>
          <w:tcPr>
            <w:tcW w:w="10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Class</w:t>
            </w:r>
          </w:p>
        </w:tc>
      </w:tr>
      <w:tr>
        <w:trPr>
          <w:trHeight w:val="210"/>
        </w:trPr>
        <w:tc>
          <w:tcPr>
            <w:tcW w:w="57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Name of Beneficial Owner</w:t>
            </w:r>
          </w:p>
        </w:tc>
        <w:tc>
          <w:tcPr>
            <w:tcW w:w="1440" w:type="dxa"/>
            <w:vAlign w:val="bottom"/>
            <w:shd w:val="clear" w:color="auto" w:fill="C60C35"/>
          </w:tcPr>
          <w:p>
            <w:pPr>
              <w:jc w:val="right"/>
              <w:ind w:right="228"/>
              <w:spacing w:after="0"/>
              <w:rPr>
                <w:sz w:val="20"/>
                <w:szCs w:val="20"/>
                <w:color w:val="auto"/>
              </w:rPr>
            </w:pPr>
            <w:r>
              <w:rPr>
                <w:rFonts w:ascii="Arial" w:cs="Arial" w:eastAsia="Arial" w:hAnsi="Arial"/>
                <w:sz w:val="14"/>
                <w:szCs w:val="14"/>
                <w:b w:val="1"/>
                <w:bCs w:val="1"/>
                <w:color w:val="FFFFFF"/>
              </w:rPr>
              <w:t>(#)</w:t>
            </w:r>
          </w:p>
        </w:tc>
        <w:tc>
          <w:tcPr>
            <w:tcW w:w="16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9"/>
                <w:szCs w:val="9"/>
                <w:b w:val="1"/>
                <w:bCs w:val="1"/>
                <w:color w:val="FFFFFF"/>
              </w:rPr>
              <w:t>(1)</w:t>
            </w:r>
          </w:p>
        </w:tc>
        <w:tc>
          <w:tcPr>
            <w:tcW w:w="1340" w:type="dxa"/>
            <w:vAlign w:val="bottom"/>
            <w:shd w:val="clear" w:color="auto" w:fill="C60C35"/>
          </w:tcPr>
          <w:p>
            <w:pPr>
              <w:jc w:val="right"/>
              <w:ind w:right="168"/>
              <w:spacing w:after="0"/>
              <w:rPr>
                <w:sz w:val="20"/>
                <w:szCs w:val="20"/>
                <w:color w:val="auto"/>
              </w:rPr>
            </w:pPr>
            <w:r>
              <w:rPr>
                <w:rFonts w:ascii="Arial" w:cs="Arial" w:eastAsia="Arial" w:hAnsi="Arial"/>
                <w:sz w:val="14"/>
                <w:szCs w:val="14"/>
                <w:b w:val="1"/>
                <w:bCs w:val="1"/>
                <w:color w:val="FFFFFF"/>
              </w:rPr>
              <w:t>(#)</w:t>
            </w:r>
          </w:p>
        </w:tc>
        <w:tc>
          <w:tcPr>
            <w:tcW w:w="10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w:t>
            </w:r>
          </w:p>
        </w:tc>
      </w:tr>
      <w:tr>
        <w:trPr>
          <w:trHeight w:val="97"/>
        </w:trPr>
        <w:tc>
          <w:tcPr>
            <w:tcW w:w="5740" w:type="dxa"/>
            <w:vAlign w:val="bottom"/>
            <w:shd w:val="clear" w:color="auto" w:fill="C60C35"/>
          </w:tcPr>
          <w:p>
            <w:pPr>
              <w:spacing w:after="0"/>
              <w:rPr>
                <w:sz w:val="8"/>
                <w:szCs w:val="8"/>
                <w:color w:val="auto"/>
              </w:rPr>
            </w:pPr>
          </w:p>
        </w:tc>
        <w:tc>
          <w:tcPr>
            <w:tcW w:w="1440" w:type="dxa"/>
            <w:vAlign w:val="bottom"/>
            <w:shd w:val="clear" w:color="auto" w:fill="C60C35"/>
          </w:tcPr>
          <w:p>
            <w:pPr>
              <w:spacing w:after="0"/>
              <w:rPr>
                <w:sz w:val="8"/>
                <w:szCs w:val="8"/>
                <w:color w:val="auto"/>
              </w:rPr>
            </w:pPr>
          </w:p>
        </w:tc>
        <w:tc>
          <w:tcPr>
            <w:tcW w:w="1640" w:type="dxa"/>
            <w:vAlign w:val="bottom"/>
            <w:shd w:val="clear" w:color="auto" w:fill="C60C35"/>
          </w:tcPr>
          <w:p>
            <w:pPr>
              <w:spacing w:after="0"/>
              <w:rPr>
                <w:sz w:val="8"/>
                <w:szCs w:val="8"/>
                <w:color w:val="auto"/>
              </w:rPr>
            </w:pPr>
          </w:p>
        </w:tc>
        <w:tc>
          <w:tcPr>
            <w:tcW w:w="1340" w:type="dxa"/>
            <w:vAlign w:val="bottom"/>
            <w:shd w:val="clear" w:color="auto" w:fill="C60C35"/>
          </w:tcPr>
          <w:p>
            <w:pPr>
              <w:spacing w:after="0"/>
              <w:rPr>
                <w:sz w:val="8"/>
                <w:szCs w:val="8"/>
                <w:color w:val="auto"/>
              </w:rPr>
            </w:pPr>
          </w:p>
        </w:tc>
        <w:tc>
          <w:tcPr>
            <w:tcW w:w="1080" w:type="dxa"/>
            <w:vAlign w:val="bottom"/>
            <w:shd w:val="clear" w:color="auto" w:fill="C60C35"/>
          </w:tcPr>
          <w:p>
            <w:pPr>
              <w:spacing w:after="0"/>
              <w:rPr>
                <w:sz w:val="8"/>
                <w:szCs w:val="8"/>
                <w:color w:val="auto"/>
              </w:rPr>
            </w:pPr>
          </w:p>
        </w:tc>
      </w:tr>
      <w:tr>
        <w:trPr>
          <w:trHeight w:val="229"/>
        </w:trPr>
        <w:tc>
          <w:tcPr>
            <w:tcW w:w="57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5% Stockholders</w:t>
            </w:r>
          </w:p>
        </w:tc>
        <w:tc>
          <w:tcPr>
            <w:tcW w:w="1440" w:type="dxa"/>
            <w:vAlign w:val="bottom"/>
            <w:shd w:val="clear" w:color="auto" w:fill="F1F2F2"/>
          </w:tcPr>
          <w:p>
            <w:pPr>
              <w:spacing w:after="0"/>
              <w:rPr>
                <w:sz w:val="19"/>
                <w:szCs w:val="19"/>
                <w:color w:val="auto"/>
              </w:rPr>
            </w:pPr>
          </w:p>
        </w:tc>
        <w:tc>
          <w:tcPr>
            <w:tcW w:w="1640" w:type="dxa"/>
            <w:vAlign w:val="bottom"/>
            <w:shd w:val="clear" w:color="auto" w:fill="F1F2F2"/>
          </w:tcPr>
          <w:p>
            <w:pPr>
              <w:spacing w:after="0"/>
              <w:rPr>
                <w:sz w:val="19"/>
                <w:szCs w:val="19"/>
                <w:color w:val="auto"/>
              </w:rPr>
            </w:pPr>
          </w:p>
        </w:tc>
        <w:tc>
          <w:tcPr>
            <w:tcW w:w="1340" w:type="dxa"/>
            <w:vAlign w:val="bottom"/>
            <w:shd w:val="clear" w:color="auto" w:fill="F1F2F2"/>
          </w:tcPr>
          <w:p>
            <w:pPr>
              <w:spacing w:after="0"/>
              <w:rPr>
                <w:sz w:val="19"/>
                <w:szCs w:val="19"/>
                <w:color w:val="auto"/>
              </w:rPr>
            </w:pPr>
          </w:p>
        </w:tc>
        <w:tc>
          <w:tcPr>
            <w:tcW w:w="1080" w:type="dxa"/>
            <w:vAlign w:val="bottom"/>
            <w:shd w:val="clear" w:color="auto" w:fill="F1F2F2"/>
          </w:tcPr>
          <w:p>
            <w:pPr>
              <w:spacing w:after="0"/>
              <w:rPr>
                <w:sz w:val="19"/>
                <w:szCs w:val="19"/>
                <w:color w:val="auto"/>
              </w:rPr>
            </w:pP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BlackRock, Inc.</w:t>
            </w:r>
            <w:r>
              <w:rPr>
                <w:rFonts w:ascii="Arial" w:cs="Arial" w:eastAsia="Arial" w:hAnsi="Arial"/>
                <w:sz w:val="9"/>
                <w:szCs w:val="9"/>
                <w:color w:val="auto"/>
              </w:rPr>
              <w:t>(2)</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2,863,070</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2,863,070</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8.2</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Capital International Investors</w:t>
            </w:r>
            <w:r>
              <w:rPr>
                <w:rFonts w:ascii="Arial" w:cs="Arial" w:eastAsia="Arial" w:hAnsi="Arial"/>
                <w:sz w:val="9"/>
                <w:szCs w:val="9"/>
                <w:color w:val="auto"/>
              </w:rPr>
              <w:t>(3)</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2,944,558</w:t>
            </w:r>
          </w:p>
        </w:tc>
        <w:tc>
          <w:tcPr>
            <w:tcW w:w="16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2,944,558</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8.5</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The Vanguard Group</w:t>
            </w:r>
            <w:r>
              <w:rPr>
                <w:rFonts w:ascii="Arial" w:cs="Arial" w:eastAsia="Arial" w:hAnsi="Arial"/>
                <w:sz w:val="9"/>
                <w:szCs w:val="9"/>
                <w:color w:val="auto"/>
              </w:rPr>
              <w:t>(4)</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3,883,531</w:t>
            </w:r>
          </w:p>
        </w:tc>
        <w:tc>
          <w:tcPr>
            <w:tcW w:w="16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3,883,531</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11.2</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57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Directors and Named Executive Officers</w:t>
            </w:r>
          </w:p>
        </w:tc>
        <w:tc>
          <w:tcPr>
            <w:tcW w:w="1440" w:type="dxa"/>
            <w:vAlign w:val="bottom"/>
            <w:shd w:val="clear" w:color="auto" w:fill="F1F2F2"/>
          </w:tcPr>
          <w:p>
            <w:pPr>
              <w:spacing w:after="0"/>
              <w:rPr>
                <w:sz w:val="19"/>
                <w:szCs w:val="19"/>
                <w:color w:val="auto"/>
              </w:rPr>
            </w:pPr>
          </w:p>
        </w:tc>
        <w:tc>
          <w:tcPr>
            <w:tcW w:w="1640" w:type="dxa"/>
            <w:vAlign w:val="bottom"/>
            <w:shd w:val="clear" w:color="auto" w:fill="F1F2F2"/>
          </w:tcPr>
          <w:p>
            <w:pPr>
              <w:spacing w:after="0"/>
              <w:rPr>
                <w:sz w:val="19"/>
                <w:szCs w:val="19"/>
                <w:color w:val="auto"/>
              </w:rPr>
            </w:pPr>
          </w:p>
        </w:tc>
        <w:tc>
          <w:tcPr>
            <w:tcW w:w="1340" w:type="dxa"/>
            <w:vAlign w:val="bottom"/>
            <w:shd w:val="clear" w:color="auto" w:fill="F1F2F2"/>
          </w:tcPr>
          <w:p>
            <w:pPr>
              <w:spacing w:after="0"/>
              <w:rPr>
                <w:sz w:val="19"/>
                <w:szCs w:val="19"/>
                <w:color w:val="auto"/>
              </w:rPr>
            </w:pPr>
          </w:p>
        </w:tc>
        <w:tc>
          <w:tcPr>
            <w:tcW w:w="1080" w:type="dxa"/>
            <w:vAlign w:val="bottom"/>
            <w:shd w:val="clear" w:color="auto" w:fill="F1F2F2"/>
          </w:tcPr>
          <w:p>
            <w:pPr>
              <w:spacing w:after="0"/>
              <w:rPr>
                <w:sz w:val="19"/>
                <w:szCs w:val="19"/>
                <w:color w:val="auto"/>
              </w:rPr>
            </w:pP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Sherry L. Buck</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1,963</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1,963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Tracy A. Embree</w:t>
            </w:r>
          </w:p>
        </w:tc>
        <w:tc>
          <w:tcPr>
            <w:tcW w:w="1440" w:type="dxa"/>
            <w:vAlign w:val="bottom"/>
            <w:tcBorders>
              <w:bottom w:val="single" w:sz="8" w:color="F1F2F2"/>
            </w:tcBorders>
            <w:shd w:val="clear" w:color="auto" w:fill="F1F2F2"/>
          </w:tcPr>
          <w:p>
            <w:pPr>
              <w:jc w:val="right"/>
              <w:ind w:right="2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Sarah R. Martin</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Alok Maskara</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29,626</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22,993</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52,619</w:t>
            </w:r>
          </w:p>
        </w:tc>
        <w:tc>
          <w:tcPr>
            <w:tcW w:w="10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Joseph S. Nassab</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8,875</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7,996</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16,871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John W. Norris, III</w:t>
            </w:r>
            <w:r>
              <w:rPr>
                <w:rFonts w:ascii="Arial" w:cs="Arial" w:eastAsia="Arial" w:hAnsi="Arial"/>
                <w:sz w:val="9"/>
                <w:szCs w:val="9"/>
                <w:color w:val="auto"/>
              </w:rPr>
              <w:t>(5)</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3,227,243</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3,227,243</w:t>
            </w:r>
          </w:p>
        </w:tc>
        <w:tc>
          <w:tcPr>
            <w:tcW w:w="10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9.3</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Michael P. Quenzer</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2,703</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3,294</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5,997</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Karen H. Quintos</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6,910</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6,910</w:t>
            </w:r>
          </w:p>
        </w:tc>
        <w:tc>
          <w:tcPr>
            <w:tcW w:w="10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Daniel M. Sessa</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32,504</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16,541</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49,045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Sivasankaran Somasundaram</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716</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716</w:t>
            </w:r>
          </w:p>
        </w:tc>
        <w:tc>
          <w:tcPr>
            <w:tcW w:w="10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Todd J. Teske</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6,881</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6,881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09"/>
        </w:trPr>
        <w:tc>
          <w:tcPr>
            <w:tcW w:w="574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Jon Vander Ark</w:t>
            </w:r>
            <w:r>
              <w:rPr>
                <w:rFonts w:ascii="Arial" w:cs="Arial" w:eastAsia="Arial" w:hAnsi="Arial"/>
                <w:sz w:val="9"/>
                <w:szCs w:val="9"/>
                <w:color w:val="auto"/>
              </w:rPr>
              <w:t>(6)</w:t>
            </w:r>
          </w:p>
        </w:tc>
        <w:tc>
          <w:tcPr>
            <w:tcW w:w="14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274</w:t>
            </w:r>
          </w:p>
        </w:tc>
        <w:tc>
          <w:tcPr>
            <w:tcW w:w="1640" w:type="dxa"/>
            <w:vAlign w:val="bottom"/>
            <w:tcBorders>
              <w:bottom w:val="single" w:sz="8" w:color="F1F2F2"/>
            </w:tcBorders>
            <w:shd w:val="clear" w:color="auto" w:fill="F1F2F2"/>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F1F2F2"/>
            </w:tcBorders>
            <w:shd w:val="clear" w:color="auto" w:fill="F1F2F2"/>
          </w:tcPr>
          <w:p>
            <w:pPr>
              <w:jc w:val="right"/>
              <w:ind w:right="168"/>
              <w:spacing w:after="0"/>
              <w:rPr>
                <w:sz w:val="20"/>
                <w:szCs w:val="20"/>
                <w:color w:val="auto"/>
              </w:rPr>
            </w:pPr>
            <w:r>
              <w:rPr>
                <w:rFonts w:ascii="Arial" w:cs="Arial" w:eastAsia="Arial" w:hAnsi="Arial"/>
                <w:sz w:val="14"/>
                <w:szCs w:val="14"/>
                <w:color w:val="auto"/>
              </w:rPr>
              <w:t>274</w:t>
            </w:r>
          </w:p>
        </w:tc>
        <w:tc>
          <w:tcPr>
            <w:tcW w:w="1080" w:type="dxa"/>
            <w:vAlign w:val="bottom"/>
            <w:tcBorders>
              <w:bottom w:val="single" w:sz="8" w:color="F1F2F2"/>
            </w:tcBorders>
            <w:shd w:val="clear" w:color="auto" w:fill="F1F2F2"/>
          </w:tcPr>
          <w:p>
            <w:pPr>
              <w:jc w:val="right"/>
              <w:ind w:right="128"/>
              <w:spacing w:after="0"/>
              <w:rPr>
                <w:sz w:val="20"/>
                <w:szCs w:val="20"/>
                <w:color w:val="auto"/>
              </w:rPr>
            </w:pPr>
            <w:r>
              <w:rPr>
                <w:rFonts w:ascii="Arial" w:cs="Arial" w:eastAsia="Arial" w:hAnsi="Arial"/>
                <w:sz w:val="14"/>
                <w:szCs w:val="14"/>
                <w:color w:val="auto"/>
              </w:rPr>
              <w:t>*</w:t>
            </w:r>
          </w:p>
        </w:tc>
      </w:tr>
      <w:tr>
        <w:trPr>
          <w:trHeight w:val="208"/>
        </w:trPr>
        <w:tc>
          <w:tcPr>
            <w:tcW w:w="5740" w:type="dxa"/>
            <w:vAlign w:val="bottom"/>
          </w:tcPr>
          <w:p>
            <w:pPr>
              <w:ind w:left="180"/>
              <w:spacing w:after="0"/>
              <w:rPr>
                <w:sz w:val="20"/>
                <w:szCs w:val="20"/>
                <w:color w:val="auto"/>
              </w:rPr>
            </w:pPr>
            <w:r>
              <w:rPr>
                <w:rFonts w:ascii="Arial" w:cs="Arial" w:eastAsia="Arial" w:hAnsi="Arial"/>
                <w:sz w:val="14"/>
                <w:szCs w:val="14"/>
                <w:color w:val="auto"/>
              </w:rPr>
              <w:t>Shane D. Wall</w:t>
            </w:r>
            <w:r>
              <w:rPr>
                <w:rFonts w:ascii="Arial" w:cs="Arial" w:eastAsia="Arial" w:hAnsi="Arial"/>
                <w:sz w:val="9"/>
                <w:szCs w:val="9"/>
                <w:color w:val="auto"/>
              </w:rPr>
              <w:t>(7)</w:t>
            </w:r>
          </w:p>
        </w:tc>
        <w:tc>
          <w:tcPr>
            <w:tcW w:w="1440" w:type="dxa"/>
            <w:vAlign w:val="bottom"/>
          </w:tcPr>
          <w:p>
            <w:pPr>
              <w:jc w:val="right"/>
              <w:ind w:right="228"/>
              <w:spacing w:after="0"/>
              <w:rPr>
                <w:sz w:val="20"/>
                <w:szCs w:val="20"/>
                <w:color w:val="auto"/>
              </w:rPr>
            </w:pPr>
            <w:r>
              <w:rPr>
                <w:rFonts w:ascii="Arial" w:cs="Arial" w:eastAsia="Arial" w:hAnsi="Arial"/>
                <w:sz w:val="14"/>
                <w:szCs w:val="14"/>
                <w:color w:val="auto"/>
              </w:rPr>
              <w:t>2,205</w:t>
            </w:r>
          </w:p>
        </w:tc>
        <w:tc>
          <w:tcPr>
            <w:tcW w:w="16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68"/>
              <w:spacing w:after="0"/>
              <w:rPr>
                <w:sz w:val="20"/>
                <w:szCs w:val="20"/>
                <w:color w:val="auto"/>
              </w:rPr>
            </w:pPr>
            <w:r>
              <w:rPr>
                <w:rFonts w:ascii="Arial" w:cs="Arial" w:eastAsia="Arial" w:hAnsi="Arial"/>
                <w:sz w:val="14"/>
                <w:szCs w:val="14"/>
                <w:color w:val="auto"/>
              </w:rPr>
              <w:t>2,205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2"/>
        </w:trPr>
        <w:tc>
          <w:tcPr>
            <w:tcW w:w="5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0"/>
        </w:trPr>
        <w:tc>
          <w:tcPr>
            <w:tcW w:w="57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All current directors and executive officers as a group (16 persons)</w:t>
            </w:r>
          </w:p>
        </w:tc>
        <w:tc>
          <w:tcPr>
            <w:tcW w:w="1440" w:type="dxa"/>
            <w:vAlign w:val="bottom"/>
            <w:shd w:val="clear" w:color="auto" w:fill="F1F2F2"/>
          </w:tcPr>
          <w:p>
            <w:pPr>
              <w:jc w:val="right"/>
              <w:ind w:right="228"/>
              <w:spacing w:after="0"/>
              <w:rPr>
                <w:sz w:val="20"/>
                <w:szCs w:val="20"/>
                <w:color w:val="auto"/>
              </w:rPr>
            </w:pPr>
            <w:r>
              <w:rPr>
                <w:rFonts w:ascii="Arial" w:cs="Arial" w:eastAsia="Arial" w:hAnsi="Arial"/>
                <w:sz w:val="14"/>
                <w:szCs w:val="14"/>
                <w:color w:val="auto"/>
              </w:rPr>
              <w:t>3,341,571</w:t>
            </w:r>
          </w:p>
        </w:tc>
        <w:tc>
          <w:tcPr>
            <w:tcW w:w="164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62,126</w:t>
            </w:r>
          </w:p>
        </w:tc>
        <w:tc>
          <w:tcPr>
            <w:tcW w:w="1340" w:type="dxa"/>
            <w:vAlign w:val="bottom"/>
            <w:shd w:val="clear" w:color="auto" w:fill="F1F2F2"/>
          </w:tcPr>
          <w:p>
            <w:pPr>
              <w:jc w:val="right"/>
              <w:ind w:right="168"/>
              <w:spacing w:after="0"/>
              <w:rPr>
                <w:sz w:val="20"/>
                <w:szCs w:val="20"/>
                <w:color w:val="auto"/>
              </w:rPr>
            </w:pPr>
            <w:r>
              <w:rPr>
                <w:rFonts w:ascii="Arial" w:cs="Arial" w:eastAsia="Arial" w:hAnsi="Arial"/>
                <w:sz w:val="14"/>
                <w:szCs w:val="14"/>
                <w:color w:val="auto"/>
              </w:rPr>
              <w:t>3,403,697</w:t>
            </w:r>
          </w:p>
        </w:tc>
        <w:tc>
          <w:tcPr>
            <w:tcW w:w="1080" w:type="dxa"/>
            <w:vAlign w:val="bottom"/>
            <w:shd w:val="clear" w:color="auto" w:fill="F1F2F2"/>
          </w:tcPr>
          <w:p>
            <w:pPr>
              <w:jc w:val="right"/>
              <w:ind w:right="88"/>
              <w:spacing w:after="0"/>
              <w:rPr>
                <w:sz w:val="20"/>
                <w:szCs w:val="20"/>
                <w:color w:val="auto"/>
              </w:rPr>
            </w:pPr>
            <w:r>
              <w:rPr>
                <w:rFonts w:ascii="Arial" w:cs="Arial" w:eastAsia="Arial" w:hAnsi="Arial"/>
                <w:sz w:val="14"/>
                <w:szCs w:val="14"/>
                <w:color w:val="auto"/>
              </w:rPr>
              <w:t>9.8</w:t>
            </w:r>
          </w:p>
        </w:tc>
      </w:tr>
    </w:tbl>
    <w:p>
      <w:pPr>
        <w:spacing w:after="0" w:line="193"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Less than 1% of outstanding common stock</w:t>
      </w:r>
    </w:p>
    <w:p>
      <w:pPr>
        <w:spacing w:after="0" w:line="123"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vested SARs.</w:t>
      </w:r>
    </w:p>
    <w:p>
      <w:pPr>
        <w:spacing w:after="0" w:line="122" w:lineRule="exact"/>
        <w:rPr>
          <w:rFonts w:ascii="Arial" w:cs="Arial" w:eastAsia="Arial" w:hAnsi="Arial"/>
          <w:sz w:val="14"/>
          <w:szCs w:val="14"/>
          <w:color w:val="auto"/>
        </w:rPr>
      </w:pPr>
    </w:p>
    <w:p>
      <w:pPr>
        <w:ind w:left="340" w:right="420" w:hanging="332"/>
        <w:spacing w:after="0" w:line="285" w:lineRule="auto"/>
        <w:tabs>
          <w:tab w:leader="none" w:pos="327"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reported by BlackRock, Inc., 50 Hudson Yards, New York, NY 10001, on an amendment to Schedule 13G filed with the SEC on February 5, 2025. BlackRock, Inc. reported sole voting power with respect to 2,652,118 shares and sole dispositive power with respect to 2,863,070 shares.</w:t>
      </w:r>
    </w:p>
    <w:p>
      <w:pPr>
        <w:spacing w:after="0" w:line="63" w:lineRule="exact"/>
        <w:rPr>
          <w:rFonts w:ascii="Arial" w:cs="Arial" w:eastAsia="Arial" w:hAnsi="Arial"/>
          <w:sz w:val="14"/>
          <w:szCs w:val="14"/>
          <w:color w:val="auto"/>
        </w:rPr>
      </w:pPr>
    </w:p>
    <w:p>
      <w:pPr>
        <w:ind w:left="340" w:right="440" w:hanging="332"/>
        <w:spacing w:after="0" w:line="305" w:lineRule="auto"/>
        <w:tabs>
          <w:tab w:leader="none" w:pos="327" w:val="left"/>
        </w:tabs>
        <w:numPr>
          <w:ilvl w:val="0"/>
          <w:numId w:val="92"/>
        </w:numPr>
        <w:rPr>
          <w:rFonts w:ascii="Arial" w:cs="Arial" w:eastAsia="Arial" w:hAnsi="Arial"/>
          <w:sz w:val="14"/>
          <w:szCs w:val="14"/>
          <w:color w:val="auto"/>
        </w:rPr>
      </w:pPr>
      <w:r>
        <w:rPr>
          <w:rFonts w:ascii="Arial" w:cs="Arial" w:eastAsia="Arial" w:hAnsi="Arial"/>
          <w:sz w:val="14"/>
          <w:szCs w:val="14"/>
          <w:color w:val="auto"/>
        </w:rPr>
        <w:t>As reported by Capital International Investors, 333 South Hope Street, 55th Fl, Los Angeles, CA 90071, on a Schedule 13G filed with the SEC on February 13, 2026. Capital International Investors reported sole voting power with respect to 2,901,206 shares and sole dispositive power with respect to 2,944,558 shares.</w:t>
      </w:r>
    </w:p>
    <w:p>
      <w:pPr>
        <w:spacing w:after="0" w:line="31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72" w:name="page73"/>
    <w:bookmarkEnd w:id="72"/>
    <w:p>
      <w:pPr>
        <w:ind w:left="332" w:right="120" w:hanging="332"/>
        <w:spacing w:after="0" w:line="266" w:lineRule="auto"/>
        <w:tabs>
          <w:tab w:leader="none" w:pos="319"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reported by The Vanguard Group, 100 Vanguard Boulevard, Malvern, PA 19355 on an amendment to Schedule 13G filed with the SEC on January 8, 2025. The Vanguard Group reported shared voting power with respect to 38,334 shares, sole dispositive power with respect to 3,767,938 shares and shared dispositive power with respect to 115,593 shares. According to an amendment to Schedule 13G filed with the SEC on March 27, 2026, The Vanguard Group owns 0.0% as of March 13, 2026, following an internal reorganization pursuant to which The Vanguard Group's beneficial ownership has been disaggregated. In the March 27, 2026, amendment to Schedule 13G, The Vanguard Group noted that certain subsidiaries or business divisions of subsidiaries of The Vanguard Group, that formerly had, or were deemed to have, beneficial ownership with The Vanguard Group, will report beneficial ownership separately (on a disaggregated basis) from The Vanguard Group.</w:t>
      </w:r>
    </w:p>
    <w:p>
      <w:pPr>
        <w:spacing w:after="0" w:line="76" w:lineRule="exact"/>
        <w:rPr>
          <w:rFonts w:ascii="Arial" w:cs="Arial" w:eastAsia="Arial" w:hAnsi="Arial"/>
          <w:sz w:val="14"/>
          <w:szCs w:val="14"/>
          <w:color w:val="auto"/>
        </w:rPr>
      </w:pPr>
    </w:p>
    <w:p>
      <w:pPr>
        <w:ind w:left="332" w:hanging="332"/>
        <w:spacing w:after="0" w:line="265" w:lineRule="auto"/>
        <w:tabs>
          <w:tab w:leader="none" w:pos="319"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(a) 28,372 shares held by the L.C. Norris Revocable Trust, 28,372 shares held by the W.H. Norris Revocable Trust, and 28,372 shares held by the B.W. Norris Revocable Trust, for each of which Mr. Norris is a co-trustee; (b) 1,685 shares held by the Norris-Newman Minors Trust, for which Mr. Norris is the trustee; (c) 107,250 shares held by the John W. Norris, III Trust A, for which Mr. Norris is the co-trustee; (d) 5,636 shares held by his spouse, Catherine Houlihan; (e) 6,551 shares held by the Norris Living Trust, for which Mr. Norris is the co-trustee; (f) 27,731 shares held by the Norris Marital Trust - Exempt, for which Mr. Norris is the co-trustee; (g) 178,295 shares held by the Norris Marital Trust - Non-Exempt, for which Mr. Norris is the co-trustee; (h) 2,545,105 shares directly owned by the Norris Family Limited Partnership, for which Mr. Norris is the President of its general partner, JW Norris, Inc., (i) 90,570 shares held by the Cabin Foundation, for which Mr. Norris is the President and (j) 727 shares held by the Norris Child’s Trust fbo John W. Norris III.</w:t>
      </w:r>
    </w:p>
    <w:p>
      <w:pPr>
        <w:spacing w:after="0" w:line="65" w:lineRule="exact"/>
        <w:rPr>
          <w:rFonts w:ascii="Arial" w:cs="Arial" w:eastAsia="Arial" w:hAnsi="Arial"/>
          <w:sz w:val="14"/>
          <w:szCs w:val="14"/>
          <w:color w:val="auto"/>
        </w:rPr>
      </w:pPr>
    </w:p>
    <w:p>
      <w:pPr>
        <w:ind w:left="312" w:hanging="312"/>
        <w:spacing w:after="0"/>
        <w:tabs>
          <w:tab w:leader="none" w:pos="312"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4 shares held by Jonathan D. Vander Ark and Amy B. Vander Ark Joint Revocable Trust.</w:t>
      </w:r>
    </w:p>
    <w:p>
      <w:pPr>
        <w:spacing w:after="0" w:line="122" w:lineRule="exact"/>
        <w:rPr>
          <w:rFonts w:ascii="Arial" w:cs="Arial" w:eastAsia="Arial" w:hAnsi="Arial"/>
          <w:sz w:val="14"/>
          <w:szCs w:val="14"/>
          <w:color w:val="auto"/>
        </w:rPr>
      </w:pPr>
    </w:p>
    <w:p>
      <w:pPr>
        <w:ind w:left="312" w:hanging="312"/>
        <w:spacing w:after="0"/>
        <w:tabs>
          <w:tab w:leader="none" w:pos="312"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966 shares held by the Wall Family Trust.</w:t>
      </w:r>
    </w:p>
    <w:p>
      <w:pPr>
        <w:spacing w:after="0" w:line="396"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167640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778" w:right="4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28"/>
          <w:szCs w:val="28"/>
          <w:b w:val="1"/>
          <w:bCs w:val="1"/>
          <w:color w:val="C6093B"/>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Attending and Voting at the Annual Meeting of Stockholders</w:t>
      </w:r>
    </w:p>
    <w:p>
      <w:pPr>
        <w:spacing w:after="0" w:line="162" w:lineRule="exact"/>
        <w:rPr>
          <w:sz w:val="20"/>
          <w:szCs w:val="20"/>
          <w:color w:val="auto"/>
        </w:rPr>
      </w:pPr>
    </w:p>
    <w:p>
      <w:pPr>
        <w:ind w:left="1520" w:right="360"/>
        <w:spacing w:after="0" w:line="252" w:lineRule="auto"/>
        <w:rPr>
          <w:sz w:val="20"/>
          <w:szCs w:val="20"/>
          <w:color w:val="auto"/>
        </w:rPr>
      </w:pPr>
      <w:r>
        <w:rPr>
          <w:rFonts w:ascii="Arial" w:cs="Arial" w:eastAsia="Arial" w:hAnsi="Arial"/>
          <w:sz w:val="18"/>
          <w:szCs w:val="18"/>
          <w:color w:val="auto"/>
        </w:rPr>
        <w:t>The virtual-only meeting format enhances stockholder access to the Annual Meeting by enabling stockholder attendance and participation from anywhere in the world, without cost. We believe that the virtual-only meeting format gives stockholders the opportunity to exercise the same rights as if they had attended an in-person meeting and encourages communication with our Board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-548005</wp:posOffset>
            </wp:positionV>
            <wp:extent cx="574040" cy="5746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326" w:lineRule="exact"/>
        <w:rPr>
          <w:sz w:val="20"/>
          <w:szCs w:val="20"/>
          <w:color w:val="auto"/>
        </w:rPr>
      </w:pPr>
    </w:p>
    <w:p>
      <w:pPr>
        <w:ind w:right="140" w:firstLine="324"/>
        <w:spacing w:after="0" w:line="245" w:lineRule="auto"/>
        <w:rPr>
          <w:sz w:val="20"/>
          <w:szCs w:val="20"/>
          <w:color w:val="auto"/>
        </w:rPr>
      </w:pPr>
      <w:r>
        <w:rPr>
          <w:rFonts w:ascii="Arial" w:cs="Arial" w:eastAsia="Arial" w:hAnsi="Arial"/>
          <w:sz w:val="18"/>
          <w:szCs w:val="18"/>
          <w:color w:val="auto"/>
        </w:rPr>
        <w:t>To attend the Annual Meeting, you must register in advance at www.proxydocs.com/LII using the control number located on your Proxy Card, Notice of Internet Availability of Proxy Materials, or voting instruction form. Upon completing your registration, you will receive further instructions by email, including a unique link that will allow you access to the Annual Meeting and to vote and submit questions to be answered at the Annual Meeting. If you are a beneficial owner of shares registered in the name of a broker, bank, or other nominee, as part of the registration process, you will also need to provide the registered name on your account and the name of your broker, bank, or other nominee.</w:t>
      </w:r>
    </w:p>
    <w:p>
      <w:pPr>
        <w:spacing w:after="0" w:line="12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Annual Meeting will start promptly at 10:30 a.m, CDT. Stockholders may begin to log in to the Annual Meeting 15 minutes prior to the start time. If you encounter any difficulties accessing the virtual Annual Meeting platform, including any difficulties voting, you may call the technical support number that will be included in your instructional email.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Questions at the Virtual Annual Meeting</w:t>
      </w:r>
    </w:p>
    <w:p>
      <w:pPr>
        <w:spacing w:after="0" w:line="16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Annual Meeting allows stockholders to submit questions before and during the Annual Meeting. After the votes are tabulated for each of the proposals, there will be a designated question and answer period where we will respond to questions submitted by stockholders. We will answer as many questions as time permits, and any questions that we are unable to address during the Annual Meeting will be answered following the Annual Meeting.</w:t>
      </w:r>
    </w:p>
    <w:p>
      <w:pPr>
        <w:spacing w:after="0" w:line="116"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If we receive substantially similar questions, to avoid repetition, we will group those questions together and provide a single response. Questions regarding personal matters or matters not relevant to the Annual Meeting will not be answered. We will also post questions submitted by stockholders and our answers on our website for a period of 60 days following the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Record Versus Beneficial Ownership of Shares</w:t>
      </w:r>
    </w:p>
    <w:p>
      <w:pPr>
        <w:spacing w:after="0" w:line="156" w:lineRule="exact"/>
        <w:rPr>
          <w:sz w:val="20"/>
          <w:szCs w:val="20"/>
          <w:color w:val="auto"/>
        </w:rPr>
      </w:pPr>
    </w:p>
    <w:p>
      <w:pPr>
        <w:ind w:firstLine="324"/>
        <w:spacing w:after="0" w:line="248" w:lineRule="auto"/>
        <w:rPr>
          <w:sz w:val="20"/>
          <w:szCs w:val="20"/>
          <w:color w:val="auto"/>
        </w:rPr>
      </w:pPr>
      <w:r>
        <w:rPr>
          <w:rFonts w:ascii="Arial" w:cs="Arial" w:eastAsia="Arial" w:hAnsi="Arial"/>
          <w:sz w:val="18"/>
          <w:szCs w:val="18"/>
          <w:color w:val="auto"/>
        </w:rPr>
        <w:t>If your shares are registered directly in your name with our transfer agent, Computershare Trust Company, N.A., you are the “stockholder of record” with respect to those shares. If you are a stockholder of record, we sent our proxy materials directly to you. If your shares are held in a stock brokerage account or by a bank, you are considered the “beneficial owner” of shares held in street name. In that case, our proxy materials will be forwarded to you by your broker or bank, which is considered the stockholder of record with respect to those shares. Your broker or bank will also send you instructions on how to vote. If you have not heard from your broker or bank, please contact them as soon as possible.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Quorum Requirement</w:t>
      </w:r>
    </w:p>
    <w:p>
      <w:pPr>
        <w:spacing w:after="0" w:line="169"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 quorum is required to transact business at the Annual Meeting. To achieve a quorum, stockholders holding a majority of our outstanding shares of common stock entitled to vote must be present either in person or represented by proxy. Shares held by us in treasury will not count towards the determination of a quorum.</w:t>
      </w:r>
    </w:p>
    <w:p>
      <w:pPr>
        <w:spacing w:after="0" w:line="128"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As of March 26, 2026, the record date for the Annual Meeting, 34,817,885 shares of our common stock were outstanding. Abstentions and “broker non-votes” (as explained below) will be counted for purposes of establishing a quorum. Each share of our common stock outstanding on the record date is entitled to one vote on each of the director nominees and one vote on each other matter.</w:t>
      </w:r>
    </w:p>
    <w:p>
      <w:pPr>
        <w:spacing w:after="0" w:line="12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If a quorum is not present at the Annual Meeting, we expect the Annual Meeting will be adjourned or postponed to solicit additional proxies. In such event, the Chair or stockholders representing a majority of the outstanding shares entitled to vote and present in person or by proxy at the Annual Meeting may adjourn the Annual Meeting.</w:t>
      </w:r>
    </w:p>
    <w:p>
      <w:pPr>
        <w:spacing w:after="0" w:line="3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07" w:right="35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C60C35"/>
        </w:rPr>
        <w:t>Vote Requirement for Each Proposal</w:t>
      </w:r>
    </w:p>
    <w:p>
      <w:pPr>
        <w:spacing w:after="0" w:line="15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following chart describes the proposals to be considered at the Annual Meeting, the vote required to elect directors and to adopt each other proposal, and the manner in which votes will be counted: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940" w:type="dxa"/>
            <w:vAlign w:val="bottom"/>
            <w:shd w:val="clear" w:color="auto" w:fill="C60C35"/>
          </w:tcPr>
          <w:p>
            <w:pPr>
              <w:spacing w:after="0"/>
              <w:rPr>
                <w:sz w:val="15"/>
                <w:szCs w:val="15"/>
                <w:color w:val="auto"/>
              </w:rPr>
            </w:pPr>
          </w:p>
        </w:tc>
        <w:tc>
          <w:tcPr>
            <w:tcW w:w="1520" w:type="dxa"/>
            <w:vAlign w:val="bottom"/>
            <w:shd w:val="clear" w:color="auto" w:fill="C60C35"/>
          </w:tcPr>
          <w:p>
            <w:pPr>
              <w:spacing w:after="0"/>
              <w:rPr>
                <w:sz w:val="15"/>
                <w:szCs w:val="15"/>
                <w:color w:val="auto"/>
              </w:rPr>
            </w:pPr>
          </w:p>
        </w:tc>
        <w:tc>
          <w:tcPr>
            <w:tcW w:w="3120" w:type="dxa"/>
            <w:vAlign w:val="bottom"/>
            <w:shd w:val="clear" w:color="auto" w:fill="C60C35"/>
          </w:tcPr>
          <w:p>
            <w:pPr>
              <w:spacing w:after="0"/>
              <w:rPr>
                <w:sz w:val="15"/>
                <w:szCs w:val="15"/>
                <w:color w:val="auto"/>
              </w:rPr>
            </w:pPr>
          </w:p>
        </w:tc>
        <w:tc>
          <w:tcPr>
            <w:tcW w:w="1620" w:type="dxa"/>
            <w:vAlign w:val="bottom"/>
            <w:shd w:val="clear" w:color="auto" w:fill="C60C35"/>
          </w:tcPr>
          <w:p>
            <w:pPr>
              <w:spacing w:after="0"/>
              <w:rPr>
                <w:sz w:val="15"/>
                <w:szCs w:val="15"/>
                <w:color w:val="auto"/>
              </w:rPr>
            </w:pPr>
          </w:p>
        </w:tc>
        <w:tc>
          <w:tcPr>
            <w:tcW w:w="1160" w:type="dxa"/>
            <w:vAlign w:val="bottom"/>
            <w:shd w:val="clear" w:color="auto" w:fill="C60C35"/>
          </w:tcPr>
          <w:p>
            <w:pPr>
              <w:ind w:left="120"/>
              <w:spacing w:after="0"/>
              <w:rPr>
                <w:sz w:val="20"/>
                <w:szCs w:val="20"/>
                <w:color w:val="auto"/>
              </w:rPr>
            </w:pPr>
            <w:r>
              <w:rPr>
                <w:rFonts w:ascii="Arial" w:cs="Arial" w:eastAsia="Arial" w:hAnsi="Arial"/>
                <w:sz w:val="14"/>
                <w:szCs w:val="14"/>
                <w:b w:val="1"/>
                <w:bCs w:val="1"/>
                <w:color w:val="FFFFFF"/>
              </w:rPr>
              <w:t>Broker</w:t>
            </w:r>
          </w:p>
        </w:tc>
        <w:tc>
          <w:tcPr>
            <w:tcW w:w="1880" w:type="dxa"/>
            <w:vAlign w:val="bottom"/>
            <w:shd w:val="clear" w:color="auto" w:fill="C60C35"/>
          </w:tcPr>
          <w:p>
            <w:pPr>
              <w:spacing w:after="0"/>
              <w:rPr>
                <w:sz w:val="15"/>
                <w:szCs w:val="15"/>
                <w:color w:val="auto"/>
              </w:rPr>
            </w:pPr>
          </w:p>
        </w:tc>
      </w:tr>
      <w:tr>
        <w:trPr>
          <w:trHeight w:val="175"/>
        </w:trPr>
        <w:tc>
          <w:tcPr>
            <w:tcW w:w="1940" w:type="dxa"/>
            <w:vAlign w:val="bottom"/>
            <w:shd w:val="clear" w:color="auto" w:fill="C60C35"/>
          </w:tcPr>
          <w:p>
            <w:pPr>
              <w:spacing w:after="0"/>
              <w:rPr>
                <w:sz w:val="15"/>
                <w:szCs w:val="15"/>
                <w:color w:val="auto"/>
              </w:rPr>
            </w:pPr>
          </w:p>
        </w:tc>
        <w:tc>
          <w:tcPr>
            <w:tcW w:w="1520" w:type="dxa"/>
            <w:vAlign w:val="bottom"/>
            <w:shd w:val="clear" w:color="auto" w:fill="C60C35"/>
          </w:tcPr>
          <w:p>
            <w:pPr>
              <w:spacing w:after="0"/>
              <w:rPr>
                <w:sz w:val="15"/>
                <w:szCs w:val="15"/>
                <w:color w:val="auto"/>
              </w:rPr>
            </w:pPr>
          </w:p>
        </w:tc>
        <w:tc>
          <w:tcPr>
            <w:tcW w:w="3120" w:type="dxa"/>
            <w:vAlign w:val="bottom"/>
            <w:shd w:val="clear" w:color="auto" w:fill="C60C35"/>
          </w:tcPr>
          <w:p>
            <w:pPr>
              <w:ind w:left="280"/>
              <w:spacing w:after="0"/>
              <w:rPr>
                <w:sz w:val="20"/>
                <w:szCs w:val="20"/>
                <w:color w:val="auto"/>
              </w:rPr>
            </w:pPr>
            <w:r>
              <w:rPr>
                <w:rFonts w:ascii="Arial" w:cs="Arial" w:eastAsia="Arial" w:hAnsi="Arial"/>
                <w:sz w:val="14"/>
                <w:szCs w:val="14"/>
                <w:b w:val="1"/>
                <w:bCs w:val="1"/>
                <w:color w:val="FFFFFF"/>
              </w:rPr>
              <w:t>Vote Required to Adopt the</w:t>
            </w:r>
          </w:p>
        </w:tc>
        <w:tc>
          <w:tcPr>
            <w:tcW w:w="1620" w:type="dxa"/>
            <w:vAlign w:val="bottom"/>
            <w:shd w:val="clear" w:color="auto" w:fill="C60C35"/>
          </w:tcPr>
          <w:p>
            <w:pPr>
              <w:spacing w:after="0"/>
              <w:rPr>
                <w:sz w:val="15"/>
                <w:szCs w:val="15"/>
                <w:color w:val="auto"/>
              </w:rPr>
            </w:pPr>
          </w:p>
        </w:tc>
        <w:tc>
          <w:tcPr>
            <w:tcW w:w="3040" w:type="dxa"/>
            <w:vAlign w:val="bottom"/>
            <w:gridSpan w:val="2"/>
            <w:shd w:val="clear" w:color="auto" w:fill="C60C35"/>
          </w:tcPr>
          <w:p>
            <w:pPr>
              <w:ind w:left="120"/>
              <w:spacing w:after="0"/>
              <w:rPr>
                <w:sz w:val="20"/>
                <w:szCs w:val="20"/>
                <w:color w:val="auto"/>
              </w:rPr>
            </w:pPr>
            <w:r>
              <w:rPr>
                <w:rFonts w:ascii="Arial" w:cs="Arial" w:eastAsia="Arial" w:hAnsi="Arial"/>
                <w:sz w:val="14"/>
                <w:szCs w:val="14"/>
                <w:b w:val="1"/>
                <w:bCs w:val="1"/>
                <w:color w:val="FFFFFF"/>
              </w:rPr>
              <w:t>Discretionary Votes Effect of Broker</w:t>
            </w:r>
          </w:p>
        </w:tc>
      </w:tr>
      <w:tr>
        <w:trPr>
          <w:trHeight w:val="210"/>
        </w:trPr>
        <w:tc>
          <w:tcPr>
            <w:tcW w:w="1940" w:type="dxa"/>
            <w:vAlign w:val="bottom"/>
            <w:shd w:val="clear" w:color="auto" w:fill="C60C35"/>
          </w:tcPr>
          <w:p>
            <w:pPr>
              <w:ind w:left="100"/>
              <w:spacing w:after="0"/>
              <w:rPr>
                <w:sz w:val="20"/>
                <w:szCs w:val="20"/>
                <w:color w:val="auto"/>
              </w:rPr>
            </w:pPr>
            <w:r>
              <w:rPr>
                <w:rFonts w:ascii="Arial" w:cs="Arial" w:eastAsia="Arial" w:hAnsi="Arial"/>
                <w:sz w:val="14"/>
                <w:szCs w:val="14"/>
                <w:b w:val="1"/>
                <w:bCs w:val="1"/>
                <w:color w:val="FFFFFF"/>
              </w:rPr>
              <w:t>Proposal</w:t>
            </w:r>
          </w:p>
        </w:tc>
        <w:tc>
          <w:tcPr>
            <w:tcW w:w="1520" w:type="dxa"/>
            <w:vAlign w:val="bottom"/>
            <w:shd w:val="clear" w:color="auto" w:fill="C60C35"/>
          </w:tcPr>
          <w:p>
            <w:pPr>
              <w:ind w:left="20"/>
              <w:spacing w:after="0"/>
              <w:rPr>
                <w:sz w:val="20"/>
                <w:szCs w:val="20"/>
                <w:color w:val="auto"/>
              </w:rPr>
            </w:pPr>
            <w:r>
              <w:rPr>
                <w:rFonts w:ascii="Arial" w:cs="Arial" w:eastAsia="Arial" w:hAnsi="Arial"/>
                <w:sz w:val="14"/>
                <w:szCs w:val="14"/>
                <w:b w:val="1"/>
                <w:bCs w:val="1"/>
                <w:color w:val="FFFFFF"/>
              </w:rPr>
              <w:t>Voting Options</w:t>
            </w:r>
          </w:p>
        </w:tc>
        <w:tc>
          <w:tcPr>
            <w:tcW w:w="3120" w:type="dxa"/>
            <w:vAlign w:val="bottom"/>
            <w:shd w:val="clear" w:color="auto" w:fill="C60C35"/>
          </w:tcPr>
          <w:p>
            <w:pPr>
              <w:ind w:left="280"/>
              <w:spacing w:after="0"/>
              <w:rPr>
                <w:sz w:val="20"/>
                <w:szCs w:val="20"/>
                <w:color w:val="auto"/>
              </w:rPr>
            </w:pPr>
            <w:r>
              <w:rPr>
                <w:rFonts w:ascii="Arial" w:cs="Arial" w:eastAsia="Arial" w:hAnsi="Arial"/>
                <w:sz w:val="14"/>
                <w:szCs w:val="14"/>
                <w:b w:val="1"/>
                <w:bCs w:val="1"/>
                <w:color w:val="FFFFFF"/>
              </w:rPr>
              <w:t>Proposal</w:t>
            </w:r>
          </w:p>
        </w:tc>
        <w:tc>
          <w:tcPr>
            <w:tcW w:w="1620" w:type="dxa"/>
            <w:vAlign w:val="bottom"/>
            <w:shd w:val="clear" w:color="auto" w:fill="C60C35"/>
          </w:tcPr>
          <w:p>
            <w:pPr>
              <w:ind w:left="60"/>
              <w:spacing w:after="0"/>
              <w:rPr>
                <w:sz w:val="20"/>
                <w:szCs w:val="20"/>
                <w:color w:val="auto"/>
              </w:rPr>
            </w:pPr>
            <w:r>
              <w:rPr>
                <w:rFonts w:ascii="Arial" w:cs="Arial" w:eastAsia="Arial" w:hAnsi="Arial"/>
                <w:sz w:val="14"/>
                <w:szCs w:val="14"/>
                <w:b w:val="1"/>
                <w:bCs w:val="1"/>
                <w:color w:val="FFFFFF"/>
              </w:rPr>
              <w:t>Effect of Abstentions</w:t>
            </w:r>
          </w:p>
        </w:tc>
        <w:tc>
          <w:tcPr>
            <w:tcW w:w="1160" w:type="dxa"/>
            <w:vAlign w:val="bottom"/>
            <w:shd w:val="clear" w:color="auto" w:fill="C60C35"/>
          </w:tcPr>
          <w:p>
            <w:pPr>
              <w:ind w:left="120"/>
              <w:spacing w:after="0"/>
              <w:rPr>
                <w:sz w:val="20"/>
                <w:szCs w:val="20"/>
                <w:color w:val="auto"/>
              </w:rPr>
            </w:pPr>
            <w:r>
              <w:rPr>
                <w:rFonts w:ascii="Arial" w:cs="Arial" w:eastAsia="Arial" w:hAnsi="Arial"/>
                <w:sz w:val="14"/>
                <w:szCs w:val="14"/>
                <w:b w:val="1"/>
                <w:bCs w:val="1"/>
                <w:color w:val="FFFFFF"/>
              </w:rPr>
              <w:t>Allowed?</w:t>
            </w:r>
          </w:p>
        </w:tc>
        <w:tc>
          <w:tcPr>
            <w:tcW w:w="1880" w:type="dxa"/>
            <w:vAlign w:val="bottom"/>
            <w:shd w:val="clear" w:color="auto" w:fill="C60C35"/>
          </w:tcPr>
          <w:p>
            <w:pPr>
              <w:ind w:left="380"/>
              <w:spacing w:after="0"/>
              <w:rPr>
                <w:sz w:val="20"/>
                <w:szCs w:val="20"/>
                <w:color w:val="auto"/>
              </w:rPr>
            </w:pPr>
            <w:r>
              <w:rPr>
                <w:rFonts w:ascii="Arial" w:cs="Arial" w:eastAsia="Arial" w:hAnsi="Arial"/>
                <w:sz w:val="14"/>
                <w:szCs w:val="14"/>
                <w:b w:val="1"/>
                <w:bCs w:val="1"/>
                <w:color w:val="FFFFFF"/>
              </w:rPr>
              <w:t>Non-Votes*</w:t>
            </w:r>
          </w:p>
        </w:tc>
      </w:tr>
      <w:tr>
        <w:trPr>
          <w:trHeight w:val="97"/>
        </w:trPr>
        <w:tc>
          <w:tcPr>
            <w:tcW w:w="1940" w:type="dxa"/>
            <w:vAlign w:val="bottom"/>
            <w:shd w:val="clear" w:color="auto" w:fill="C60C35"/>
          </w:tcPr>
          <w:p>
            <w:pPr>
              <w:spacing w:after="0"/>
              <w:rPr>
                <w:sz w:val="8"/>
                <w:szCs w:val="8"/>
                <w:color w:val="auto"/>
              </w:rPr>
            </w:pPr>
          </w:p>
        </w:tc>
        <w:tc>
          <w:tcPr>
            <w:tcW w:w="1520" w:type="dxa"/>
            <w:vAlign w:val="bottom"/>
            <w:shd w:val="clear" w:color="auto" w:fill="C60C35"/>
          </w:tcPr>
          <w:p>
            <w:pPr>
              <w:spacing w:after="0"/>
              <w:rPr>
                <w:sz w:val="8"/>
                <w:szCs w:val="8"/>
                <w:color w:val="auto"/>
              </w:rPr>
            </w:pPr>
          </w:p>
        </w:tc>
        <w:tc>
          <w:tcPr>
            <w:tcW w:w="3120" w:type="dxa"/>
            <w:vAlign w:val="bottom"/>
            <w:shd w:val="clear" w:color="auto" w:fill="C60C35"/>
          </w:tcPr>
          <w:p>
            <w:pPr>
              <w:spacing w:after="0"/>
              <w:rPr>
                <w:sz w:val="8"/>
                <w:szCs w:val="8"/>
                <w:color w:val="auto"/>
              </w:rPr>
            </w:pPr>
          </w:p>
        </w:tc>
        <w:tc>
          <w:tcPr>
            <w:tcW w:w="1620" w:type="dxa"/>
            <w:vAlign w:val="bottom"/>
            <w:shd w:val="clear" w:color="auto" w:fill="C60C35"/>
          </w:tcPr>
          <w:p>
            <w:pPr>
              <w:spacing w:after="0"/>
              <w:rPr>
                <w:sz w:val="8"/>
                <w:szCs w:val="8"/>
                <w:color w:val="auto"/>
              </w:rPr>
            </w:pPr>
          </w:p>
        </w:tc>
        <w:tc>
          <w:tcPr>
            <w:tcW w:w="1160" w:type="dxa"/>
            <w:vAlign w:val="bottom"/>
            <w:shd w:val="clear" w:color="auto" w:fill="C60C35"/>
          </w:tcPr>
          <w:p>
            <w:pPr>
              <w:spacing w:after="0"/>
              <w:rPr>
                <w:sz w:val="8"/>
                <w:szCs w:val="8"/>
                <w:color w:val="auto"/>
              </w:rPr>
            </w:pPr>
          </w:p>
        </w:tc>
        <w:tc>
          <w:tcPr>
            <w:tcW w:w="1880" w:type="dxa"/>
            <w:vAlign w:val="bottom"/>
            <w:shd w:val="clear" w:color="auto" w:fill="C60C35"/>
          </w:tcPr>
          <w:p>
            <w:pPr>
              <w:spacing w:after="0"/>
              <w:rPr>
                <w:sz w:val="8"/>
                <w:szCs w:val="8"/>
                <w:color w:val="auto"/>
              </w:rPr>
            </w:pPr>
          </w:p>
        </w:tc>
      </w:tr>
      <w:tr>
        <w:trPr>
          <w:trHeight w:val="247"/>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C60C35"/>
              </w:rPr>
              <w:t>Proposal 1</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Majority of votes cast, meaning a nominee</w:t>
            </w:r>
          </w:p>
        </w:tc>
        <w:tc>
          <w:tcPr>
            <w:tcW w:w="1620" w:type="dxa"/>
            <w:vAlign w:val="bottom"/>
            <w:shd w:val="clear" w:color="auto" w:fill="F1F2F2"/>
          </w:tcPr>
          <w:p>
            <w:pPr>
              <w:ind w:left="60"/>
              <w:spacing w:after="0"/>
              <w:rPr>
                <w:sz w:val="20"/>
                <w:szCs w:val="20"/>
                <w:color w:val="auto"/>
              </w:rPr>
            </w:pPr>
            <w:r>
              <w:rPr>
                <w:rFonts w:ascii="Arial" w:cs="Arial" w:eastAsia="Arial" w:hAnsi="Arial"/>
                <w:sz w:val="14"/>
                <w:szCs w:val="14"/>
                <w:color w:val="auto"/>
              </w:rPr>
              <w:t>No effect</w:t>
            </w:r>
          </w:p>
        </w:tc>
        <w:tc>
          <w:tcPr>
            <w:tcW w:w="1160" w:type="dxa"/>
            <w:vAlign w:val="bottom"/>
            <w:shd w:val="clear" w:color="auto" w:fill="F1F2F2"/>
          </w:tcPr>
          <w:p>
            <w:pPr>
              <w:ind w:left="120"/>
              <w:spacing w:after="0"/>
              <w:rPr>
                <w:sz w:val="20"/>
                <w:szCs w:val="20"/>
                <w:color w:val="auto"/>
              </w:rPr>
            </w:pPr>
            <w:r>
              <w:rPr>
                <w:rFonts w:ascii="Arial" w:cs="Arial" w:eastAsia="Arial" w:hAnsi="Arial"/>
                <w:sz w:val="14"/>
                <w:szCs w:val="14"/>
                <w:color w:val="auto"/>
              </w:rPr>
              <w:t>No</w:t>
            </w:r>
          </w:p>
        </w:tc>
        <w:tc>
          <w:tcPr>
            <w:tcW w:w="1880" w:type="dxa"/>
            <w:vAlign w:val="bottom"/>
            <w:shd w:val="clear" w:color="auto" w:fill="F1F2F2"/>
          </w:tcPr>
          <w:p>
            <w:pPr>
              <w:ind w:left="380"/>
              <w:spacing w:after="0"/>
              <w:rPr>
                <w:sz w:val="20"/>
                <w:szCs w:val="20"/>
                <w:color w:val="auto"/>
              </w:rPr>
            </w:pPr>
            <w:r>
              <w:rPr>
                <w:rFonts w:ascii="Arial" w:cs="Arial" w:eastAsia="Arial" w:hAnsi="Arial"/>
                <w:sz w:val="14"/>
                <w:szCs w:val="14"/>
                <w:color w:val="auto"/>
              </w:rPr>
              <w:t>No effect</w:t>
            </w:r>
          </w:p>
        </w:tc>
      </w:tr>
      <w:tr>
        <w:trPr>
          <w:trHeight w:val="176"/>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Election of Directors</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 xml:space="preserve">ABSTAIN </w:t>
            </w:r>
            <w:r>
              <w:rPr>
                <w:rFonts w:ascii="Arial" w:cs="Arial" w:eastAsia="Arial" w:hAnsi="Arial"/>
                <w:sz w:val="14"/>
                <w:szCs w:val="14"/>
                <w:color w:val="auto"/>
              </w:rPr>
              <w:t>for each</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will be elected if the votes cast </w:t>
            </w:r>
            <w:r>
              <w:rPr>
                <w:rFonts w:ascii="Arial" w:cs="Arial" w:eastAsia="Arial" w:hAnsi="Arial"/>
                <w:sz w:val="14"/>
                <w:szCs w:val="14"/>
                <w:b w:val="1"/>
                <w:bCs w:val="1"/>
                <w:color w:val="auto"/>
              </w:rPr>
              <w:t>FOR</w:t>
            </w:r>
            <w:r>
              <w:rPr>
                <w:rFonts w:ascii="Arial" w:cs="Arial" w:eastAsia="Arial" w:hAnsi="Arial"/>
                <w:sz w:val="14"/>
                <w:szCs w:val="14"/>
                <w:color w:val="auto"/>
              </w:rPr>
              <w:t xml:space="preserve"> such</w:t>
            </w:r>
          </w:p>
        </w:tc>
        <w:tc>
          <w:tcPr>
            <w:tcW w:w="1620" w:type="dxa"/>
            <w:vAlign w:val="bottom"/>
            <w:shd w:val="clear" w:color="auto" w:fill="F1F2F2"/>
          </w:tcPr>
          <w:p>
            <w:pPr>
              <w:spacing w:after="0"/>
              <w:rPr>
                <w:sz w:val="15"/>
                <w:szCs w:val="15"/>
                <w:color w:val="auto"/>
              </w:rPr>
            </w:pPr>
          </w:p>
        </w:tc>
        <w:tc>
          <w:tcPr>
            <w:tcW w:w="1160" w:type="dxa"/>
            <w:vAlign w:val="bottom"/>
            <w:shd w:val="clear" w:color="auto" w:fill="F1F2F2"/>
          </w:tcPr>
          <w:p>
            <w:pPr>
              <w:spacing w:after="0"/>
              <w:rPr>
                <w:sz w:val="15"/>
                <w:szCs w:val="15"/>
                <w:color w:val="auto"/>
              </w:rPr>
            </w:pPr>
          </w:p>
        </w:tc>
        <w:tc>
          <w:tcPr>
            <w:tcW w:w="1880" w:type="dxa"/>
            <w:vAlign w:val="bottom"/>
            <w:shd w:val="clear" w:color="auto" w:fill="F1F2F2"/>
          </w:tcPr>
          <w:p>
            <w:pPr>
              <w:spacing w:after="0"/>
              <w:rPr>
                <w:sz w:val="15"/>
                <w:szCs w:val="15"/>
                <w:color w:val="auto"/>
              </w:rPr>
            </w:pPr>
          </w:p>
        </w:tc>
      </w:tr>
      <w:tr>
        <w:trPr>
          <w:trHeight w:val="162"/>
        </w:trPr>
        <w:tc>
          <w:tcPr>
            <w:tcW w:w="1940" w:type="dxa"/>
            <w:vAlign w:val="bottom"/>
            <w:shd w:val="clear" w:color="auto" w:fill="F1F2F2"/>
          </w:tcPr>
          <w:p>
            <w:pPr>
              <w:spacing w:after="0"/>
              <w:rPr>
                <w:sz w:val="14"/>
                <w:szCs w:val="14"/>
                <w:color w:val="auto"/>
              </w:rPr>
            </w:pP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color w:val="auto"/>
              </w:rPr>
              <w:t>nominee</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nominee exceed the votes cast </w:t>
            </w:r>
            <w:r>
              <w:rPr>
                <w:rFonts w:ascii="Arial" w:cs="Arial" w:eastAsia="Arial" w:hAnsi="Arial"/>
                <w:sz w:val="14"/>
                <w:szCs w:val="14"/>
                <w:b w:val="1"/>
                <w:bCs w:val="1"/>
                <w:color w:val="auto"/>
              </w:rPr>
              <w:t>AGAINST</w:t>
            </w:r>
          </w:p>
        </w:tc>
        <w:tc>
          <w:tcPr>
            <w:tcW w:w="1620" w:type="dxa"/>
            <w:vAlign w:val="bottom"/>
            <w:shd w:val="clear" w:color="auto" w:fill="F1F2F2"/>
          </w:tcPr>
          <w:p>
            <w:pPr>
              <w:spacing w:after="0"/>
              <w:rPr>
                <w:sz w:val="14"/>
                <w:szCs w:val="14"/>
                <w:color w:val="auto"/>
              </w:rPr>
            </w:pPr>
          </w:p>
        </w:tc>
        <w:tc>
          <w:tcPr>
            <w:tcW w:w="1160" w:type="dxa"/>
            <w:vAlign w:val="bottom"/>
            <w:shd w:val="clear" w:color="auto" w:fill="F1F2F2"/>
          </w:tcPr>
          <w:p>
            <w:pPr>
              <w:spacing w:after="0"/>
              <w:rPr>
                <w:sz w:val="14"/>
                <w:szCs w:val="14"/>
                <w:color w:val="auto"/>
              </w:rPr>
            </w:pPr>
          </w:p>
        </w:tc>
        <w:tc>
          <w:tcPr>
            <w:tcW w:w="1880" w:type="dxa"/>
            <w:vAlign w:val="bottom"/>
            <w:shd w:val="clear" w:color="auto" w:fill="F1F2F2"/>
          </w:tcPr>
          <w:p>
            <w:pPr>
              <w:spacing w:after="0"/>
              <w:rPr>
                <w:sz w:val="14"/>
                <w:szCs w:val="14"/>
                <w:color w:val="auto"/>
              </w:rPr>
            </w:pPr>
          </w:p>
        </w:tc>
      </w:tr>
      <w:tr>
        <w:trPr>
          <w:trHeight w:val="192"/>
        </w:trPr>
        <w:tc>
          <w:tcPr>
            <w:tcW w:w="1940" w:type="dxa"/>
            <w:vAlign w:val="bottom"/>
            <w:tcBorders>
              <w:bottom w:val="single" w:sz="8" w:color="F1F2F2"/>
            </w:tcBorders>
            <w:shd w:val="clear" w:color="auto" w:fill="F1F2F2"/>
          </w:tcPr>
          <w:p>
            <w:pPr>
              <w:spacing w:after="0"/>
              <w:rPr>
                <w:sz w:val="16"/>
                <w:szCs w:val="16"/>
                <w:color w:val="auto"/>
              </w:rPr>
            </w:pPr>
          </w:p>
        </w:tc>
        <w:tc>
          <w:tcPr>
            <w:tcW w:w="1520" w:type="dxa"/>
            <w:vAlign w:val="bottom"/>
            <w:tcBorders>
              <w:bottom w:val="single" w:sz="8" w:color="F1F2F2"/>
            </w:tcBorders>
            <w:shd w:val="clear" w:color="auto" w:fill="F1F2F2"/>
          </w:tcPr>
          <w:p>
            <w:pPr>
              <w:spacing w:after="0"/>
              <w:rPr>
                <w:sz w:val="16"/>
                <w:szCs w:val="16"/>
                <w:color w:val="auto"/>
              </w:rPr>
            </w:pPr>
          </w:p>
        </w:tc>
        <w:tc>
          <w:tcPr>
            <w:tcW w:w="3120" w:type="dxa"/>
            <w:vAlign w:val="bottom"/>
            <w:tcBorders>
              <w:bottom w:val="single" w:sz="8" w:color="F1F2F2"/>
            </w:tcBorders>
            <w:shd w:val="clear" w:color="auto" w:fill="F1F2F2"/>
          </w:tcPr>
          <w:p>
            <w:pPr>
              <w:ind w:left="280"/>
              <w:spacing w:after="0"/>
              <w:rPr>
                <w:sz w:val="20"/>
                <w:szCs w:val="20"/>
                <w:color w:val="auto"/>
              </w:rPr>
            </w:pPr>
            <w:r>
              <w:rPr>
                <w:rFonts w:ascii="Arial" w:cs="Arial" w:eastAsia="Arial" w:hAnsi="Arial"/>
                <w:sz w:val="14"/>
                <w:szCs w:val="14"/>
                <w:color w:val="auto"/>
              </w:rPr>
              <w:t>such nominee</w:t>
            </w:r>
          </w:p>
        </w:tc>
        <w:tc>
          <w:tcPr>
            <w:tcW w:w="1620" w:type="dxa"/>
            <w:vAlign w:val="bottom"/>
            <w:tcBorders>
              <w:bottom w:val="single" w:sz="8" w:color="F1F2F2"/>
            </w:tcBorders>
            <w:shd w:val="clear" w:color="auto" w:fill="F1F2F2"/>
          </w:tcPr>
          <w:p>
            <w:pPr>
              <w:spacing w:after="0"/>
              <w:rPr>
                <w:sz w:val="16"/>
                <w:szCs w:val="16"/>
                <w:color w:val="auto"/>
              </w:rPr>
            </w:pPr>
          </w:p>
        </w:tc>
        <w:tc>
          <w:tcPr>
            <w:tcW w:w="1160" w:type="dxa"/>
            <w:vAlign w:val="bottom"/>
            <w:tcBorders>
              <w:bottom w:val="single" w:sz="8" w:color="F1F2F2"/>
            </w:tcBorders>
            <w:shd w:val="clear" w:color="auto" w:fill="F1F2F2"/>
          </w:tcPr>
          <w:p>
            <w:pPr>
              <w:spacing w:after="0"/>
              <w:rPr>
                <w:sz w:val="16"/>
                <w:szCs w:val="16"/>
                <w:color w:val="auto"/>
              </w:rPr>
            </w:pPr>
          </w:p>
        </w:tc>
        <w:tc>
          <w:tcPr>
            <w:tcW w:w="1880" w:type="dxa"/>
            <w:vAlign w:val="bottom"/>
            <w:tcBorders>
              <w:bottom w:val="single" w:sz="8" w:color="F1F2F2"/>
            </w:tcBorders>
            <w:shd w:val="clear" w:color="auto" w:fill="F1F2F2"/>
          </w:tcPr>
          <w:p>
            <w:pPr>
              <w:spacing w:after="0"/>
              <w:rPr>
                <w:sz w:val="16"/>
                <w:szCs w:val="16"/>
                <w:color w:val="auto"/>
              </w:rPr>
            </w:pPr>
          </w:p>
        </w:tc>
      </w:tr>
      <w:tr>
        <w:trPr>
          <w:trHeight w:val="247"/>
        </w:trPr>
        <w:tc>
          <w:tcPr>
            <w:tcW w:w="1940" w:type="dxa"/>
            <w:vAlign w:val="bottom"/>
          </w:tcPr>
          <w:p>
            <w:pPr>
              <w:ind w:left="100"/>
              <w:spacing w:after="0"/>
              <w:rPr>
                <w:sz w:val="20"/>
                <w:szCs w:val="20"/>
                <w:color w:val="auto"/>
              </w:rPr>
            </w:pPr>
            <w:r>
              <w:rPr>
                <w:rFonts w:ascii="Arial" w:cs="Arial" w:eastAsia="Arial" w:hAnsi="Arial"/>
                <w:sz w:val="14"/>
                <w:szCs w:val="14"/>
                <w:b w:val="1"/>
                <w:bCs w:val="1"/>
                <w:color w:val="C60C35"/>
              </w:rPr>
              <w:t>Proposal 2</w:t>
            </w: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120" w:type="dxa"/>
            <w:vAlign w:val="bottom"/>
          </w:tcPr>
          <w:p>
            <w:pPr>
              <w:ind w:left="280"/>
              <w:spacing w:after="0"/>
              <w:rPr>
                <w:sz w:val="20"/>
                <w:szCs w:val="20"/>
                <w:color w:val="auto"/>
              </w:rPr>
            </w:pPr>
            <w:r>
              <w:rPr>
                <w:rFonts w:ascii="Arial" w:cs="Arial" w:eastAsia="Arial" w:hAnsi="Arial"/>
                <w:sz w:val="14"/>
                <w:szCs w:val="14"/>
                <w:color w:val="auto"/>
              </w:rPr>
              <w:t xml:space="preserve">Approval requires the number of </w:t>
            </w:r>
            <w:r>
              <w:rPr>
                <w:rFonts w:ascii="Arial" w:cs="Arial" w:eastAsia="Arial" w:hAnsi="Arial"/>
                <w:sz w:val="14"/>
                <w:szCs w:val="14"/>
                <w:b w:val="1"/>
                <w:bCs w:val="1"/>
                <w:color w:val="auto"/>
              </w:rPr>
              <w:t>FOR</w:t>
            </w:r>
            <w:r>
              <w:rPr>
                <w:rFonts w:ascii="Arial" w:cs="Arial" w:eastAsia="Arial" w:hAnsi="Arial"/>
                <w:sz w:val="14"/>
                <w:szCs w:val="14"/>
                <w:color w:val="auto"/>
              </w:rPr>
              <w:t xml:space="preserve"> votes</w:t>
            </w:r>
          </w:p>
        </w:tc>
        <w:tc>
          <w:tcPr>
            <w:tcW w:w="2780" w:type="dxa"/>
            <w:vAlign w:val="bottom"/>
            <w:gridSpan w:val="2"/>
          </w:tcPr>
          <w:p>
            <w:pPr>
              <w:ind w:left="60"/>
              <w:spacing w:after="0"/>
              <w:rPr>
                <w:sz w:val="20"/>
                <w:szCs w:val="20"/>
                <w:color w:val="auto"/>
              </w:rPr>
            </w:pPr>
            <w:r>
              <w:rPr>
                <w:rFonts w:ascii="Arial" w:cs="Arial" w:eastAsia="Arial" w:hAnsi="Arial"/>
                <w:sz w:val="14"/>
                <w:szCs w:val="14"/>
                <w:color w:val="auto"/>
              </w:rPr>
              <w:t>Counted as a vote. Same No</w:t>
            </w:r>
          </w:p>
        </w:tc>
        <w:tc>
          <w:tcPr>
            <w:tcW w:w="1880" w:type="dxa"/>
            <w:vAlign w:val="bottom"/>
          </w:tcPr>
          <w:p>
            <w:pPr>
              <w:ind w:left="380"/>
              <w:spacing w:after="0"/>
              <w:rPr>
                <w:sz w:val="20"/>
                <w:szCs w:val="20"/>
                <w:color w:val="auto"/>
              </w:rPr>
            </w:pPr>
            <w:r>
              <w:rPr>
                <w:rFonts w:ascii="Arial" w:cs="Arial" w:eastAsia="Arial" w:hAnsi="Arial"/>
                <w:sz w:val="14"/>
                <w:szCs w:val="14"/>
                <w:color w:val="auto"/>
              </w:rPr>
              <w:t>No effect</w:t>
            </w:r>
          </w:p>
        </w:tc>
      </w:tr>
      <w:tr>
        <w:trPr>
          <w:trHeight w:val="176"/>
        </w:trPr>
        <w:tc>
          <w:tcPr>
            <w:tcW w:w="1940" w:type="dxa"/>
            <w:vAlign w:val="bottom"/>
          </w:tcPr>
          <w:p>
            <w:pPr>
              <w:ind w:left="100"/>
              <w:spacing w:after="0"/>
              <w:rPr>
                <w:sz w:val="20"/>
                <w:szCs w:val="20"/>
                <w:color w:val="auto"/>
              </w:rPr>
            </w:pPr>
            <w:r>
              <w:rPr>
                <w:rFonts w:ascii="Arial" w:cs="Arial" w:eastAsia="Arial" w:hAnsi="Arial"/>
                <w:sz w:val="14"/>
                <w:szCs w:val="14"/>
                <w:color w:val="auto"/>
              </w:rPr>
              <w:t>Advisory Proposal on</w:t>
            </w:r>
          </w:p>
        </w:tc>
        <w:tc>
          <w:tcPr>
            <w:tcW w:w="1520" w:type="dxa"/>
            <w:vAlign w:val="bottom"/>
          </w:tcPr>
          <w:p>
            <w:pPr>
              <w:ind w:left="20"/>
              <w:spacing w:after="0"/>
              <w:rPr>
                <w:sz w:val="20"/>
                <w:szCs w:val="20"/>
                <w:color w:val="auto"/>
              </w:rPr>
            </w:pPr>
            <w:r>
              <w:rPr>
                <w:rFonts w:ascii="Arial" w:cs="Arial" w:eastAsia="Arial" w:hAnsi="Arial"/>
                <w:sz w:val="14"/>
                <w:szCs w:val="14"/>
                <w:b w:val="1"/>
                <w:bCs w:val="1"/>
                <w:color w:val="auto"/>
              </w:rPr>
              <w:t>ABSTAIN</w:t>
            </w:r>
          </w:p>
        </w:tc>
        <w:tc>
          <w:tcPr>
            <w:tcW w:w="3120" w:type="dxa"/>
            <w:vAlign w:val="bottom"/>
          </w:tcPr>
          <w:p>
            <w:pPr>
              <w:ind w:left="280"/>
              <w:spacing w:after="0"/>
              <w:rPr>
                <w:sz w:val="20"/>
                <w:szCs w:val="20"/>
                <w:color w:val="auto"/>
              </w:rPr>
            </w:pPr>
            <w:r>
              <w:rPr>
                <w:rFonts w:ascii="Arial" w:cs="Arial" w:eastAsia="Arial" w:hAnsi="Arial"/>
                <w:sz w:val="14"/>
                <w:szCs w:val="14"/>
                <w:color w:val="auto"/>
              </w:rPr>
              <w:t>cast to exceed the number of shares voted</w:t>
            </w:r>
          </w:p>
        </w:tc>
        <w:tc>
          <w:tcPr>
            <w:tcW w:w="1620" w:type="dxa"/>
            <w:vAlign w:val="bottom"/>
          </w:tcPr>
          <w:p>
            <w:pPr>
              <w:ind w:left="60"/>
              <w:spacing w:after="0"/>
              <w:rPr>
                <w:sz w:val="20"/>
                <w:szCs w:val="20"/>
                <w:color w:val="auto"/>
              </w:rPr>
            </w:pPr>
            <w:r>
              <w:rPr>
                <w:rFonts w:ascii="Arial" w:cs="Arial" w:eastAsia="Arial" w:hAnsi="Arial"/>
                <w:sz w:val="14"/>
                <w:szCs w:val="14"/>
                <w:color w:val="auto"/>
              </w:rPr>
              <w:t>effect as votes against</w:t>
            </w:r>
          </w:p>
        </w:tc>
        <w:tc>
          <w:tcPr>
            <w:tcW w:w="116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162"/>
        </w:trPr>
        <w:tc>
          <w:tcPr>
            <w:tcW w:w="1940" w:type="dxa"/>
            <w:vAlign w:val="bottom"/>
          </w:tcPr>
          <w:p>
            <w:pPr>
              <w:ind w:left="100"/>
              <w:spacing w:after="0"/>
              <w:rPr>
                <w:sz w:val="20"/>
                <w:szCs w:val="20"/>
                <w:color w:val="auto"/>
              </w:rPr>
            </w:pPr>
            <w:r>
              <w:rPr>
                <w:rFonts w:ascii="Arial" w:cs="Arial" w:eastAsia="Arial" w:hAnsi="Arial"/>
                <w:sz w:val="14"/>
                <w:szCs w:val="14"/>
                <w:color w:val="auto"/>
              </w:rPr>
              <w:t>2025 Executive</w:t>
            </w:r>
          </w:p>
        </w:tc>
        <w:tc>
          <w:tcPr>
            <w:tcW w:w="1520" w:type="dxa"/>
            <w:vAlign w:val="bottom"/>
          </w:tcPr>
          <w:p>
            <w:pPr>
              <w:spacing w:after="0"/>
              <w:rPr>
                <w:sz w:val="14"/>
                <w:szCs w:val="14"/>
                <w:color w:val="auto"/>
              </w:rPr>
            </w:pPr>
          </w:p>
        </w:tc>
        <w:tc>
          <w:tcPr>
            <w:tcW w:w="3120" w:type="dxa"/>
            <w:vAlign w:val="bottom"/>
          </w:tcPr>
          <w:p>
            <w:pPr>
              <w:ind w:left="28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or</w:t>
            </w:r>
            <w:r>
              <w:rPr>
                <w:rFonts w:ascii="Arial" w:cs="Arial" w:eastAsia="Arial" w:hAnsi="Arial"/>
                <w:sz w:val="14"/>
                <w:szCs w:val="14"/>
                <w:b w:val="1"/>
                <w:bCs w:val="1"/>
                <w:color w:val="auto"/>
              </w:rPr>
              <w:t xml:space="preserve"> ABSTAINING</w:t>
            </w:r>
          </w:p>
        </w:tc>
        <w:tc>
          <w:tcPr>
            <w:tcW w:w="1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90"/>
        </w:trPr>
        <w:tc>
          <w:tcPr>
            <w:tcW w:w="194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15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
        </w:trPr>
        <w:tc>
          <w:tcPr>
            <w:tcW w:w="1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7"/>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C60C35"/>
              </w:rPr>
              <w:t>Proposal 3</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FOR, AGAINST</w:t>
            </w:r>
            <w:r>
              <w:rPr>
                <w:rFonts w:ascii="Arial" w:cs="Arial" w:eastAsia="Arial" w:hAnsi="Arial"/>
                <w:sz w:val="14"/>
                <w:szCs w:val="14"/>
                <w:color w:val="auto"/>
              </w:rPr>
              <w:t>, or</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 xml:space="preserve">Approval requires the number of </w:t>
            </w:r>
            <w:r>
              <w:rPr>
                <w:rFonts w:ascii="Arial" w:cs="Arial" w:eastAsia="Arial" w:hAnsi="Arial"/>
                <w:sz w:val="14"/>
                <w:szCs w:val="14"/>
                <w:b w:val="1"/>
                <w:bCs w:val="1"/>
                <w:color w:val="auto"/>
              </w:rPr>
              <w:t>FOR</w:t>
            </w:r>
            <w:r>
              <w:rPr>
                <w:rFonts w:ascii="Arial" w:cs="Arial" w:eastAsia="Arial" w:hAnsi="Arial"/>
                <w:sz w:val="14"/>
                <w:szCs w:val="14"/>
                <w:color w:val="auto"/>
              </w:rPr>
              <w:t xml:space="preserve"> votes</w:t>
            </w:r>
          </w:p>
        </w:tc>
        <w:tc>
          <w:tcPr>
            <w:tcW w:w="2780" w:type="dxa"/>
            <w:vAlign w:val="bottom"/>
            <w:gridSpan w:val="2"/>
            <w:shd w:val="clear" w:color="auto" w:fill="F1F2F2"/>
          </w:tcPr>
          <w:p>
            <w:pPr>
              <w:ind w:left="60"/>
              <w:spacing w:after="0"/>
              <w:rPr>
                <w:sz w:val="20"/>
                <w:szCs w:val="20"/>
                <w:color w:val="auto"/>
              </w:rPr>
            </w:pPr>
            <w:r>
              <w:rPr>
                <w:rFonts w:ascii="Arial" w:cs="Arial" w:eastAsia="Arial" w:hAnsi="Arial"/>
                <w:sz w:val="14"/>
                <w:szCs w:val="14"/>
                <w:color w:val="auto"/>
              </w:rPr>
              <w:t>Counted as a vote. Same Yes</w:t>
            </w:r>
          </w:p>
        </w:tc>
        <w:tc>
          <w:tcPr>
            <w:tcW w:w="1880" w:type="dxa"/>
            <w:vAlign w:val="bottom"/>
            <w:shd w:val="clear" w:color="auto" w:fill="F1F2F2"/>
          </w:tcPr>
          <w:p>
            <w:pPr>
              <w:ind w:left="380"/>
              <w:spacing w:after="0"/>
              <w:rPr>
                <w:sz w:val="20"/>
                <w:szCs w:val="20"/>
                <w:color w:val="auto"/>
              </w:rPr>
            </w:pPr>
            <w:r>
              <w:rPr>
                <w:rFonts w:ascii="Arial" w:cs="Arial" w:eastAsia="Arial" w:hAnsi="Arial"/>
                <w:sz w:val="14"/>
                <w:szCs w:val="14"/>
                <w:color w:val="auto"/>
              </w:rPr>
              <w:t>Brokers’ votes will</w:t>
            </w:r>
          </w:p>
        </w:tc>
      </w:tr>
      <w:tr>
        <w:trPr>
          <w:trHeight w:val="175"/>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Ratification of Ernst &amp;</w:t>
            </w:r>
          </w:p>
        </w:tc>
        <w:tc>
          <w:tcPr>
            <w:tcW w:w="1520" w:type="dxa"/>
            <w:vAlign w:val="bottom"/>
            <w:shd w:val="clear" w:color="auto" w:fill="F1F2F2"/>
          </w:tcPr>
          <w:p>
            <w:pPr>
              <w:ind w:left="20"/>
              <w:spacing w:after="0"/>
              <w:rPr>
                <w:sz w:val="20"/>
                <w:szCs w:val="20"/>
                <w:color w:val="auto"/>
              </w:rPr>
            </w:pPr>
            <w:r>
              <w:rPr>
                <w:rFonts w:ascii="Arial" w:cs="Arial" w:eastAsia="Arial" w:hAnsi="Arial"/>
                <w:sz w:val="14"/>
                <w:szCs w:val="14"/>
                <w:b w:val="1"/>
                <w:bCs w:val="1"/>
                <w:color w:val="auto"/>
              </w:rPr>
              <w:t>ABSTAIN</w:t>
            </w: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color w:val="auto"/>
              </w:rPr>
              <w:t>cast to exceed the number of shares voted</w:t>
            </w:r>
          </w:p>
        </w:tc>
        <w:tc>
          <w:tcPr>
            <w:tcW w:w="1620" w:type="dxa"/>
            <w:vAlign w:val="bottom"/>
            <w:shd w:val="clear" w:color="auto" w:fill="F1F2F2"/>
          </w:tcPr>
          <w:p>
            <w:pPr>
              <w:ind w:left="60"/>
              <w:spacing w:after="0"/>
              <w:rPr>
                <w:sz w:val="20"/>
                <w:szCs w:val="20"/>
                <w:color w:val="auto"/>
              </w:rPr>
            </w:pPr>
            <w:r>
              <w:rPr>
                <w:rFonts w:ascii="Arial" w:cs="Arial" w:eastAsia="Arial" w:hAnsi="Arial"/>
                <w:sz w:val="14"/>
                <w:szCs w:val="14"/>
                <w:color w:val="auto"/>
              </w:rPr>
              <w:t>effect as votes against</w:t>
            </w:r>
          </w:p>
        </w:tc>
        <w:tc>
          <w:tcPr>
            <w:tcW w:w="1160" w:type="dxa"/>
            <w:vAlign w:val="bottom"/>
            <w:shd w:val="clear" w:color="auto" w:fill="F1F2F2"/>
          </w:tcPr>
          <w:p>
            <w:pPr>
              <w:spacing w:after="0"/>
              <w:rPr>
                <w:sz w:val="15"/>
                <w:szCs w:val="15"/>
                <w:color w:val="auto"/>
              </w:rPr>
            </w:pPr>
          </w:p>
        </w:tc>
        <w:tc>
          <w:tcPr>
            <w:tcW w:w="1880" w:type="dxa"/>
            <w:vAlign w:val="bottom"/>
            <w:shd w:val="clear" w:color="auto" w:fill="F1F2F2"/>
          </w:tcPr>
          <w:p>
            <w:pPr>
              <w:ind w:left="380"/>
              <w:spacing w:after="0"/>
              <w:rPr>
                <w:sz w:val="20"/>
                <w:szCs w:val="20"/>
                <w:color w:val="auto"/>
              </w:rPr>
            </w:pPr>
            <w:r>
              <w:rPr>
                <w:rFonts w:ascii="Arial" w:cs="Arial" w:eastAsia="Arial" w:hAnsi="Arial"/>
                <w:sz w:val="14"/>
                <w:szCs w:val="14"/>
                <w:color w:val="auto"/>
              </w:rPr>
              <w:t>count</w:t>
            </w:r>
          </w:p>
        </w:tc>
      </w:tr>
      <w:tr>
        <w:trPr>
          <w:trHeight w:val="162"/>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Young LLP as</w:t>
            </w:r>
          </w:p>
        </w:tc>
        <w:tc>
          <w:tcPr>
            <w:tcW w:w="1520" w:type="dxa"/>
            <w:vAlign w:val="bottom"/>
            <w:shd w:val="clear" w:color="auto" w:fill="F1F2F2"/>
          </w:tcPr>
          <w:p>
            <w:pPr>
              <w:spacing w:after="0"/>
              <w:rPr>
                <w:sz w:val="14"/>
                <w:szCs w:val="14"/>
                <w:color w:val="auto"/>
              </w:rPr>
            </w:pPr>
          </w:p>
        </w:tc>
        <w:tc>
          <w:tcPr>
            <w:tcW w:w="3120" w:type="dxa"/>
            <w:vAlign w:val="bottom"/>
            <w:shd w:val="clear" w:color="auto" w:fill="F1F2F2"/>
          </w:tcPr>
          <w:p>
            <w:pPr>
              <w:ind w:left="280"/>
              <w:spacing w:after="0"/>
              <w:rPr>
                <w:sz w:val="20"/>
                <w:szCs w:val="20"/>
                <w:color w:val="auto"/>
              </w:rPr>
            </w:pPr>
            <w:r>
              <w:rPr>
                <w:rFonts w:ascii="Arial" w:cs="Arial" w:eastAsia="Arial" w:hAnsi="Arial"/>
                <w:sz w:val="14"/>
                <w:szCs w:val="14"/>
                <w:b w:val="1"/>
                <w:bCs w:val="1"/>
                <w:color w:val="auto"/>
              </w:rPr>
              <w:t xml:space="preserve">AGAINST </w:t>
            </w:r>
            <w:r>
              <w:rPr>
                <w:rFonts w:ascii="Arial" w:cs="Arial" w:eastAsia="Arial" w:hAnsi="Arial"/>
                <w:sz w:val="14"/>
                <w:szCs w:val="14"/>
                <w:color w:val="auto"/>
              </w:rPr>
              <w:t>or</w:t>
            </w:r>
            <w:r>
              <w:rPr>
                <w:rFonts w:ascii="Arial" w:cs="Arial" w:eastAsia="Arial" w:hAnsi="Arial"/>
                <w:sz w:val="14"/>
                <w:szCs w:val="14"/>
                <w:b w:val="1"/>
                <w:bCs w:val="1"/>
                <w:color w:val="auto"/>
              </w:rPr>
              <w:t xml:space="preserve"> ABSTAINING</w:t>
            </w:r>
          </w:p>
        </w:tc>
        <w:tc>
          <w:tcPr>
            <w:tcW w:w="1620" w:type="dxa"/>
            <w:vAlign w:val="bottom"/>
            <w:shd w:val="clear" w:color="auto" w:fill="F1F2F2"/>
          </w:tcPr>
          <w:p>
            <w:pPr>
              <w:spacing w:after="0"/>
              <w:rPr>
                <w:sz w:val="14"/>
                <w:szCs w:val="14"/>
                <w:color w:val="auto"/>
              </w:rPr>
            </w:pPr>
          </w:p>
        </w:tc>
        <w:tc>
          <w:tcPr>
            <w:tcW w:w="1160" w:type="dxa"/>
            <w:vAlign w:val="bottom"/>
            <w:shd w:val="clear" w:color="auto" w:fill="F1F2F2"/>
          </w:tcPr>
          <w:p>
            <w:pPr>
              <w:spacing w:after="0"/>
              <w:rPr>
                <w:sz w:val="14"/>
                <w:szCs w:val="14"/>
                <w:color w:val="auto"/>
              </w:rPr>
            </w:pPr>
          </w:p>
        </w:tc>
        <w:tc>
          <w:tcPr>
            <w:tcW w:w="1880" w:type="dxa"/>
            <w:vAlign w:val="bottom"/>
            <w:shd w:val="clear" w:color="auto" w:fill="F1F2F2"/>
          </w:tcPr>
          <w:p>
            <w:pPr>
              <w:spacing w:after="0"/>
              <w:rPr>
                <w:sz w:val="14"/>
                <w:szCs w:val="14"/>
                <w:color w:val="auto"/>
              </w:rPr>
            </w:pPr>
          </w:p>
        </w:tc>
      </w:tr>
      <w:tr>
        <w:trPr>
          <w:trHeight w:val="175"/>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Independent Registered</w:t>
            </w:r>
          </w:p>
        </w:tc>
        <w:tc>
          <w:tcPr>
            <w:tcW w:w="1520" w:type="dxa"/>
            <w:vAlign w:val="bottom"/>
            <w:shd w:val="clear" w:color="auto" w:fill="F1F2F2"/>
          </w:tcPr>
          <w:p>
            <w:pPr>
              <w:spacing w:after="0"/>
              <w:rPr>
                <w:sz w:val="15"/>
                <w:szCs w:val="15"/>
                <w:color w:val="auto"/>
              </w:rPr>
            </w:pPr>
          </w:p>
        </w:tc>
        <w:tc>
          <w:tcPr>
            <w:tcW w:w="3120" w:type="dxa"/>
            <w:vAlign w:val="bottom"/>
            <w:shd w:val="clear" w:color="auto" w:fill="F1F2F2"/>
          </w:tcPr>
          <w:p>
            <w:pPr>
              <w:spacing w:after="0"/>
              <w:rPr>
                <w:sz w:val="15"/>
                <w:szCs w:val="15"/>
                <w:color w:val="auto"/>
              </w:rPr>
            </w:pPr>
          </w:p>
        </w:tc>
        <w:tc>
          <w:tcPr>
            <w:tcW w:w="1620" w:type="dxa"/>
            <w:vAlign w:val="bottom"/>
            <w:shd w:val="clear" w:color="auto" w:fill="F1F2F2"/>
          </w:tcPr>
          <w:p>
            <w:pPr>
              <w:spacing w:after="0"/>
              <w:rPr>
                <w:sz w:val="15"/>
                <w:szCs w:val="15"/>
                <w:color w:val="auto"/>
              </w:rPr>
            </w:pPr>
          </w:p>
        </w:tc>
        <w:tc>
          <w:tcPr>
            <w:tcW w:w="1160" w:type="dxa"/>
            <w:vAlign w:val="bottom"/>
            <w:shd w:val="clear" w:color="auto" w:fill="F1F2F2"/>
          </w:tcPr>
          <w:p>
            <w:pPr>
              <w:spacing w:after="0"/>
              <w:rPr>
                <w:sz w:val="15"/>
                <w:szCs w:val="15"/>
                <w:color w:val="auto"/>
              </w:rPr>
            </w:pPr>
          </w:p>
        </w:tc>
        <w:tc>
          <w:tcPr>
            <w:tcW w:w="1880" w:type="dxa"/>
            <w:vAlign w:val="bottom"/>
            <w:shd w:val="clear" w:color="auto" w:fill="F1F2F2"/>
          </w:tcPr>
          <w:p>
            <w:pPr>
              <w:spacing w:after="0"/>
              <w:rPr>
                <w:sz w:val="15"/>
                <w:szCs w:val="15"/>
                <w:color w:val="auto"/>
              </w:rPr>
            </w:pPr>
          </w:p>
        </w:tc>
      </w:tr>
      <w:tr>
        <w:trPr>
          <w:trHeight w:val="176"/>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Public Accounting Firm</w:t>
            </w:r>
          </w:p>
        </w:tc>
        <w:tc>
          <w:tcPr>
            <w:tcW w:w="1520" w:type="dxa"/>
            <w:vAlign w:val="bottom"/>
            <w:shd w:val="clear" w:color="auto" w:fill="F1F2F2"/>
          </w:tcPr>
          <w:p>
            <w:pPr>
              <w:spacing w:after="0"/>
              <w:rPr>
                <w:sz w:val="15"/>
                <w:szCs w:val="15"/>
                <w:color w:val="auto"/>
              </w:rPr>
            </w:pPr>
          </w:p>
        </w:tc>
        <w:tc>
          <w:tcPr>
            <w:tcW w:w="3120" w:type="dxa"/>
            <w:vAlign w:val="bottom"/>
            <w:shd w:val="clear" w:color="auto" w:fill="F1F2F2"/>
          </w:tcPr>
          <w:p>
            <w:pPr>
              <w:spacing w:after="0"/>
              <w:rPr>
                <w:sz w:val="15"/>
                <w:szCs w:val="15"/>
                <w:color w:val="auto"/>
              </w:rPr>
            </w:pPr>
          </w:p>
        </w:tc>
        <w:tc>
          <w:tcPr>
            <w:tcW w:w="1620" w:type="dxa"/>
            <w:vAlign w:val="bottom"/>
            <w:shd w:val="clear" w:color="auto" w:fill="F1F2F2"/>
          </w:tcPr>
          <w:p>
            <w:pPr>
              <w:spacing w:after="0"/>
              <w:rPr>
                <w:sz w:val="15"/>
                <w:szCs w:val="15"/>
                <w:color w:val="auto"/>
              </w:rPr>
            </w:pPr>
          </w:p>
        </w:tc>
        <w:tc>
          <w:tcPr>
            <w:tcW w:w="1160" w:type="dxa"/>
            <w:vAlign w:val="bottom"/>
            <w:shd w:val="clear" w:color="auto" w:fill="F1F2F2"/>
          </w:tcPr>
          <w:p>
            <w:pPr>
              <w:spacing w:after="0"/>
              <w:rPr>
                <w:sz w:val="15"/>
                <w:szCs w:val="15"/>
                <w:color w:val="auto"/>
              </w:rPr>
            </w:pPr>
          </w:p>
        </w:tc>
        <w:tc>
          <w:tcPr>
            <w:tcW w:w="1880" w:type="dxa"/>
            <w:vAlign w:val="bottom"/>
            <w:shd w:val="clear" w:color="auto" w:fill="F1F2F2"/>
          </w:tcPr>
          <w:p>
            <w:pPr>
              <w:spacing w:after="0"/>
              <w:rPr>
                <w:sz w:val="15"/>
                <w:szCs w:val="15"/>
                <w:color w:val="auto"/>
              </w:rPr>
            </w:pPr>
          </w:p>
        </w:tc>
      </w:tr>
      <w:tr>
        <w:trPr>
          <w:trHeight w:val="190"/>
        </w:trPr>
        <w:tc>
          <w:tcPr>
            <w:tcW w:w="1940" w:type="dxa"/>
            <w:vAlign w:val="bottom"/>
            <w:shd w:val="clear" w:color="auto" w:fill="F1F2F2"/>
          </w:tcPr>
          <w:p>
            <w:pPr>
              <w:ind w:left="100"/>
              <w:spacing w:after="0"/>
              <w:rPr>
                <w:sz w:val="20"/>
                <w:szCs w:val="20"/>
                <w:color w:val="auto"/>
              </w:rPr>
            </w:pPr>
            <w:r>
              <w:rPr>
                <w:rFonts w:ascii="Arial" w:cs="Arial" w:eastAsia="Arial" w:hAnsi="Arial"/>
                <w:sz w:val="14"/>
                <w:szCs w:val="14"/>
                <w:color w:val="auto"/>
              </w:rPr>
              <w:t>for 2026</w:t>
            </w:r>
          </w:p>
        </w:tc>
        <w:tc>
          <w:tcPr>
            <w:tcW w:w="1520" w:type="dxa"/>
            <w:vAlign w:val="bottom"/>
            <w:shd w:val="clear" w:color="auto" w:fill="F1F2F2"/>
          </w:tcPr>
          <w:p>
            <w:pPr>
              <w:spacing w:after="0"/>
              <w:rPr>
                <w:sz w:val="16"/>
                <w:szCs w:val="16"/>
                <w:color w:val="auto"/>
              </w:rPr>
            </w:pPr>
          </w:p>
        </w:tc>
        <w:tc>
          <w:tcPr>
            <w:tcW w:w="3120" w:type="dxa"/>
            <w:vAlign w:val="bottom"/>
            <w:shd w:val="clear" w:color="auto" w:fill="F1F2F2"/>
          </w:tcPr>
          <w:p>
            <w:pPr>
              <w:spacing w:after="0"/>
              <w:rPr>
                <w:sz w:val="16"/>
                <w:szCs w:val="16"/>
                <w:color w:val="auto"/>
              </w:rPr>
            </w:pPr>
          </w:p>
        </w:tc>
        <w:tc>
          <w:tcPr>
            <w:tcW w:w="1620" w:type="dxa"/>
            <w:vAlign w:val="bottom"/>
            <w:shd w:val="clear" w:color="auto" w:fill="F1F2F2"/>
          </w:tcPr>
          <w:p>
            <w:pPr>
              <w:spacing w:after="0"/>
              <w:rPr>
                <w:sz w:val="16"/>
                <w:szCs w:val="16"/>
                <w:color w:val="auto"/>
              </w:rPr>
            </w:pPr>
          </w:p>
        </w:tc>
        <w:tc>
          <w:tcPr>
            <w:tcW w:w="1160" w:type="dxa"/>
            <w:vAlign w:val="bottom"/>
            <w:shd w:val="clear" w:color="auto" w:fill="F1F2F2"/>
          </w:tcPr>
          <w:p>
            <w:pPr>
              <w:spacing w:after="0"/>
              <w:rPr>
                <w:sz w:val="16"/>
                <w:szCs w:val="16"/>
                <w:color w:val="auto"/>
              </w:rPr>
            </w:pPr>
          </w:p>
        </w:tc>
        <w:tc>
          <w:tcPr>
            <w:tcW w:w="1880" w:type="dxa"/>
            <w:vAlign w:val="bottom"/>
            <w:shd w:val="clear" w:color="auto" w:fill="F1F2F2"/>
          </w:tcPr>
          <w:p>
            <w:pPr>
              <w:spacing w:after="0"/>
              <w:rPr>
                <w:sz w:val="16"/>
                <w:szCs w:val="16"/>
                <w:color w:val="auto"/>
              </w:rPr>
            </w:pPr>
          </w:p>
        </w:tc>
      </w:tr>
      <w:tr>
        <w:trPr>
          <w:trHeight w:val="22"/>
        </w:trPr>
        <w:tc>
          <w:tcPr>
            <w:tcW w:w="1940" w:type="dxa"/>
            <w:vAlign w:val="bottom"/>
            <w:shd w:val="clear" w:color="auto" w:fill="F1F2F2"/>
          </w:tcPr>
          <w:p>
            <w:pPr>
              <w:spacing w:after="0" w:line="20" w:lineRule="exact"/>
              <w:rPr>
                <w:sz w:val="1"/>
                <w:szCs w:val="1"/>
                <w:color w:val="auto"/>
              </w:rPr>
            </w:pPr>
          </w:p>
        </w:tc>
        <w:tc>
          <w:tcPr>
            <w:tcW w:w="1520" w:type="dxa"/>
            <w:vAlign w:val="bottom"/>
            <w:shd w:val="clear" w:color="auto" w:fill="F1F2F2"/>
          </w:tcPr>
          <w:p>
            <w:pPr>
              <w:spacing w:after="0" w:line="20" w:lineRule="exact"/>
              <w:rPr>
                <w:sz w:val="1"/>
                <w:szCs w:val="1"/>
                <w:color w:val="auto"/>
              </w:rPr>
            </w:pPr>
          </w:p>
        </w:tc>
        <w:tc>
          <w:tcPr>
            <w:tcW w:w="3120" w:type="dxa"/>
            <w:vAlign w:val="bottom"/>
            <w:shd w:val="clear" w:color="auto" w:fill="F1F2F2"/>
          </w:tcPr>
          <w:p>
            <w:pPr>
              <w:spacing w:after="0" w:line="20" w:lineRule="exact"/>
              <w:rPr>
                <w:sz w:val="1"/>
                <w:szCs w:val="1"/>
                <w:color w:val="auto"/>
              </w:rPr>
            </w:pPr>
          </w:p>
        </w:tc>
        <w:tc>
          <w:tcPr>
            <w:tcW w:w="1620" w:type="dxa"/>
            <w:vAlign w:val="bottom"/>
            <w:shd w:val="clear" w:color="auto" w:fill="F1F2F2"/>
          </w:tcPr>
          <w:p>
            <w:pPr>
              <w:spacing w:after="0" w:line="20" w:lineRule="exact"/>
              <w:rPr>
                <w:sz w:val="1"/>
                <w:szCs w:val="1"/>
                <w:color w:val="auto"/>
              </w:rPr>
            </w:pPr>
          </w:p>
        </w:tc>
        <w:tc>
          <w:tcPr>
            <w:tcW w:w="1160" w:type="dxa"/>
            <w:vAlign w:val="bottom"/>
            <w:shd w:val="clear" w:color="auto" w:fill="F1F2F2"/>
          </w:tcPr>
          <w:p>
            <w:pPr>
              <w:spacing w:after="0" w:line="20" w:lineRule="exact"/>
              <w:rPr>
                <w:sz w:val="1"/>
                <w:szCs w:val="1"/>
                <w:color w:val="auto"/>
              </w:rPr>
            </w:pPr>
          </w:p>
        </w:tc>
        <w:tc>
          <w:tcPr>
            <w:tcW w:w="1880" w:type="dxa"/>
            <w:vAlign w:val="bottom"/>
            <w:shd w:val="clear" w:color="auto" w:fill="F1F2F2"/>
          </w:tcPr>
          <w:p>
            <w:pPr>
              <w:spacing w:after="0" w:line="20" w:lineRule="exact"/>
              <w:rPr>
                <w:sz w:val="1"/>
                <w:szCs w:val="1"/>
                <w:color w:val="auto"/>
              </w:rPr>
            </w:pPr>
          </w:p>
        </w:tc>
      </w:tr>
    </w:tbl>
    <w:p>
      <w:pPr>
        <w:spacing w:after="0" w:line="193" w:lineRule="exact"/>
        <w:rPr>
          <w:sz w:val="20"/>
          <w:szCs w:val="20"/>
          <w:color w:val="auto"/>
        </w:rPr>
      </w:pPr>
    </w:p>
    <w:p>
      <w:pPr>
        <w:ind w:left="340" w:right="40" w:hanging="332"/>
        <w:spacing w:after="0" w:line="273" w:lineRule="auto"/>
        <w:tabs>
          <w:tab w:leader="none" w:pos="328" w:val="left"/>
        </w:tabs>
        <w:numPr>
          <w:ilvl w:val="0"/>
          <w:numId w:val="94"/>
        </w:numPr>
        <w:rPr>
          <w:rFonts w:ascii="Arial" w:cs="Arial" w:eastAsia="Arial" w:hAnsi="Arial"/>
          <w:sz w:val="14"/>
          <w:szCs w:val="14"/>
          <w:color w:val="auto"/>
        </w:rPr>
      </w:pPr>
      <w:r>
        <w:rPr>
          <w:rFonts w:ascii="Arial" w:cs="Arial" w:eastAsia="Arial" w:hAnsi="Arial"/>
          <w:sz w:val="14"/>
          <w:szCs w:val="14"/>
          <w:color w:val="auto"/>
        </w:rPr>
        <w:t>If you are a beneficial holder and do not provide specific voting instructions to your bank, broker, nominee, or other holder of record that holds your shares, such holder of record will not be authorized to vote your shares, which would result in a “broker non-vote” on each proposal other than Proposal 3, the ratification of Ernst &amp; Young LLP as our independent registered public accounting firm.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encourage you to vote promptly, even if you plan to attend the Annual Meeting.</w:t>
      </w:r>
    </w:p>
    <w:p>
      <w:pPr>
        <w:spacing w:after="0" w:line="158"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Each of our director nominees is currently serving on the Board. If a nominee who is currently serving as a director is not re-elected, Delaware law provides that the director would continue to serve on the Board as a “holdover director.” Under our Bylaws and Corporate Governance Guidelines, each director submits an advance, contingent resignation that the Board may accept if stockholders do not re-elect the director. In that situation, our Board Governance Committee would make a recommendation to the Board about whether to accept or reject the resignation, or whether to take other action. The Board would act on the Board Governance Committee’s recommendation, and publicly disclose its decision and the rationale behind it within 90 days from the date that the election results are certified.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Voting Procedures</w:t>
      </w:r>
    </w:p>
    <w:p>
      <w:pPr>
        <w:spacing w:after="0" w:line="169" w:lineRule="exact"/>
        <w:rPr>
          <w:sz w:val="20"/>
          <w:szCs w:val="20"/>
          <w:color w:val="auto"/>
        </w:rPr>
      </w:pPr>
    </w:p>
    <w:p>
      <w:pPr>
        <w:jc w:val="both"/>
        <w:ind w:right="40" w:firstLine="324"/>
        <w:spacing w:after="0" w:line="258" w:lineRule="auto"/>
        <w:rPr>
          <w:sz w:val="20"/>
          <w:szCs w:val="20"/>
          <w:color w:val="auto"/>
        </w:rPr>
      </w:pPr>
      <w:r>
        <w:rPr>
          <w:rFonts w:ascii="Arial" w:cs="Arial" w:eastAsia="Arial" w:hAnsi="Arial"/>
          <w:sz w:val="17"/>
          <w:szCs w:val="17"/>
          <w:color w:val="auto"/>
        </w:rPr>
        <w:t xml:space="preserve">Registered holders may vote online during the Annual Meeting, by the internet, by telephone, or, if they received a printed copy of these proxy materials, by mail. If your shares are held in street name, you will receive instructions from a bank, broker, nominee, or other holder of record that you must follow in order for your shares to be voted. If you have not received voting instructions from your bank, broker, nominee, or other holder of record, please contact them as soon as possible. </w:t>
      </w:r>
      <w:r>
        <w:rPr>
          <w:rFonts w:ascii="Arial" w:cs="Arial" w:eastAsia="Arial" w:hAnsi="Arial"/>
          <w:sz w:val="17"/>
          <w:szCs w:val="17"/>
          <w:b w:val="1"/>
          <w:bCs w:val="1"/>
          <w:color w:val="auto"/>
        </w:rPr>
        <w:t>We urge you to vote promptly and in advance of the Annual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representative of Mediant Communication will tabulate the votes and act as inspector of election at the Annual Meeting.</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C60C35"/>
        </w:rPr>
        <w:t>Changing Your Vote</w:t>
      </w:r>
    </w:p>
    <w:p>
      <w:pPr>
        <w:spacing w:after="0" w:line="156"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You can revoke or change your vote on a proposal at any time before the Annual Meeting for any reason by revoking your proxy. For stockholders of record, proxies may be revoked by delivering a written notice of revocation, bearing a later date than your proxy, to our Corporate Secretary at or before the Annual Meeting. Proxies may also be revoked by:</w:t>
      </w:r>
    </w:p>
    <w:p>
      <w:pPr>
        <w:spacing w:after="0" w:line="108"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submitting a new written proxy bearing a later date than a proxy you previously submitted;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voting again by internet or telephone before 11:59 p.m., Eastern Time, on May 20, 2026; or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attending the Annual Meeting and voting online.</w:t>
      </w:r>
    </w:p>
    <w:p>
      <w:pPr>
        <w:spacing w:after="0" w:line="15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In each case, the later submitted vote will be recorded and the earlier vote revoked. Any written notice of a revocation of a proxy should be sent to Lennox International Inc., 2140 Lake Park Blvd., Richardson, Texas 75080, Attention: Corporate Secretary. To be effective, the revocation must be received by our Corporate Secretary before the taking of the vote at the Annual Meeting.</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beneficial owners, please follow the instructions provided by your broker or bank.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Other Business</w:t>
      </w:r>
    </w:p>
    <w:p>
      <w:pPr>
        <w:spacing w:after="0" w:line="156"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are not aware of any other business to be acted upon at the Annual Meeting other than the Proposals described in this Proxy Statement. However, if you have voted by proxy and other matters are properly presented at the Annual Meeting for consideration in accordance with our Bylaws, the persons named in the accompanying Proxy Card will have discretion to act on those matters according to their best judgment or the Board’s recommendation.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Adjournment of the Annual Meeting</w:t>
      </w:r>
    </w:p>
    <w:p>
      <w:pPr>
        <w:spacing w:after="0" w:line="16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event of a technical malfunction or situation that makes it advisable to adjourn the Annual Meeting, the Chair will convene the meeting at 10:30 a.m., CDT, on May 21, 2026, at the Company’s principal business address solely for the purpose of adjourning the meeting to reconvene at a date, time, and location announced by the Chair. If this happens, more information will be provided at www.investor.lennox.com.</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Proxy Materials and Solicitation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Notice and Access</w:t>
      </w:r>
    </w:p>
    <w:p>
      <w:pPr>
        <w:spacing w:after="0" w:line="15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elected to deliver our proxy materials to the majority of our stockholders over the internet. This delivery process allows us to provide stockholders with the information they need while conserving natural resources and lowering the cost of delivery. On or about April 8, 2026, we mailed to our stockholders a Notice of Internet Availability of Proxy Materials containing instructions on how to access our Proxy Statement for our 2026 Annual Meeting of Stockholders and 2025 Annual Report on Form 10-K to stockholders. The Notice also provides instructions on how to vote online or by telephone and includes instructions on how to receive a paper copy of the proxy materials by mail.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Proxy Solicitation</w:t>
      </w:r>
    </w:p>
    <w:p>
      <w:pPr>
        <w:spacing w:after="0" w:line="15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We will pay for the cost of this proxy solicitation. In addition to solicitation by mail, our directors, officers, and employees may solicit</w:t>
      </w:r>
    </w:p>
    <w:p>
      <w:pPr>
        <w:spacing w:after="0" w:line="2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proxies from stockholders by telephone, facsimile, email, or in person. They will not be paid for soliciting proxies but may be reimbursed for out-of-pocket expenses related to the proxy solicitation. We have retained Georgeson LLC to assist in the solicitation of proxies for a fee of $12,000 plus reimbursement of expenses. We will also make arrangements with brokerage houses and other custodians, nominees, and fiduciaries to send the proxy materials to beneficial owners of our common stock. Upon request, we will reimburse the brokerage houses and custodians for their reasonable expenses in so doing.</w:t>
      </w:r>
    </w:p>
    <w:p>
      <w:pPr>
        <w:spacing w:after="0" w:line="200" w:lineRule="exact"/>
        <w:rPr>
          <w:sz w:val="20"/>
          <w:szCs w:val="20"/>
          <w:color w:val="auto"/>
        </w:rPr>
      </w:pPr>
    </w:p>
    <w:p>
      <w:pPr>
        <w:spacing w:after="0" w:line="21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1"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C60C35"/>
        </w:rPr>
        <w:t>Multiple Stockholders Sharing the Same Address</w:t>
      </w:r>
    </w:p>
    <w:p>
      <w:pPr>
        <w:spacing w:after="0" w:line="156"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adopted a procedure approved by the SEC called “householding.” Under this procedure, stockholders who have the same full name and address and will receive only one copy of our proxy materials or Notice of Internet Availability of Proxy Materials, as applicable. This procedure helps reduce our printing costs and postage fees. Stockholders who participate in householding and receive a full set of proxy materials will continue to receive separate Proxy Cards.</w:t>
      </w:r>
    </w:p>
    <w:p>
      <w:pPr>
        <w:spacing w:after="0" w:line="130"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Please contact our Investor Relations department by telephone at (972) 497-5000 or in writing at 2140 Lake Park Blvd., Richardson, Texas 75080, Attention: Investor Relations, investor@lennox.com if you now receive (1) multiple copies of our proxy materials or Notice of Internet Availability of Proxy Materials and wish to receive only one copy of these materials per household in the future, or (2) a single copy of our proxy materials or Notice of Internet Availability of Proxy Materials and wish to receive separate copies of these materials in the future. If you participate in householding and wish to receive a separate copy of these documents for the Annual Meeting, please notify our Investor Relations department as indicated above and we will promptly send you a separate copy.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Form 10-K</w:t>
      </w:r>
    </w:p>
    <w:p>
      <w:pPr>
        <w:spacing w:after="0" w:line="156"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If you are entitled to vote at the Annual Meeting, you may obtain a copy of our Annual Report on Form 10-K for the fiscal year ended December 31, 2025, including the financial statements required to be filed with the SEC, without charge, by contacting our Investor Relations department by telephone at (972) 497-5000 or in writing at 2140 Lake Park Blvd., Richardson, Texas 75080, Attention: Investor Relations, investor@lennox.com.</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C60C35"/>
        </w:rPr>
        <w:t>Stockholder Proposals for the 2027 Annual Meeting of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Proposals for Inclusion in the 2027 Proxy Statement</w:t>
      </w:r>
    </w:p>
    <w:p>
      <w:pPr>
        <w:spacing w:after="0" w:line="16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If you wish to submit a proposal for possible inclusion in our 2027 proxy statement, we must receive your notice, in accordance with the rules of the SEC, on or before December 9, 2026. The proposal should be sent in writing to 2140 Lake Park Blvd., Richardson, Texas 75080, Attention: Corporate Secretary. We suggest that all such proposals be sent by certified mail, return receipt requested.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C60C35"/>
        </w:rPr>
        <w:t>Proposals Not for Inclusion in the 2027 Proxy Statement But to be Offered at the 2027 Annual Meeting</w:t>
      </w:r>
    </w:p>
    <w:p>
      <w:pPr>
        <w:spacing w:after="0" w:line="156"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If you wish to introduce a proposal at the 2027 Annual Meeting of Stockholders but do not submit your proposal for inclusion in our proxy statement to be filed in 2027, our Bylaws require you to follow certain procedures and provide certain information and representations related to your proposal. Among other requirements, you must give written notice to our Corporate Secretary of your intention to introduce your proposal and must represent that (1) you are a stockholder of record of Company stock entitled to vote at the annual meeting and (2) you intend to personally present your proposal at the annual meeting. We must receive your notice at least 60 days, but no more than 90 days, prior to the 2027 Annual Meeting of Stockholders. If we give less than 70 days’ notice of the date of the 2027 Annual Meeting of Stockholders, we must receive your notice within 10 days following the date on which notice of the date of the 2027 Annual Meeting of Stockholders was mailed or such public disclosure was made to our stockholders.</w:t>
      </w:r>
    </w:p>
    <w:p>
      <w:pPr>
        <w:spacing w:after="0" w:line="139" w:lineRule="exact"/>
        <w:rPr>
          <w:sz w:val="20"/>
          <w:szCs w:val="20"/>
          <w:color w:val="auto"/>
        </w:rPr>
      </w:pPr>
    </w:p>
    <w:p>
      <w:pPr>
        <w:ind w:right="20" w:firstLine="324"/>
        <w:spacing w:after="0" w:line="244" w:lineRule="auto"/>
        <w:rPr>
          <w:sz w:val="20"/>
          <w:szCs w:val="20"/>
          <w:color w:val="auto"/>
        </w:rPr>
      </w:pPr>
      <w:r>
        <w:rPr>
          <w:rFonts w:ascii="Arial" w:cs="Arial" w:eastAsia="Arial" w:hAnsi="Arial"/>
          <w:sz w:val="18"/>
          <w:szCs w:val="18"/>
          <w:color w:val="auto"/>
        </w:rPr>
        <w:t>Your notice must include certain information about you, your proposal, and any person “acting in concert” with you and why implementation of your proposal would be in the best interest of the Company and its stockholders. Your notice must also include the shares of the Company’s stock you beneficially own (including any option, warrant or similar right and any other direct or indirect right or interest that may enable you to share in any profit, or manage the risk, from any change in the value of the Company’s stock), any proxy or other right you hold to vote the Company’s stock (or any similar right which has the effect of increasing or decreasing your voting power), performance-related fees which you would be entitled to as a result of any change in the value of the Company’s stock, any material interest you have in your proposal, and any other information required to be disclosed in a proxy statement. Depending on the nature of the proposal, additional information may be required. If you do not appear at the meeting to represent your proposal, your proposal will be disregarded.</w:t>
      </w: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1"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b w:val="1"/>
          <w:bCs w:val="1"/>
          <w:color w:val="C60C35"/>
        </w:rPr>
        <w:t>Cautionary Statement Regarding Forward-Looking Statements</w:t>
      </w:r>
    </w:p>
    <w:p>
      <w:pPr>
        <w:spacing w:after="0" w:line="108" w:lineRule="exact"/>
        <w:rPr>
          <w:sz w:val="20"/>
          <w:szCs w:val="20"/>
          <w:color w:val="auto"/>
        </w:rPr>
      </w:pPr>
    </w:p>
    <w:p>
      <w:pPr>
        <w:ind w:firstLine="324"/>
        <w:spacing w:after="0" w:line="243"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Exchange Act that are based on information currently available to management as well as management’s assumptions and beliefs as of the date hereof. All statements, other than statements of historical fact, included in this Proxy Statement constitute forward-looking statements within the meaning of the Private Securities Litigation Reform Act of 1995. Forward-looking statements can be identified by the words “may,” “will,” “should,” “plan,” “predict,” “anticipate,” “believe,” “intend,” “estimate,” “expect,” and similar expressions. Statements that are not historical should also be considered forward-looking statements. Such statements reflect our current views with respect to future events. Readers are cautioned not to place undue reliance on these forward-looking statements. We believe these statements are based on reasonable assumptions; however, such statements are inherently subject to risks and uncertainties, including but not limited to the specific uncertainties discussed elsewhere in the Proxy Statement and the risk factors set forth in Item 1A. Risk Factors of our Annual Report on Form 10-K. These risks and uncertainties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unless required by law.</w:t>
      </w:r>
    </w:p>
    <w:p>
      <w:pPr>
        <w:spacing w:after="0" w:line="124"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The following are some of the factors that could cause actual results to differ materially from those expressed or implied in forward-looking statements:</w:t>
      </w:r>
    </w:p>
    <w:p>
      <w:pPr>
        <w:spacing w:after="0" w:line="8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competition in the heating, ventilation, air conditioning and refrigeration business;</w:t>
      </w:r>
    </w:p>
    <w:p>
      <w:pPr>
        <w:spacing w:after="0" w:line="103"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successfully develop and market new products or execute our business strategy, including the implementation of price increases for products and services;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meet and anticipate customer demands;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continue to license or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attract, motivate, develop and retain our employees, as well as labor relations problems;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artificial intelligence technologies;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decline in new construction activity and related demand for our products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impact of weather on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impact of higher raw material prices and significant supply interruptions;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product liability, warranty claims, or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changes in environmental and climate-related legislation or government regulations or policies;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changes in tax legislation;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impact of new or increased trade 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improper conduct by any of our employees, agents, or business partners;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abroad;</w:t>
      </w:r>
    </w:p>
    <w:p>
      <w:pPr>
        <w:spacing w:after="0" w:line="117" w:lineRule="exact"/>
        <w:rPr>
          <w:rFonts w:ascii="Arial" w:cs="Arial" w:eastAsia="Arial" w:hAnsi="Arial"/>
          <w:sz w:val="18"/>
          <w:szCs w:val="18"/>
          <w:color w:val="auto"/>
        </w:rPr>
      </w:pPr>
    </w:p>
    <w:p>
      <w:pPr>
        <w:ind w:left="660" w:right="100" w:hanging="328"/>
        <w:spacing w:after="0" w:line="27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extraordinary events beyond our control, such as conflicts, wars, natural disasters, public health crises, terrorist acts, or other civil or political disruptions;</w:t>
      </w:r>
    </w:p>
    <w:p>
      <w:pPr>
        <w:spacing w:after="0" w:line="4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cyber attacks and other disruptions or misuse of information systems;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our ability to successfully realize, complete and integrate acquisitions.</w:t>
      </w:r>
    </w:p>
    <w:p>
      <w:pPr>
        <w:spacing w:after="0" w:line="200" w:lineRule="exact"/>
        <w:rPr>
          <w:sz w:val="20"/>
          <w:szCs w:val="20"/>
          <w:color w:val="auto"/>
        </w:rPr>
      </w:pPr>
    </w:p>
    <w:p>
      <w:pPr>
        <w:spacing w:after="0" w:line="2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25"/>
          <w:szCs w:val="25"/>
          <w:b w:val="1"/>
          <w:bCs w:val="1"/>
          <w:color w:val="C60C35"/>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5175" cy="8890"/>
                    </a:xfrm>
                    <a:prstGeom prst="rect">
                      <a:avLst/>
                    </a:prstGeom>
                    <a:noFill/>
                  </pic:spPr>
                </pic:pic>
              </a:graphicData>
            </a:graphic>
          </wp:anchor>
        </w:drawing>
        <w:t>Appendix A – GAAP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71151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83" w:lineRule="exact"/>
        <w:rPr>
          <w:sz w:val="20"/>
          <w:szCs w:val="20"/>
          <w:color w:val="auto"/>
        </w:rPr>
      </w:pPr>
    </w:p>
    <w:p>
      <w:pPr>
        <w:ind w:right="4840"/>
        <w:spacing w:after="0" w:line="279" w:lineRule="auto"/>
        <w:rPr>
          <w:sz w:val="20"/>
          <w:szCs w:val="20"/>
          <w:color w:val="auto"/>
        </w:rPr>
      </w:pPr>
      <w:r>
        <w:rPr>
          <w:rFonts w:ascii="Arial" w:cs="Arial" w:eastAsia="Arial" w:hAnsi="Arial"/>
          <w:sz w:val="16"/>
          <w:szCs w:val="16"/>
          <w:b w:val="1"/>
          <w:bCs w:val="1"/>
          <w:color w:val="C60C35"/>
        </w:rPr>
        <w:t>Reconciliation to U.S. GAAP (Generally Accepted Accounting Principles) Measures (Unaudited) (dollars in millions)</w:t>
      </w:r>
    </w:p>
    <w:p>
      <w:pPr>
        <w:spacing w:after="0" w:line="9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6"/>
          <w:szCs w:val="16"/>
          <w:color w:val="auto"/>
        </w:rPr>
        <w:t>To supplement the Company's consolidated financial statements and segment net sales and profit (loss) presented in accordance with U.S. GAAP, additional non-GAAP financial measures are provided and reconciled in the following tables. The Company believes that these non-GAAP financial measures, when considered together with the GAAP financial measures, provide information that is useful to investors in understanding period-over-period operating results and enhance the ability of investors to analyze the Company's business trends and operating performance. 2024 amounts are adjusted to reflect the accounting method change from LIFO to FIFO.</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C60C35"/>
        </w:rPr>
        <w:t>Reconciliation of Net Income, a GAAP measure, to Adjusted Net Income, a non-GAAP measure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shd w:val="clear" w:color="auto" w:fill="C60C35"/>
          </w:tcPr>
          <w:p>
            <w:pPr>
              <w:spacing w:after="0"/>
              <w:rPr>
                <w:sz w:val="18"/>
                <w:szCs w:val="18"/>
                <w:color w:val="auto"/>
              </w:rPr>
            </w:pPr>
          </w:p>
        </w:tc>
        <w:tc>
          <w:tcPr>
            <w:tcW w:w="4640" w:type="dxa"/>
            <w:vAlign w:val="bottom"/>
            <w:gridSpan w:val="2"/>
            <w:shd w:val="clear" w:color="auto" w:fill="C60C35"/>
          </w:tcPr>
          <w:p>
            <w:pPr>
              <w:jc w:val="right"/>
              <w:ind w:right="988"/>
              <w:spacing w:after="0"/>
              <w:rPr>
                <w:sz w:val="20"/>
                <w:szCs w:val="20"/>
                <w:color w:val="auto"/>
              </w:rPr>
            </w:pPr>
            <w:r>
              <w:rPr>
                <w:rFonts w:ascii="Arial" w:cs="Arial" w:eastAsia="Arial" w:hAnsi="Arial"/>
                <w:sz w:val="14"/>
                <w:szCs w:val="14"/>
                <w:b w:val="1"/>
                <w:bCs w:val="1"/>
                <w:color w:val="FFFFFF"/>
              </w:rPr>
              <w:t>For the Year Ended December 31, 2025</w:t>
            </w:r>
          </w:p>
        </w:tc>
      </w:tr>
      <w:tr>
        <w:trPr>
          <w:trHeight w:val="281"/>
        </w:trPr>
        <w:tc>
          <w:tcPr>
            <w:tcW w:w="6600" w:type="dxa"/>
            <w:vAlign w:val="bottom"/>
            <w:shd w:val="clear" w:color="auto" w:fill="C60C35"/>
          </w:tcPr>
          <w:p>
            <w:pPr>
              <w:spacing w:after="0"/>
              <w:rPr>
                <w:sz w:val="24"/>
                <w:szCs w:val="24"/>
                <w:color w:val="auto"/>
              </w:rPr>
            </w:pPr>
          </w:p>
        </w:tc>
        <w:tc>
          <w:tcPr>
            <w:tcW w:w="22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After Tax Amount</w:t>
            </w:r>
          </w:p>
        </w:tc>
        <w:tc>
          <w:tcPr>
            <w:tcW w:w="23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 Diluted Share</w:t>
            </w:r>
          </w:p>
        </w:tc>
      </w:tr>
      <w:tr>
        <w:trPr>
          <w:trHeight w:val="70"/>
        </w:trPr>
        <w:tc>
          <w:tcPr>
            <w:tcW w:w="6600" w:type="dxa"/>
            <w:vAlign w:val="bottom"/>
            <w:shd w:val="clear" w:color="auto" w:fill="C60C35"/>
          </w:tcPr>
          <w:p>
            <w:pPr>
              <w:spacing w:after="0"/>
              <w:rPr>
                <w:sz w:val="6"/>
                <w:szCs w:val="6"/>
                <w:color w:val="auto"/>
              </w:rPr>
            </w:pPr>
          </w:p>
        </w:tc>
        <w:tc>
          <w:tcPr>
            <w:tcW w:w="2260" w:type="dxa"/>
            <w:vAlign w:val="bottom"/>
            <w:shd w:val="clear" w:color="auto" w:fill="C60C35"/>
          </w:tcPr>
          <w:p>
            <w:pPr>
              <w:spacing w:after="0"/>
              <w:rPr>
                <w:sz w:val="6"/>
                <w:szCs w:val="6"/>
                <w:color w:val="auto"/>
              </w:rPr>
            </w:pPr>
          </w:p>
        </w:tc>
        <w:tc>
          <w:tcPr>
            <w:tcW w:w="2380" w:type="dxa"/>
            <w:vAlign w:val="bottom"/>
            <w:shd w:val="clear" w:color="auto" w:fill="C60C35"/>
          </w:tcPr>
          <w:p>
            <w:pPr>
              <w:spacing w:after="0"/>
              <w:rPr>
                <w:sz w:val="6"/>
                <w:szCs w:val="6"/>
                <w:color w:val="auto"/>
              </w:rPr>
            </w:pPr>
          </w:p>
        </w:tc>
      </w:tr>
      <w:tr>
        <w:trPr>
          <w:trHeight w:val="229"/>
        </w:trPr>
        <w:tc>
          <w:tcPr>
            <w:tcW w:w="66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Income, a GAAP measure</w:t>
            </w:r>
          </w:p>
        </w:tc>
        <w:tc>
          <w:tcPr>
            <w:tcW w:w="226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$805.8</w:t>
            </w:r>
          </w:p>
        </w:tc>
        <w:tc>
          <w:tcPr>
            <w:tcW w:w="238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$22.79</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Restructuring charges</w:t>
            </w:r>
          </w:p>
        </w:tc>
        <w:tc>
          <w:tcPr>
            <w:tcW w:w="2260" w:type="dxa"/>
            <w:vAlign w:val="bottom"/>
          </w:tcPr>
          <w:p>
            <w:pPr>
              <w:jc w:val="right"/>
              <w:spacing w:after="0"/>
              <w:rPr>
                <w:sz w:val="20"/>
                <w:szCs w:val="20"/>
                <w:color w:val="auto"/>
              </w:rPr>
            </w:pPr>
            <w:r>
              <w:rPr>
                <w:rFonts w:ascii="Arial" w:cs="Arial" w:eastAsia="Arial" w:hAnsi="Arial"/>
                <w:sz w:val="14"/>
                <w:szCs w:val="14"/>
                <w:color w:val="auto"/>
              </w:rPr>
              <w:t>5.1</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0.14</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0"/>
        </w:trPr>
        <w:tc>
          <w:tcPr>
            <w:tcW w:w="660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Loss on sale from previous disposition</w:t>
            </w:r>
          </w:p>
        </w:tc>
        <w:tc>
          <w:tcPr>
            <w:tcW w:w="22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(0.7)</w:t>
            </w:r>
          </w:p>
        </w:tc>
        <w:tc>
          <w:tcPr>
            <w:tcW w:w="23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(0.02)</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Acquisition costs (a)</w:t>
            </w:r>
          </w:p>
        </w:tc>
        <w:tc>
          <w:tcPr>
            <w:tcW w:w="2260" w:type="dxa"/>
            <w:vAlign w:val="bottom"/>
          </w:tcPr>
          <w:p>
            <w:pPr>
              <w:jc w:val="right"/>
              <w:spacing w:after="0"/>
              <w:rPr>
                <w:sz w:val="20"/>
                <w:szCs w:val="20"/>
                <w:color w:val="auto"/>
              </w:rPr>
            </w:pPr>
            <w:r>
              <w:rPr>
                <w:rFonts w:ascii="Arial" w:cs="Arial" w:eastAsia="Arial" w:hAnsi="Arial"/>
                <w:sz w:val="14"/>
                <w:szCs w:val="14"/>
                <w:color w:val="auto"/>
              </w:rPr>
              <w:t>8.9</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0.25</w:t>
            </w:r>
          </w:p>
        </w:tc>
      </w:tr>
      <w:tr>
        <w:trPr>
          <w:trHeight w:val="22"/>
        </w:trPr>
        <w:tc>
          <w:tcPr>
            <w:tcW w:w="6600" w:type="dxa"/>
            <w:vAlign w:val="bottom"/>
            <w:tcBorders>
              <w:bottom w:val="single" w:sz="8" w:color="F1F2F2"/>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42"/>
        </w:trPr>
        <w:tc>
          <w:tcPr>
            <w:tcW w:w="66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Adjusted net income, a non-GAAP measure</w:t>
            </w:r>
          </w:p>
        </w:tc>
        <w:tc>
          <w:tcPr>
            <w:tcW w:w="226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$819.1</w:t>
            </w:r>
          </w:p>
        </w:tc>
        <w:tc>
          <w:tcPr>
            <w:tcW w:w="238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$23.16</w:t>
            </w:r>
          </w:p>
        </w:tc>
      </w:tr>
      <w:tr>
        <w:trPr>
          <w:trHeight w:val="20"/>
        </w:trPr>
        <w:tc>
          <w:tcPr>
            <w:tcW w:w="6600" w:type="dxa"/>
            <w:vAlign w:val="bottom"/>
            <w:tcBorders>
              <w:top w:val="single" w:sz="8" w:color="F1F2F2"/>
            </w:tcBorders>
          </w:tcPr>
          <w:p>
            <w:pPr>
              <w:spacing w:after="0" w:line="20" w:lineRule="exact"/>
              <w:rPr>
                <w:sz w:val="1"/>
                <w:szCs w:val="1"/>
                <w:color w:val="auto"/>
              </w:rPr>
            </w:pPr>
          </w:p>
        </w:tc>
        <w:tc>
          <w:tcPr>
            <w:tcW w:w="4640" w:type="dxa"/>
            <w:vAlign w:val="bottom"/>
            <w:tcBorders>
              <w:top w:val="single" w:sz="8" w:color="F1F2F2"/>
              <w:bottom w:val="single" w:sz="8" w:color="auto"/>
            </w:tcBorders>
            <w:gridSpan w:val="2"/>
          </w:tcPr>
          <w:p>
            <w:pPr>
              <w:spacing w:after="0" w:line="20" w:lineRule="exact"/>
              <w:rPr>
                <w:sz w:val="1"/>
                <w:szCs w:val="1"/>
                <w:color w:val="auto"/>
              </w:rPr>
            </w:pPr>
          </w:p>
        </w:tc>
      </w:tr>
      <w:tr>
        <w:trPr>
          <w:trHeight w:val="318"/>
        </w:trPr>
        <w:tc>
          <w:tcPr>
            <w:tcW w:w="6600" w:type="dxa"/>
            <w:vAlign w:val="bottom"/>
          </w:tcPr>
          <w:p>
            <w:pPr>
              <w:spacing w:after="0"/>
              <w:rPr>
                <w:sz w:val="24"/>
                <w:szCs w:val="24"/>
                <w:color w:val="auto"/>
              </w:rPr>
            </w:pPr>
          </w:p>
        </w:tc>
        <w:tc>
          <w:tcPr>
            <w:tcW w:w="4640" w:type="dxa"/>
            <w:vAlign w:val="bottom"/>
            <w:gridSpan w:val="2"/>
          </w:tcPr>
          <w:p>
            <w:pPr>
              <w:spacing w:after="0"/>
              <w:rPr>
                <w:sz w:val="24"/>
                <w:szCs w:val="24"/>
                <w:color w:val="auto"/>
              </w:rPr>
            </w:pPr>
          </w:p>
        </w:tc>
      </w:tr>
      <w:tr>
        <w:trPr>
          <w:trHeight w:val="200"/>
        </w:trPr>
        <w:tc>
          <w:tcPr>
            <w:tcW w:w="6600" w:type="dxa"/>
            <w:vAlign w:val="bottom"/>
            <w:shd w:val="clear" w:color="auto" w:fill="C60C35"/>
          </w:tcPr>
          <w:p>
            <w:pPr>
              <w:spacing w:after="0"/>
              <w:rPr>
                <w:sz w:val="17"/>
                <w:szCs w:val="17"/>
                <w:color w:val="auto"/>
              </w:rPr>
            </w:pPr>
          </w:p>
        </w:tc>
        <w:tc>
          <w:tcPr>
            <w:tcW w:w="4640" w:type="dxa"/>
            <w:vAlign w:val="bottom"/>
            <w:gridSpan w:val="2"/>
            <w:shd w:val="clear" w:color="auto" w:fill="C60C35"/>
          </w:tcPr>
          <w:p>
            <w:pPr>
              <w:jc w:val="right"/>
              <w:ind w:right="988"/>
              <w:spacing w:after="0"/>
              <w:rPr>
                <w:sz w:val="20"/>
                <w:szCs w:val="20"/>
                <w:color w:val="auto"/>
              </w:rPr>
            </w:pPr>
            <w:r>
              <w:rPr>
                <w:rFonts w:ascii="Arial" w:cs="Arial" w:eastAsia="Arial" w:hAnsi="Arial"/>
                <w:sz w:val="14"/>
                <w:szCs w:val="14"/>
                <w:b w:val="1"/>
                <w:bCs w:val="1"/>
                <w:color w:val="FFFFFF"/>
              </w:rPr>
              <w:t>For the Year Ended December 31, 2024</w:t>
            </w:r>
          </w:p>
        </w:tc>
      </w:tr>
      <w:tr>
        <w:trPr>
          <w:trHeight w:val="297"/>
        </w:trPr>
        <w:tc>
          <w:tcPr>
            <w:tcW w:w="6600" w:type="dxa"/>
            <w:vAlign w:val="bottom"/>
            <w:shd w:val="clear" w:color="auto" w:fill="C60C35"/>
          </w:tcPr>
          <w:p>
            <w:pPr>
              <w:spacing w:after="0"/>
              <w:rPr>
                <w:sz w:val="24"/>
                <w:szCs w:val="24"/>
                <w:color w:val="auto"/>
              </w:rPr>
            </w:pPr>
          </w:p>
        </w:tc>
        <w:tc>
          <w:tcPr>
            <w:tcW w:w="2260" w:type="dxa"/>
            <w:vAlign w:val="bottom"/>
            <w:shd w:val="clear" w:color="auto" w:fill="C60C35"/>
          </w:tcPr>
          <w:p>
            <w:pPr>
              <w:jc w:val="right"/>
              <w:spacing w:after="0"/>
              <w:rPr>
                <w:sz w:val="20"/>
                <w:szCs w:val="20"/>
                <w:color w:val="auto"/>
              </w:rPr>
            </w:pPr>
            <w:r>
              <w:rPr>
                <w:rFonts w:ascii="Arial" w:cs="Arial" w:eastAsia="Arial" w:hAnsi="Arial"/>
                <w:sz w:val="14"/>
                <w:szCs w:val="14"/>
                <w:b w:val="1"/>
                <w:bCs w:val="1"/>
                <w:color w:val="FFFFFF"/>
              </w:rPr>
              <w:t>After Tax Amount</w:t>
            </w:r>
          </w:p>
        </w:tc>
        <w:tc>
          <w:tcPr>
            <w:tcW w:w="2380" w:type="dxa"/>
            <w:vAlign w:val="bottom"/>
            <w:shd w:val="clear" w:color="auto" w:fill="C60C35"/>
          </w:tcPr>
          <w:p>
            <w:pPr>
              <w:jc w:val="right"/>
              <w:ind w:right="88"/>
              <w:spacing w:after="0"/>
              <w:rPr>
                <w:sz w:val="20"/>
                <w:szCs w:val="20"/>
                <w:color w:val="auto"/>
              </w:rPr>
            </w:pPr>
            <w:r>
              <w:rPr>
                <w:rFonts w:ascii="Arial" w:cs="Arial" w:eastAsia="Arial" w:hAnsi="Arial"/>
                <w:sz w:val="14"/>
                <w:szCs w:val="14"/>
                <w:b w:val="1"/>
                <w:bCs w:val="1"/>
                <w:color w:val="FFFFFF"/>
              </w:rPr>
              <w:t>Per Diluted Share</w:t>
            </w:r>
          </w:p>
        </w:tc>
      </w:tr>
      <w:tr>
        <w:trPr>
          <w:trHeight w:val="70"/>
        </w:trPr>
        <w:tc>
          <w:tcPr>
            <w:tcW w:w="6600" w:type="dxa"/>
            <w:vAlign w:val="bottom"/>
            <w:shd w:val="clear" w:color="auto" w:fill="C60C35"/>
          </w:tcPr>
          <w:p>
            <w:pPr>
              <w:spacing w:after="0"/>
              <w:rPr>
                <w:sz w:val="6"/>
                <w:szCs w:val="6"/>
                <w:color w:val="auto"/>
              </w:rPr>
            </w:pPr>
          </w:p>
        </w:tc>
        <w:tc>
          <w:tcPr>
            <w:tcW w:w="2260" w:type="dxa"/>
            <w:vAlign w:val="bottom"/>
            <w:shd w:val="clear" w:color="auto" w:fill="C60C35"/>
          </w:tcPr>
          <w:p>
            <w:pPr>
              <w:spacing w:after="0"/>
              <w:rPr>
                <w:sz w:val="6"/>
                <w:szCs w:val="6"/>
                <w:color w:val="auto"/>
              </w:rPr>
            </w:pPr>
          </w:p>
        </w:tc>
        <w:tc>
          <w:tcPr>
            <w:tcW w:w="2380" w:type="dxa"/>
            <w:vAlign w:val="bottom"/>
            <w:shd w:val="clear" w:color="auto" w:fill="C60C35"/>
          </w:tcPr>
          <w:p>
            <w:pPr>
              <w:spacing w:after="0"/>
              <w:rPr>
                <w:sz w:val="6"/>
                <w:szCs w:val="6"/>
                <w:color w:val="auto"/>
              </w:rPr>
            </w:pPr>
          </w:p>
        </w:tc>
      </w:tr>
      <w:tr>
        <w:trPr>
          <w:trHeight w:val="229"/>
        </w:trPr>
        <w:tc>
          <w:tcPr>
            <w:tcW w:w="6600" w:type="dxa"/>
            <w:vAlign w:val="bottom"/>
            <w:shd w:val="clear" w:color="auto" w:fill="F1F2F2"/>
          </w:tcPr>
          <w:p>
            <w:pPr>
              <w:ind w:left="100"/>
              <w:spacing w:after="0"/>
              <w:rPr>
                <w:sz w:val="20"/>
                <w:szCs w:val="20"/>
                <w:color w:val="auto"/>
              </w:rPr>
            </w:pPr>
            <w:r>
              <w:rPr>
                <w:rFonts w:ascii="Arial" w:cs="Arial" w:eastAsia="Arial" w:hAnsi="Arial"/>
                <w:sz w:val="14"/>
                <w:szCs w:val="14"/>
                <w:b w:val="1"/>
                <w:bCs w:val="1"/>
                <w:color w:val="auto"/>
              </w:rPr>
              <w:t>Net Income, a GAAP measure</w:t>
            </w:r>
          </w:p>
        </w:tc>
        <w:tc>
          <w:tcPr>
            <w:tcW w:w="2260" w:type="dxa"/>
            <w:vAlign w:val="bottom"/>
            <w:shd w:val="clear" w:color="auto" w:fill="F1F2F2"/>
          </w:tcPr>
          <w:p>
            <w:pPr>
              <w:jc w:val="right"/>
              <w:spacing w:after="0"/>
              <w:rPr>
                <w:sz w:val="20"/>
                <w:szCs w:val="20"/>
                <w:color w:val="auto"/>
              </w:rPr>
            </w:pPr>
            <w:r>
              <w:rPr>
                <w:rFonts w:ascii="Arial" w:cs="Arial" w:eastAsia="Arial" w:hAnsi="Arial"/>
                <w:sz w:val="14"/>
                <w:szCs w:val="14"/>
                <w:b w:val="1"/>
                <w:bCs w:val="1"/>
                <w:color w:val="auto"/>
              </w:rPr>
              <w:t>$811.1</w:t>
            </w:r>
          </w:p>
        </w:tc>
        <w:tc>
          <w:tcPr>
            <w:tcW w:w="2380" w:type="dxa"/>
            <w:vAlign w:val="bottom"/>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$22.66</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Restructuring charges</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6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09"/>
        </w:trPr>
        <w:tc>
          <w:tcPr>
            <w:tcW w:w="6600" w:type="dxa"/>
            <w:vAlign w:val="bottom"/>
            <w:tcBorders>
              <w:bottom w:val="single" w:sz="8" w:color="F1F2F2"/>
            </w:tcBorders>
            <w:shd w:val="clear" w:color="auto" w:fill="F1F2F2"/>
          </w:tcPr>
          <w:p>
            <w:pPr>
              <w:ind w:left="180"/>
              <w:spacing w:after="0"/>
              <w:rPr>
                <w:sz w:val="20"/>
                <w:szCs w:val="20"/>
                <w:color w:val="auto"/>
              </w:rPr>
            </w:pPr>
            <w:r>
              <w:rPr>
                <w:rFonts w:ascii="Arial" w:cs="Arial" w:eastAsia="Arial" w:hAnsi="Arial"/>
                <w:sz w:val="14"/>
                <w:szCs w:val="14"/>
                <w:color w:val="auto"/>
              </w:rPr>
              <w:t>Gain on sale of business</w:t>
            </w:r>
          </w:p>
        </w:tc>
        <w:tc>
          <w:tcPr>
            <w:tcW w:w="226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4"/>
                <w:szCs w:val="14"/>
                <w:color w:val="auto"/>
              </w:rPr>
              <w:t>1.5</w:t>
            </w:r>
          </w:p>
        </w:tc>
        <w:tc>
          <w:tcPr>
            <w:tcW w:w="2380" w:type="dxa"/>
            <w:vAlign w:val="bottom"/>
            <w:tcBorders>
              <w:bottom w:val="single" w:sz="8" w:color="F1F2F2"/>
            </w:tcBorders>
            <w:shd w:val="clear" w:color="auto" w:fill="F1F2F2"/>
          </w:tcPr>
          <w:p>
            <w:pPr>
              <w:jc w:val="right"/>
              <w:ind w:right="88"/>
              <w:spacing w:after="0"/>
              <w:rPr>
                <w:sz w:val="20"/>
                <w:szCs w:val="20"/>
                <w:color w:val="auto"/>
              </w:rPr>
            </w:pPr>
            <w:r>
              <w:rPr>
                <w:rFonts w:ascii="Arial" w:cs="Arial" w:eastAsia="Arial" w:hAnsi="Arial"/>
                <w:sz w:val="14"/>
                <w:szCs w:val="14"/>
                <w:color w:val="auto"/>
              </w:rPr>
              <w:t>0.04</w:t>
            </w:r>
          </w:p>
        </w:tc>
      </w:tr>
      <w:tr>
        <w:trPr>
          <w:trHeight w:val="208"/>
        </w:trPr>
        <w:tc>
          <w:tcPr>
            <w:tcW w:w="6600" w:type="dxa"/>
            <w:vAlign w:val="bottom"/>
          </w:tcPr>
          <w:p>
            <w:pPr>
              <w:ind w:left="180"/>
              <w:spacing w:after="0"/>
              <w:rPr>
                <w:sz w:val="20"/>
                <w:szCs w:val="20"/>
                <w:color w:val="auto"/>
              </w:rPr>
            </w:pPr>
            <w:r>
              <w:rPr>
                <w:rFonts w:ascii="Arial" w:cs="Arial" w:eastAsia="Arial" w:hAnsi="Arial"/>
                <w:sz w:val="14"/>
                <w:szCs w:val="14"/>
                <w:color w:val="auto"/>
              </w:rPr>
              <w:t>Acquisition costs (a)</w:t>
            </w:r>
          </w:p>
        </w:tc>
        <w:tc>
          <w:tcPr>
            <w:tcW w:w="2260" w:type="dxa"/>
            <w:vAlign w:val="bottom"/>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6600" w:type="dxa"/>
            <w:vAlign w:val="bottom"/>
            <w:tcBorders>
              <w:bottom w:val="single" w:sz="8" w:color="F1F2F2"/>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r>
        <w:trPr>
          <w:trHeight w:val="241"/>
        </w:trPr>
        <w:tc>
          <w:tcPr>
            <w:tcW w:w="66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4"/>
                <w:szCs w:val="14"/>
                <w:b w:val="1"/>
                <w:bCs w:val="1"/>
                <w:color w:val="auto"/>
              </w:rPr>
              <w:t>Adjusted net income, a non-GAAP measure</w:t>
            </w:r>
          </w:p>
        </w:tc>
        <w:tc>
          <w:tcPr>
            <w:tcW w:w="2260" w:type="dxa"/>
            <w:vAlign w:val="bottom"/>
            <w:tcBorders>
              <w:bottom w:val="single" w:sz="8" w:color="auto"/>
            </w:tcBorders>
            <w:shd w:val="clear" w:color="auto" w:fill="F1F2F2"/>
          </w:tcPr>
          <w:p>
            <w:pPr>
              <w:jc w:val="right"/>
              <w:spacing w:after="0"/>
              <w:rPr>
                <w:sz w:val="20"/>
                <w:szCs w:val="20"/>
                <w:color w:val="auto"/>
              </w:rPr>
            </w:pPr>
            <w:r>
              <w:rPr>
                <w:rFonts w:ascii="Arial" w:cs="Arial" w:eastAsia="Arial" w:hAnsi="Arial"/>
                <w:sz w:val="14"/>
                <w:szCs w:val="14"/>
                <w:b w:val="1"/>
                <w:bCs w:val="1"/>
                <w:color w:val="auto"/>
              </w:rPr>
              <w:t>$812.6</w:t>
            </w:r>
          </w:p>
        </w:tc>
        <w:tc>
          <w:tcPr>
            <w:tcW w:w="2380" w:type="dxa"/>
            <w:vAlign w:val="bottom"/>
            <w:tcBorders>
              <w:bottom w:val="single" w:sz="8" w:color="auto"/>
            </w:tcBorders>
            <w:shd w:val="clear" w:color="auto" w:fill="F1F2F2"/>
          </w:tcPr>
          <w:p>
            <w:pPr>
              <w:jc w:val="right"/>
              <w:ind w:right="88"/>
              <w:spacing w:after="0"/>
              <w:rPr>
                <w:sz w:val="20"/>
                <w:szCs w:val="20"/>
                <w:color w:val="auto"/>
              </w:rPr>
            </w:pPr>
            <w:r>
              <w:rPr>
                <w:rFonts w:ascii="Arial" w:cs="Arial" w:eastAsia="Arial" w:hAnsi="Arial"/>
                <w:sz w:val="14"/>
                <w:szCs w:val="14"/>
                <w:b w:val="1"/>
                <w:bCs w:val="1"/>
                <w:color w:val="auto"/>
              </w:rPr>
              <w:t>$22.70</w:t>
            </w:r>
          </w:p>
        </w:tc>
      </w:tr>
      <w:tr>
        <w:trPr>
          <w:trHeight w:val="20"/>
        </w:trPr>
        <w:tc>
          <w:tcPr>
            <w:tcW w:w="6600" w:type="dxa"/>
            <w:vAlign w:val="bottom"/>
            <w:tcBorders>
              <w:top w:val="single" w:sz="8" w:color="F1F2F2"/>
            </w:tcBorders>
          </w:tcPr>
          <w:p>
            <w:pPr>
              <w:spacing w:after="0" w:line="20" w:lineRule="exact"/>
              <w:rPr>
                <w:sz w:val="1"/>
                <w:szCs w:val="1"/>
                <w:color w:val="auto"/>
              </w:rPr>
            </w:pPr>
          </w:p>
        </w:tc>
        <w:tc>
          <w:tcPr>
            <w:tcW w:w="2260" w:type="dxa"/>
            <w:vAlign w:val="bottom"/>
            <w:tcBorders>
              <w:top w:val="single" w:sz="8" w:color="F1F2F2"/>
              <w:bottom w:val="single" w:sz="8" w:color="auto"/>
            </w:tcBorders>
          </w:tcPr>
          <w:p>
            <w:pPr>
              <w:spacing w:after="0" w:line="20" w:lineRule="exact"/>
              <w:rPr>
                <w:sz w:val="1"/>
                <w:szCs w:val="1"/>
                <w:color w:val="auto"/>
              </w:rPr>
            </w:pPr>
          </w:p>
        </w:tc>
        <w:tc>
          <w:tcPr>
            <w:tcW w:w="2380" w:type="dxa"/>
            <w:vAlign w:val="bottom"/>
            <w:tcBorders>
              <w:top w:val="single" w:sz="8" w:color="F1F2F2"/>
              <w:bottom w:val="single" w:sz="8" w:color="auto"/>
            </w:tcBorders>
          </w:tcPr>
          <w:p>
            <w:pPr>
              <w:spacing w:after="0" w:line="20" w:lineRule="exact"/>
              <w:rPr>
                <w:sz w:val="1"/>
                <w:szCs w:val="1"/>
                <w:color w:val="auto"/>
              </w:rPr>
            </w:pPr>
          </w:p>
        </w:tc>
      </w:tr>
      <w:tr>
        <w:trPr>
          <w:trHeight w:val="350"/>
        </w:trPr>
        <w:tc>
          <w:tcPr>
            <w:tcW w:w="8860" w:type="dxa"/>
            <w:vAlign w:val="bottom"/>
            <w:gridSpan w:val="2"/>
          </w:tcPr>
          <w:p>
            <w:pPr>
              <w:jc w:val="right"/>
              <w:ind w:right="1828"/>
              <w:spacing w:after="0"/>
              <w:rPr>
                <w:sz w:val="20"/>
                <w:szCs w:val="20"/>
                <w:color w:val="auto"/>
              </w:rPr>
            </w:pPr>
            <w:r>
              <w:rPr>
                <w:rFonts w:ascii="Arial" w:cs="Arial" w:eastAsia="Arial" w:hAnsi="Arial"/>
                <w:sz w:val="14"/>
                <w:szCs w:val="14"/>
                <w:color w:val="auto"/>
              </w:rPr>
              <w:t>(a)  Recorded in Losses (gains) and other expenses, net in the Consolidated Statements of Operations.</w:t>
            </w:r>
          </w:p>
        </w:tc>
        <w:tc>
          <w:tcPr>
            <w:tcW w:w="2380" w:type="dxa"/>
            <w:vAlign w:val="bottom"/>
          </w:tcPr>
          <w:p>
            <w:pPr>
              <w:spacing w:after="0"/>
              <w:rPr>
                <w:sz w:val="24"/>
                <w:szCs w:val="24"/>
                <w:color w:val="auto"/>
              </w:rPr>
            </w:pPr>
          </w:p>
        </w:tc>
      </w:tr>
      <w:tr>
        <w:trPr>
          <w:trHeight w:val="352"/>
        </w:trPr>
        <w:tc>
          <w:tcPr>
            <w:tcW w:w="6600" w:type="dxa"/>
            <w:vAlign w:val="bottom"/>
          </w:tcPr>
          <w:p>
            <w:pPr>
              <w:spacing w:after="0"/>
              <w:rPr>
                <w:sz w:val="20"/>
                <w:szCs w:val="20"/>
                <w:color w:val="auto"/>
              </w:rPr>
            </w:pPr>
            <w:r>
              <w:rPr>
                <w:rFonts w:ascii="Arial" w:cs="Arial" w:eastAsia="Arial" w:hAnsi="Arial"/>
                <w:sz w:val="16"/>
                <w:szCs w:val="16"/>
                <w:b w:val="1"/>
                <w:bCs w:val="1"/>
                <w:color w:val="C60C35"/>
              </w:rPr>
              <w:t>Segment Profit</w:t>
            </w:r>
          </w:p>
        </w:tc>
        <w:tc>
          <w:tcPr>
            <w:tcW w:w="2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29"/>
        </w:trPr>
        <w:tc>
          <w:tcPr>
            <w:tcW w:w="6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380" w:type="dxa"/>
            <w:vAlign w:val="bottom"/>
          </w:tcPr>
          <w:p>
            <w:pPr>
              <w:spacing w:after="0"/>
              <w:rPr>
                <w:sz w:val="11"/>
                <w:szCs w:val="11"/>
                <w:color w:val="auto"/>
              </w:rPr>
            </w:pPr>
          </w:p>
        </w:tc>
      </w:tr>
      <w:tr>
        <w:trPr>
          <w:trHeight w:val="193"/>
        </w:trPr>
        <w:tc>
          <w:tcPr>
            <w:tcW w:w="6600" w:type="dxa"/>
            <w:vAlign w:val="bottom"/>
            <w:shd w:val="clear" w:color="auto" w:fill="C6093B"/>
          </w:tcPr>
          <w:p>
            <w:pPr>
              <w:spacing w:after="0"/>
              <w:rPr>
                <w:sz w:val="16"/>
                <w:szCs w:val="16"/>
                <w:color w:val="auto"/>
              </w:rPr>
            </w:pPr>
          </w:p>
        </w:tc>
        <w:tc>
          <w:tcPr>
            <w:tcW w:w="2260" w:type="dxa"/>
            <w:vAlign w:val="bottom"/>
            <w:shd w:val="clear" w:color="auto" w:fill="C6093B"/>
          </w:tcPr>
          <w:p>
            <w:pPr>
              <w:jc w:val="right"/>
              <w:spacing w:after="0"/>
              <w:rPr>
                <w:sz w:val="20"/>
                <w:szCs w:val="20"/>
                <w:color w:val="auto"/>
              </w:rPr>
            </w:pPr>
            <w:r>
              <w:rPr>
                <w:rFonts w:ascii="Arial" w:cs="Arial" w:eastAsia="Arial" w:hAnsi="Arial"/>
                <w:sz w:val="14"/>
                <w:szCs w:val="14"/>
                <w:b w:val="1"/>
                <w:bCs w:val="1"/>
                <w:color w:val="FFFFFF"/>
              </w:rPr>
              <w:t>For the Year Ended December</w:t>
            </w:r>
          </w:p>
        </w:tc>
        <w:tc>
          <w:tcPr>
            <w:tcW w:w="238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For the Year Ended December</w:t>
            </w:r>
          </w:p>
        </w:tc>
      </w:tr>
      <w:tr>
        <w:trPr>
          <w:trHeight w:val="196"/>
        </w:trPr>
        <w:tc>
          <w:tcPr>
            <w:tcW w:w="6600" w:type="dxa"/>
            <w:vAlign w:val="bottom"/>
            <w:shd w:val="clear" w:color="auto" w:fill="C6093B"/>
          </w:tcPr>
          <w:p>
            <w:pPr>
              <w:spacing w:after="0"/>
              <w:rPr>
                <w:sz w:val="17"/>
                <w:szCs w:val="17"/>
                <w:color w:val="auto"/>
              </w:rPr>
            </w:pPr>
          </w:p>
        </w:tc>
        <w:tc>
          <w:tcPr>
            <w:tcW w:w="2260" w:type="dxa"/>
            <w:vAlign w:val="bottom"/>
            <w:shd w:val="clear" w:color="auto" w:fill="C6093B"/>
          </w:tcPr>
          <w:p>
            <w:pPr>
              <w:jc w:val="right"/>
              <w:spacing w:after="0"/>
              <w:rPr>
                <w:sz w:val="20"/>
                <w:szCs w:val="20"/>
                <w:color w:val="auto"/>
              </w:rPr>
            </w:pPr>
            <w:r>
              <w:rPr>
                <w:rFonts w:ascii="Arial" w:cs="Arial" w:eastAsia="Arial" w:hAnsi="Arial"/>
                <w:sz w:val="14"/>
                <w:szCs w:val="14"/>
                <w:b w:val="1"/>
                <w:bCs w:val="1"/>
                <w:color w:val="FFFFFF"/>
              </w:rPr>
              <w:t>31, 2025</w:t>
            </w:r>
          </w:p>
        </w:tc>
        <w:tc>
          <w:tcPr>
            <w:tcW w:w="2380" w:type="dxa"/>
            <w:vAlign w:val="bottom"/>
            <w:shd w:val="clear" w:color="auto" w:fill="C6093B"/>
          </w:tcPr>
          <w:p>
            <w:pPr>
              <w:jc w:val="right"/>
              <w:ind w:right="88"/>
              <w:spacing w:after="0"/>
              <w:rPr>
                <w:sz w:val="20"/>
                <w:szCs w:val="20"/>
                <w:color w:val="auto"/>
              </w:rPr>
            </w:pPr>
            <w:r>
              <w:rPr>
                <w:rFonts w:ascii="Arial" w:cs="Arial" w:eastAsia="Arial" w:hAnsi="Arial"/>
                <w:sz w:val="14"/>
                <w:szCs w:val="14"/>
                <w:b w:val="1"/>
                <w:bCs w:val="1"/>
                <w:color w:val="FFFFFF"/>
              </w:rPr>
              <w:t>31, 2024</w:t>
            </w:r>
          </w:p>
        </w:tc>
      </w:tr>
      <w:tr>
        <w:trPr>
          <w:trHeight w:val="69"/>
        </w:trPr>
        <w:tc>
          <w:tcPr>
            <w:tcW w:w="6600" w:type="dxa"/>
            <w:vAlign w:val="bottom"/>
            <w:shd w:val="clear" w:color="auto" w:fill="C6093B"/>
          </w:tcPr>
          <w:p>
            <w:pPr>
              <w:spacing w:after="0"/>
              <w:rPr>
                <w:sz w:val="6"/>
                <w:szCs w:val="6"/>
                <w:color w:val="auto"/>
              </w:rPr>
            </w:pPr>
          </w:p>
        </w:tc>
        <w:tc>
          <w:tcPr>
            <w:tcW w:w="2260" w:type="dxa"/>
            <w:vAlign w:val="bottom"/>
            <w:shd w:val="clear" w:color="auto" w:fill="C6093B"/>
          </w:tcPr>
          <w:p>
            <w:pPr>
              <w:spacing w:after="0"/>
              <w:rPr>
                <w:sz w:val="6"/>
                <w:szCs w:val="6"/>
                <w:color w:val="auto"/>
              </w:rPr>
            </w:pPr>
          </w:p>
        </w:tc>
        <w:tc>
          <w:tcPr>
            <w:tcW w:w="2380" w:type="dxa"/>
            <w:vAlign w:val="bottom"/>
            <w:shd w:val="clear" w:color="auto" w:fill="C6093B"/>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-3136900</wp:posOffset>
            </wp:positionV>
            <wp:extent cx="286321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6321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-1790700</wp:posOffset>
            </wp:positionV>
            <wp:extent cx="28632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803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b w:val="1"/>
          <w:bCs w:val="1"/>
          <w:color w:val="auto"/>
        </w:rPr>
        <w:t> Segment Profit</w:t>
      </w:r>
    </w:p>
    <w:p>
      <w:pPr>
        <w:sectPr>
          <w:pgSz w:w="11900" w:h="16838" w:orient="portrait"/>
          <w:cols w:equalWidth="0" w:num="1">
            <w:col w:w="11240"/>
          </w:cols>
          <w:pgMar w:left="320" w:top="831" w:right="339" w:bottom="1440" w:gutter="0" w:footer="0" w:header="0"/>
        </w:sectPr>
      </w:pP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Home Comfort Solutions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Building Climate Solutions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Corporate and other</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Segment profit, a non-GAAP measure</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Reconciliation to Operating Income</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Restructuring charges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Loss (gain) on sale from previous disposition</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Acquisition costs</w:t>
      </w:r>
      <w:r>
        <w:rPr>
          <w:rFonts w:ascii="Arial" w:cs="Arial" w:eastAsia="Arial" w:hAnsi="Arial"/>
          <w:sz w:val="18"/>
          <w:szCs w:val="18"/>
          <w:color w:val="auto"/>
          <w:vertAlign w:val="superscript"/>
        </w:rPr>
        <w:t>(1)</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Operating Income, a GAAP measure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$729</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$761</w:t>
            </w:r>
          </w:p>
        </w:tc>
      </w:tr>
      <w:tr>
        <w:trPr>
          <w:trHeight w:val="230"/>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434</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402</w:t>
            </w:r>
          </w:p>
        </w:tc>
      </w:tr>
      <w:tr>
        <w:trPr>
          <w:trHeight w:val="230"/>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(105)</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(120)</w:t>
            </w:r>
          </w:p>
        </w:tc>
      </w:tr>
      <w:tr>
        <w:trPr>
          <w:trHeight w:val="22"/>
        </w:trPr>
        <w:tc>
          <w:tcPr>
            <w:tcW w:w="3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8"/>
        </w:trPr>
        <w:tc>
          <w:tcPr>
            <w:tcW w:w="3120" w:type="dxa"/>
            <w:vAlign w:val="bottom"/>
          </w:tcPr>
          <w:p>
            <w:pPr>
              <w:jc w:val="right"/>
              <w:ind w:right="848"/>
              <w:spacing w:after="0"/>
              <w:rPr>
                <w:sz w:val="20"/>
                <w:szCs w:val="20"/>
                <w:color w:val="auto"/>
              </w:rPr>
            </w:pPr>
            <w:r>
              <w:rPr>
                <w:rFonts w:ascii="Arial" w:cs="Arial" w:eastAsia="Arial" w:hAnsi="Arial"/>
                <w:sz w:val="14"/>
                <w:szCs w:val="14"/>
                <w:b w:val="1"/>
                <w:bCs w:val="1"/>
                <w:color w:val="auto"/>
              </w:rPr>
              <w:t>$1,058</w:t>
            </w:r>
          </w:p>
        </w:tc>
        <w:tc>
          <w:tcPr>
            <w:tcW w:w="1520" w:type="dxa"/>
            <w:vAlign w:val="bottom"/>
          </w:tcPr>
          <w:p>
            <w:pPr>
              <w:jc w:val="right"/>
              <w:ind w:right="88"/>
              <w:spacing w:after="0"/>
              <w:rPr>
                <w:sz w:val="20"/>
                <w:szCs w:val="20"/>
                <w:color w:val="auto"/>
              </w:rPr>
            </w:pPr>
            <w:r>
              <w:rPr>
                <w:rFonts w:ascii="Arial" w:cs="Arial" w:eastAsia="Arial" w:hAnsi="Arial"/>
                <w:sz w:val="14"/>
                <w:szCs w:val="14"/>
                <w:b w:val="1"/>
                <w:bCs w:val="1"/>
                <w:color w:val="auto"/>
              </w:rPr>
              <w:t>$1,043</w:t>
            </w:r>
          </w:p>
        </w:tc>
      </w:tr>
      <w:tr>
        <w:trPr>
          <w:trHeight w:val="453"/>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7</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0"/>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(1)</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2</w:t>
            </w:r>
          </w:p>
        </w:tc>
      </w:tr>
      <w:tr>
        <w:trPr>
          <w:trHeight w:val="230"/>
        </w:trPr>
        <w:tc>
          <w:tcPr>
            <w:tcW w:w="3120" w:type="dxa"/>
            <w:vAlign w:val="bottom"/>
          </w:tcPr>
          <w:p>
            <w:pPr>
              <w:jc w:val="right"/>
              <w:ind w:right="848"/>
              <w:spacing w:after="0"/>
              <w:rPr>
                <w:sz w:val="20"/>
                <w:szCs w:val="20"/>
                <w:color w:val="auto"/>
              </w:rPr>
            </w:pPr>
            <w:r>
              <w:rPr>
                <w:rFonts w:ascii="Arial" w:cs="Arial" w:eastAsia="Arial" w:hAnsi="Arial"/>
                <w:sz w:val="14"/>
                <w:szCs w:val="14"/>
                <w:color w:val="auto"/>
              </w:rPr>
              <w:t>10</w:t>
            </w:r>
          </w:p>
        </w:tc>
        <w:tc>
          <w:tcPr>
            <w:tcW w:w="15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2"/>
        </w:trPr>
        <w:tc>
          <w:tcPr>
            <w:tcW w:w="3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7"/>
        </w:trPr>
        <w:tc>
          <w:tcPr>
            <w:tcW w:w="31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$1,042</w:t>
            </w:r>
          </w:p>
        </w:tc>
        <w:tc>
          <w:tcPr>
            <w:tcW w:w="15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$1,041</w:t>
            </w:r>
          </w:p>
        </w:tc>
      </w:tr>
      <w:tr>
        <w:trPr>
          <w:trHeight w:val="27"/>
        </w:trPr>
        <w:tc>
          <w:tcPr>
            <w:tcW w:w="3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-1216660</wp:posOffset>
            </wp:positionV>
            <wp:extent cx="713232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-925195</wp:posOffset>
            </wp:positionV>
            <wp:extent cx="713232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-624840</wp:posOffset>
            </wp:positionV>
            <wp:extent cx="7132320" cy="1454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-334010</wp:posOffset>
            </wp:positionV>
            <wp:extent cx="71323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5880" w:space="720"/>
            <w:col w:w="4640"/>
          </w:cols>
          <w:pgMar w:left="320" w:top="831"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4"/>
          <w:szCs w:val="14"/>
          <w:color w:val="auto"/>
        </w:rPr>
        <w:t>(1)</w:t>
        <w:tab/>
        <w:t>Recorded in Losses (gains) and other expenses, net in the Consolidated Statement of Operations.</w:t>
      </w:r>
    </w:p>
    <w:p>
      <w:pPr>
        <w:spacing w:after="0" w:line="91" w:lineRule="exact"/>
        <w:rPr>
          <w:sz w:val="20"/>
          <w:szCs w:val="20"/>
          <w:color w:val="auto"/>
        </w:rPr>
      </w:pPr>
    </w:p>
    <w:p>
      <w:pPr>
        <w:ind w:right="20" w:firstLine="324"/>
        <w:spacing w:after="0" w:line="266" w:lineRule="auto"/>
        <w:rPr>
          <w:sz w:val="20"/>
          <w:szCs w:val="20"/>
          <w:color w:val="auto"/>
        </w:rPr>
      </w:pPr>
      <w:r>
        <w:rPr>
          <w:rFonts w:ascii="Arial" w:cs="Arial" w:eastAsia="Arial" w:hAnsi="Arial"/>
          <w:sz w:val="16"/>
          <w:szCs w:val="16"/>
          <w:color w:val="auto"/>
        </w:rPr>
        <w:t>Segment profit is earnings from continuing operations for the applicable segment before interest expense, other expenses, and income taxes, adjusted for restructuring charges, gain (loss) on previous dispositions, acquisition costs, and certain other items. An individual segment’s profit should not be used as a substitute for the Company’s segment profit and may not be comparable to similarly titled measures reported by other companies.</w:t>
      </w: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Appendix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1" w:right="339" w:bottom="1440" w:gutter="0" w:footer="0" w:header="0"/>
          <w:type w:val="continuous"/>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9966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8996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8468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Webdings">
    <w:panose1 w:val="05030102010509060703"/>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3"/>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decimal"/>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2"/>
    </w:lvl>
  </w:abstractNum>
  <w:abstractNum w:abstractNumId="70">
    <w:nsid w:val="71EA1109"/>
    <w:multiLevelType w:val="hybridMultilevel"/>
    <w:lvl w:ilvl="0">
      <w:lvlJc w:val="left"/>
      <w:lvlText w:val="(%1)"/>
      <w:numFmt w:val="decimal"/>
      <w:start w:val="4"/>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6"/>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5"/>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
      <w:numFmt w:val="bullet"/>
      <w:start w:val="1"/>
    </w:lvl>
  </w:abstractNum>
  <w:abstractNum w:abstractNumId="80">
    <w:nsid w:val="14E17E33"/>
    <w:multiLevelType w:val="hybridMultilevel"/>
    <w:lvl w:ilvl="0">
      <w:lvlJc w:val="left"/>
      <w:lvlText w:val="•"/>
      <w:numFmt w:val="bullet"/>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3"/>
    </w:lvl>
  </w:abstractNum>
  <w:abstractNum w:abstractNumId="88">
    <w:nsid w:val="57FC4FBB"/>
    <w:multiLevelType w:val="hybridMultilevel"/>
    <w:lvl w:ilvl="0">
      <w:lvlJc w:val="left"/>
      <w:lvlText w:val="(%1)"/>
      <w:numFmt w:val="decimal"/>
      <w:start w:val="1"/>
    </w:lvl>
    <w:lvl w:ilvl="1">
      <w:lvlJc w:val="left"/>
      <w:lvlText w:val="•"/>
      <w:numFmt w:val="bullet"/>
      <w:start w:val="1"/>
    </w:lvl>
  </w:abstractNum>
  <w:abstractNum w:abstractNumId="89">
    <w:nsid w:val="CC1016F"/>
    <w:multiLevelType w:val="hybridMultilevel"/>
    <w:lvl w:ilvl="0">
      <w:lvlJc w:val="left"/>
      <w:lvlText w:val="(%1)"/>
      <w:numFmt w:val="decimal"/>
      <w:start w:val="2"/>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4"/>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
      <w:numFmt w:val="bullet"/>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2026-04-08T11:07:46Z</dcterms:created>
  <dcterms:modified xsi:type="dcterms:W3CDTF">2026-04-08T11:07:46Z</dcterms:modified>
</cp:coreProperties>
</file>