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287655</wp:posOffset>
            </wp:positionH>
            <wp:positionV relativeFrom="page">
              <wp:posOffset>576580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135255</wp:posOffset>
            </wp:positionH>
            <wp:positionV relativeFrom="paragraph">
              <wp:posOffset>-120015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 w:lineRule="exact"/>
        <w:rPr>
          <w:sz w:val="24"/>
          <w:szCs w:val="24"/>
          <w:color w:val="auto"/>
        </w:rPr>
      </w:pPr>
    </w:p>
    <w:p>
      <w:pPr>
        <w:jc w:val="center"/>
        <w:ind w:right="-219"/>
        <w:spacing w:after="0"/>
        <w:rPr>
          <w:sz w:val="20"/>
          <w:szCs w:val="20"/>
          <w:color w:val="auto"/>
        </w:rPr>
      </w:pPr>
      <w:r>
        <w:rPr>
          <w:rFonts w:ascii="Arial" w:cs="Arial" w:eastAsia="Arial" w:hAnsi="Arial"/>
          <w:sz w:val="17"/>
          <w:szCs w:val="17"/>
          <w:u w:val="single" w:color="auto"/>
          <w:color w:val="auto"/>
        </w:rPr>
        <w:t>Washington, D.C. 20549</w:t>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28"/>
          <w:szCs w:val="28"/>
          <w:b w:val="1"/>
          <w:bCs w:val="1"/>
          <w:color w:val="auto"/>
        </w:rPr>
        <w:t>Form 10-K</w:t>
      </w:r>
    </w:p>
    <w:p>
      <w:pPr>
        <w:spacing w:after="0" w:line="159" w:lineRule="exact"/>
        <w:rPr>
          <w:sz w:val="24"/>
          <w:szCs w:val="24"/>
          <w:color w:val="auto"/>
        </w:rPr>
      </w:pPr>
    </w:p>
    <w:p>
      <w:pPr>
        <w:ind w:left="740" w:hanging="38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3" w:lineRule="exact"/>
        <w:rPr>
          <w:rFonts w:ascii="MS PGothic" w:cs="MS PGothic" w:eastAsia="MS PGothic" w:hAnsi="MS PGothic"/>
          <w:sz w:val="17"/>
          <w:szCs w:val="17"/>
          <w:color w:val="auto"/>
        </w:rPr>
      </w:pPr>
    </w:p>
    <w:p>
      <w:pPr>
        <w:ind w:left="408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fiscal year ended December 31, 2019</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86" w:lineRule="exact"/>
        <w:rPr>
          <w:sz w:val="24"/>
          <w:szCs w:val="24"/>
          <w:color w:val="auto"/>
        </w:rPr>
      </w:pPr>
    </w:p>
    <w:p>
      <w:pPr>
        <w:ind w:left="4400" w:right="2660" w:hanging="3973"/>
        <w:spacing w:after="0" w:line="296" w:lineRule="auto"/>
        <w:tabs>
          <w:tab w:leader="none" w:pos="807"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_____to 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001-15149</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LENNOX INTERNATIONAL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928" w:right="239" w:bottom="1440" w:gutter="0" w:footer="0" w:header="0"/>
        </w:sectPr>
      </w:pPr>
    </w:p>
    <w:p>
      <w:pPr>
        <w:spacing w:after="0" w:line="176" w:lineRule="exact"/>
        <w:rPr>
          <w:sz w:val="24"/>
          <w:szCs w:val="24"/>
          <w:color w:val="auto"/>
        </w:rPr>
      </w:pPr>
    </w:p>
    <w:p>
      <w:pPr>
        <w:ind w:left="38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3060"/>
        <w:spacing w:after="0"/>
        <w:rPr>
          <w:sz w:val="20"/>
          <w:szCs w:val="20"/>
          <w:color w:val="auto"/>
        </w:rPr>
      </w:pPr>
      <w:r>
        <w:rPr>
          <w:rFonts w:ascii="Arial" w:cs="Arial" w:eastAsia="Arial" w:hAnsi="Arial"/>
          <w:sz w:val="13"/>
          <w:szCs w:val="13"/>
          <w:b w:val="1"/>
          <w:bCs w:val="1"/>
          <w:color w:val="auto"/>
        </w:rPr>
        <w:t>42-0991521</w:t>
      </w:r>
    </w:p>
    <w:p>
      <w:pPr>
        <w:spacing w:after="0" w:line="102" w:lineRule="exact"/>
        <w:rPr>
          <w:sz w:val="24"/>
          <w:szCs w:val="24"/>
          <w:color w:val="auto"/>
        </w:rPr>
      </w:pPr>
    </w:p>
    <w:p>
      <w:pPr>
        <w:sectPr>
          <w:pgSz w:w="11900" w:h="16838" w:orient="portrait"/>
          <w:cols w:equalWidth="0" w:num="2">
            <w:col w:w="6880" w:space="720"/>
            <w:col w:w="3820"/>
          </w:cols>
          <w:pgMar w:left="240" w:top="928" w:right="239" w:bottom="1440" w:gutter="0" w:footer="0" w:header="0"/>
          <w:type w:val="continuous"/>
        </w:sectPr>
      </w:pPr>
    </w:p>
    <w:p>
      <w:pPr>
        <w:ind w:left="23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Number)</w:t>
      </w:r>
    </w:p>
    <w:p>
      <w:pPr>
        <w:spacing w:after="0" w:line="200" w:lineRule="exact"/>
        <w:rPr>
          <w:sz w:val="24"/>
          <w:szCs w:val="24"/>
          <w:color w:val="auto"/>
        </w:rPr>
      </w:pPr>
    </w:p>
    <w:p>
      <w:pPr>
        <w:sectPr>
          <w:pgSz w:w="11900" w:h="16838" w:orient="portrait"/>
          <w:cols w:equalWidth="0" w:num="2">
            <w:col w:w="6080" w:space="640"/>
            <w:col w:w="4700"/>
          </w:cols>
          <w:pgMar w:left="240" w:top="928" w:right="239" w:bottom="1440" w:gutter="0" w:footer="0" w:header="0"/>
          <w:type w:val="continuous"/>
        </w:sectPr>
      </w:pP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2140 Lake Park Blvd. Richardson, Texas 75080</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(972) 497-5000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928" w:right="239" w:bottom="1440" w:gutter="0" w:footer="0" w:header="0"/>
          <w:type w:val="continuous"/>
        </w:sectPr>
      </w:pPr>
    </w:p>
    <w:p>
      <w:pPr>
        <w:spacing w:after="0" w:line="138" w:lineRule="exact"/>
        <w:rPr>
          <w:sz w:val="24"/>
          <w:szCs w:val="24"/>
          <w:color w:val="auto"/>
        </w:rPr>
      </w:pPr>
    </w:p>
    <w:p>
      <w:pPr>
        <w:ind w:left="170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Name of each exchange on which registered</w:t>
      </w:r>
    </w:p>
    <w:p>
      <w:pPr>
        <w:spacing w:after="0" w:line="98" w:lineRule="exact"/>
        <w:rPr>
          <w:sz w:val="24"/>
          <w:szCs w:val="24"/>
          <w:color w:val="auto"/>
        </w:rPr>
      </w:pPr>
    </w:p>
    <w:p>
      <w:pPr>
        <w:sectPr>
          <w:pgSz w:w="11900" w:h="16838" w:orient="portrait"/>
          <w:cols w:equalWidth="0" w:num="3">
            <w:col w:w="4180" w:space="720"/>
            <w:col w:w="1860" w:space="720"/>
            <w:col w:w="3940"/>
          </w:cols>
          <w:pgMar w:left="240" w:top="928" w:right="239" w:bottom="1440" w:gutter="0" w:footer="0" w:header="0"/>
          <w:type w:val="continuous"/>
        </w:sectPr>
      </w:pPr>
    </w:p>
    <w:p>
      <w:pPr>
        <w:ind w:left="920"/>
        <w:spacing w:after="0"/>
        <w:rPr>
          <w:sz w:val="20"/>
          <w:szCs w:val="20"/>
          <w:color w:val="auto"/>
        </w:rPr>
      </w:pPr>
      <w:r>
        <w:rPr>
          <w:rFonts w:ascii="Arial" w:cs="Arial" w:eastAsia="Arial" w:hAnsi="Arial"/>
          <w:sz w:val="13"/>
          <w:szCs w:val="13"/>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LII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New York Stock Exchange</w:t>
      </w:r>
    </w:p>
    <w:p>
      <w:pPr>
        <w:spacing w:after="0" w:line="234" w:lineRule="exact"/>
        <w:rPr>
          <w:sz w:val="24"/>
          <w:szCs w:val="24"/>
          <w:color w:val="auto"/>
        </w:rPr>
      </w:pPr>
    </w:p>
    <w:p>
      <w:pPr>
        <w:sectPr>
          <w:pgSz w:w="11900" w:h="16838" w:orient="portrait"/>
          <w:cols w:equalWidth="0" w:num="3">
            <w:col w:w="4680" w:space="720"/>
            <w:col w:w="1920" w:space="720"/>
            <w:col w:w="3380"/>
          </w:cols>
          <w:pgMar w:left="240" w:top="928" w:right="239" w:bottom="1440" w:gutter="0" w:footer="0" w:header="0"/>
          <w:type w:val="continuous"/>
        </w:sectPr>
      </w:pP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6"/>
          <w:szCs w:val="16"/>
          <w:color w:val="auto"/>
        </w:rPr>
        <w:t>Indicate by checkmark if the registrant is a well-known seasoned issuer, as defined in Rule 405 of the Securities Act. Yes [X] No [ ]</w:t>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checkmark if the registrant is not required to file reports pursuant to Section 13 or 15(d) of the Exchange Act. Yes [ ] No [X]</w:t>
      </w:r>
    </w:p>
    <w:p>
      <w:pPr>
        <w:spacing w:after="0" w:line="89" w:lineRule="exact"/>
        <w:rPr>
          <w:sz w:val="24"/>
          <w:szCs w:val="24"/>
          <w:color w:val="auto"/>
        </w:rPr>
      </w:pPr>
    </w:p>
    <w:p>
      <w:pPr>
        <w:ind w:firstLine="221"/>
        <w:spacing w:after="0" w:line="25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last 90 days. Yes [X] No [ ]</w:t>
      </w:r>
    </w:p>
    <w:p>
      <w:pPr>
        <w:spacing w:after="0" w:line="52" w:lineRule="exact"/>
        <w:rPr>
          <w:sz w:val="24"/>
          <w:szCs w:val="24"/>
          <w:color w:val="auto"/>
        </w:rPr>
      </w:pPr>
    </w:p>
    <w:p>
      <w:pPr>
        <w:ind w:firstLine="221"/>
        <w:spacing w:after="0" w:line="25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0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52" w:lineRule="exact"/>
        <w:rPr>
          <w:sz w:val="24"/>
          <w:szCs w:val="24"/>
          <w:color w:val="auto"/>
        </w:rPr>
      </w:pPr>
    </w:p>
    <w:tbl>
      <w:tblPr>
        <w:tblLayout w:type="fixed"/>
        <w:tblInd w:w="240" w:type="dxa"/>
        <w:tblCellMar>
          <w:top w:w="0" w:type="dxa"/>
          <w:left w:w="0" w:type="dxa"/>
          <w:bottom w:w="0" w:type="dxa"/>
          <w:right w:w="0" w:type="dxa"/>
        </w:tblCellMar>
      </w:tblPr>
      <w:tr>
        <w:trPr>
          <w:trHeight w:val="199"/>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40" w:type="dxa"/>
            <w:vAlign w:val="bottom"/>
          </w:tcPr>
          <w:p>
            <w:pPr>
              <w:jc w:val="center"/>
              <w:ind w:right="1882"/>
              <w:spacing w:after="0"/>
              <w:rPr>
                <w:sz w:val="20"/>
                <w:szCs w:val="20"/>
                <w:color w:val="auto"/>
              </w:rPr>
            </w:pPr>
            <w:r>
              <w:rPr>
                <w:rFonts w:ascii="Arial" w:cs="Arial" w:eastAsia="Arial" w:hAnsi="Arial"/>
                <w:sz w:val="16"/>
                <w:szCs w:val="16"/>
                <w:color w:val="auto"/>
              </w:rPr>
              <w:t>[X]</w:t>
            </w:r>
          </w:p>
        </w:tc>
        <w:tc>
          <w:tcPr>
            <w:tcW w:w="482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660" w:type="dxa"/>
            <w:vAlign w:val="bottom"/>
          </w:tcPr>
          <w:p>
            <w:pPr>
              <w:jc w:val="center"/>
              <w:ind w:left="385"/>
              <w:spacing w:after="0"/>
              <w:rPr>
                <w:sz w:val="20"/>
                <w:szCs w:val="20"/>
                <w:color w:val="auto"/>
              </w:rPr>
            </w:pPr>
            <w:r>
              <w:rPr>
                <w:rFonts w:ascii="Arial" w:cs="Arial" w:eastAsia="Arial" w:hAnsi="Arial"/>
                <w:sz w:val="16"/>
                <w:szCs w:val="16"/>
                <w:color w:val="auto"/>
              </w:rPr>
              <w:t>[ ]</w:t>
            </w:r>
          </w:p>
        </w:tc>
      </w:tr>
      <w:tr>
        <w:trPr>
          <w:trHeight w:val="312"/>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40" w:type="dxa"/>
            <w:vAlign w:val="bottom"/>
          </w:tcPr>
          <w:p>
            <w:pPr>
              <w:jc w:val="right"/>
              <w:ind w:right="2502"/>
              <w:spacing w:after="0"/>
              <w:rPr>
                <w:sz w:val="20"/>
                <w:szCs w:val="20"/>
                <w:color w:val="auto"/>
              </w:rPr>
            </w:pPr>
            <w:r>
              <w:rPr>
                <w:rFonts w:ascii="Arial" w:cs="Arial" w:eastAsia="Arial" w:hAnsi="Arial"/>
                <w:sz w:val="16"/>
                <w:szCs w:val="16"/>
                <w:color w:val="auto"/>
              </w:rPr>
              <w:t>[ ]</w:t>
            </w:r>
          </w:p>
        </w:tc>
        <w:tc>
          <w:tcPr>
            <w:tcW w:w="482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jc w:val="center"/>
              <w:ind w:left="385"/>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27"/>
        </w:trPr>
        <w:tc>
          <w:tcPr>
            <w:tcW w:w="20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820" w:type="dxa"/>
            <w:vAlign w:val="bottom"/>
          </w:tcPr>
          <w:p>
            <w:pPr>
              <w:ind w:left="2560"/>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jc w:val="center"/>
              <w:ind w:left="385"/>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8" w:lineRule="exact"/>
        <w:rPr>
          <w:sz w:val="24"/>
          <w:szCs w:val="24"/>
          <w:color w:val="auto"/>
        </w:rPr>
      </w:pPr>
    </w:p>
    <w:p>
      <w:pPr>
        <w:jc w:val="both"/>
        <w:ind w:left="240" w:right="340"/>
        <w:spacing w:after="0" w:line="27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43" w:lineRule="exact"/>
        <w:rPr>
          <w:sz w:val="24"/>
          <w:szCs w:val="24"/>
          <w:color w:val="auto"/>
        </w:rPr>
      </w:pPr>
    </w:p>
    <w:p>
      <w:pPr>
        <w:spacing w:after="0" w:line="23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20"/>
          <w:szCs w:val="20"/>
          <w:color w:val="auto"/>
        </w:rPr>
        <w:t>☐</w:t>
      </w:r>
      <w:r>
        <w:rPr>
          <w:rFonts w:ascii="Arial" w:cs="Arial" w:eastAsia="Arial" w:hAnsi="Arial"/>
          <w:sz w:val="16"/>
          <w:szCs w:val="16"/>
          <w:color w:val="auto"/>
        </w:rPr>
        <w:t xml:space="preserve"> No </w:t>
      </w:r>
      <w:r>
        <w:rPr>
          <w:rFonts w:ascii="Arial" w:cs="Arial" w:eastAsia="Arial" w:hAnsi="Arial"/>
          <w:sz w:val="17"/>
          <w:szCs w:val="17"/>
          <w:color w:val="auto"/>
        </w:rPr>
        <w:t>x</w:t>
      </w:r>
    </w:p>
    <w:p>
      <w:pPr>
        <w:spacing w:after="0" w:line="262" w:lineRule="exact"/>
        <w:rPr>
          <w:sz w:val="24"/>
          <w:szCs w:val="24"/>
          <w:color w:val="auto"/>
        </w:rPr>
      </w:pPr>
    </w:p>
    <w:p>
      <w:pPr>
        <w:ind w:firstLine="156"/>
        <w:spacing w:after="0" w:line="290" w:lineRule="auto"/>
        <w:rPr>
          <w:sz w:val="20"/>
          <w:szCs w:val="20"/>
          <w:color w:val="auto"/>
        </w:rPr>
      </w:pPr>
      <w:r>
        <w:rPr>
          <w:rFonts w:ascii="Arial" w:cs="Arial" w:eastAsia="Arial" w:hAnsi="Arial"/>
          <w:sz w:val="15"/>
          <w:szCs w:val="15"/>
          <w:color w:val="auto"/>
        </w:rPr>
        <w:t>As of June 30, 2019, the aggregate market value of the common stock held by non-affiliates of the registrant was approximately $11 billion based on the closing price of the registrant’s common stock on the New York Stock Exchange. As of February 7, 2020, there were 38,598,884 shares of the registrant’s common stock outstanding.</w:t>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8" w:lineRule="exact"/>
        <w:rPr>
          <w:sz w:val="24"/>
          <w:szCs w:val="24"/>
          <w:color w:val="auto"/>
        </w:rPr>
      </w:pPr>
    </w:p>
    <w:p>
      <w:pPr>
        <w:ind w:right="300"/>
        <w:spacing w:after="0" w:line="291" w:lineRule="auto"/>
        <w:rPr>
          <w:sz w:val="20"/>
          <w:szCs w:val="20"/>
          <w:color w:val="auto"/>
        </w:rPr>
      </w:pPr>
      <w:r>
        <w:rPr>
          <w:rFonts w:ascii="Arial" w:cs="Arial" w:eastAsia="Arial" w:hAnsi="Arial"/>
          <w:sz w:val="16"/>
          <w:szCs w:val="16"/>
          <w:color w:val="auto"/>
        </w:rPr>
        <w:t>Portions of the registrant’s 2019 Definitive Proxy Statement to be filed with the Securities and Exchange Commission in connection with the registrant’s 2019 Annual Meeting of Stockholders to be held on May 21, 2020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153035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LENNOX INTERNATIONAL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 10-K</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December 31, 2019</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INDEX</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gridSpan w:val="3"/>
          </w:tcPr>
          <w:p>
            <w:pPr>
              <w:ind w:left="20"/>
              <w:spacing w:after="0"/>
              <w:rPr>
                <w:sz w:val="20"/>
                <w:szCs w:val="20"/>
                <w:color w:val="auto"/>
              </w:rPr>
            </w:pPr>
            <w:r>
              <w:rPr>
                <w:rFonts w:ascii="Arial" w:cs="Arial" w:eastAsia="Arial" w:hAnsi="Arial"/>
                <w:sz w:val="17"/>
                <w:szCs w:val="17"/>
                <w:b w:val="1"/>
                <w:bCs w:val="1"/>
                <w:color w:val="auto"/>
              </w:rPr>
              <w:t>Page</w:t>
            </w:r>
          </w:p>
        </w:tc>
      </w:tr>
      <w:tr>
        <w:trPr>
          <w:trHeight w:val="26"/>
        </w:trPr>
        <w:tc>
          <w:tcPr>
            <w:tcW w:w="14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79"/>
        </w:trPr>
        <w:tc>
          <w:tcPr>
            <w:tcW w:w="1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r>
      <w:tr>
        <w:trPr>
          <w:trHeight w:val="234"/>
        </w:trPr>
        <w:tc>
          <w:tcPr>
            <w:tcW w:w="1400" w:type="dxa"/>
            <w:vAlign w:val="bottom"/>
          </w:tcPr>
          <w:p>
            <w:pPr>
              <w:ind w:left="20"/>
              <w:spacing w:after="0"/>
              <w:rPr>
                <w:sz w:val="20"/>
                <w:szCs w:val="20"/>
                <w:color w:val="auto"/>
              </w:rPr>
            </w:pPr>
            <w:r>
              <w:rPr>
                <w:rFonts w:ascii="Arial" w:cs="Arial" w:eastAsia="Arial" w:hAnsi="Arial"/>
                <w:sz w:val="17"/>
                <w:szCs w:val="17"/>
                <w:b w:val="1"/>
                <w:bCs w:val="1"/>
                <w:color w:val="auto"/>
              </w:rPr>
              <w:t>PART I</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6"/>
        </w:trPr>
        <w:tc>
          <w:tcPr>
            <w:tcW w:w="1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1.</w:t>
            </w:r>
          </w:p>
        </w:tc>
        <w:tc>
          <w:tcPr>
            <w:tcW w:w="7540" w:type="dxa"/>
            <w:vAlign w:val="bottom"/>
            <w:gridSpan w:val="24"/>
            <w:shd w:val="clear" w:color="auto" w:fill="CCEEFF"/>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Business</w:t>
              </w:r>
            </w:hyperlink>
          </w:p>
        </w:tc>
        <w:tc>
          <w:tcPr>
            <w:tcW w:w="480" w:type="dxa"/>
            <w:vAlign w:val="bottom"/>
            <w:tcBorders>
              <w:right w:val="single" w:sz="8" w:color="CCEEFF"/>
            </w:tcBorders>
            <w:gridSpan w:val="2"/>
            <w:shd w:val="clear" w:color="auto" w:fill="CCEEFF"/>
          </w:tcPr>
          <w:p>
            <w:pPr>
              <w:jc w:val="center"/>
              <w:ind w:left="213"/>
              <w:spacing w:after="0"/>
              <w:rPr>
                <w:rFonts w:ascii="Arial" w:cs="Arial" w:eastAsia="Arial" w:hAnsi="Arial"/>
                <w:sz w:val="17"/>
                <w:szCs w:val="17"/>
                <w:color w:val="0000FF"/>
              </w:rPr>
            </w:pPr>
            <w:hyperlink w:anchor="page3">
              <w:r>
                <w:rPr>
                  <w:rFonts w:ascii="Arial" w:cs="Arial" w:eastAsia="Arial" w:hAnsi="Arial"/>
                  <w:sz w:val="17"/>
                  <w:szCs w:val="17"/>
                  <w:color w:val="0000FF"/>
                </w:rPr>
                <w:t>1</w:t>
              </w:r>
            </w:hyperlink>
          </w:p>
        </w:tc>
        <w:tc>
          <w:tcPr>
            <w:tcW w:w="300" w:type="dxa"/>
            <w:vAlign w:val="bottom"/>
            <w:shd w:val="clear" w:color="auto" w:fill="CCEEFF"/>
          </w:tcPr>
          <w:p>
            <w:pPr>
              <w:spacing w:after="0"/>
              <w:rPr>
                <w:sz w:val="16"/>
                <w:szCs w:val="16"/>
                <w:color w:val="auto"/>
              </w:rPr>
            </w:pPr>
          </w:p>
        </w:tc>
      </w:tr>
      <w:tr>
        <w:trPr>
          <w:trHeight w:val="45"/>
        </w:trPr>
        <w:tc>
          <w:tcPr>
            <w:tcW w:w="14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right w:val="single" w:sz="8" w:color="CCEEFF"/>
            </w:tcBorders>
            <w:shd w:val="clear" w:color="auto" w:fill="CCEEFF"/>
          </w:tcPr>
          <w:p>
            <w:pPr>
              <w:spacing w:after="0"/>
              <w:rPr>
                <w:sz w:val="3"/>
                <w:szCs w:val="3"/>
                <w:color w:val="auto"/>
              </w:rPr>
            </w:pPr>
          </w:p>
        </w:tc>
        <w:tc>
          <w:tcPr>
            <w:tcW w:w="140" w:type="dxa"/>
            <w:vAlign w:val="bottom"/>
            <w:tcBorders>
              <w:top w:val="single" w:sz="8" w:color="0000FF"/>
              <w:right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r>
      <w:tr>
        <w:trPr>
          <w:trHeight w:val="195"/>
        </w:trPr>
        <w:tc>
          <w:tcPr>
            <w:tcW w:w="1400" w:type="dxa"/>
            <w:vAlign w:val="bottom"/>
          </w:tcPr>
          <w:p>
            <w:pPr>
              <w:ind w:left="160"/>
              <w:spacing w:after="0"/>
              <w:rPr>
                <w:sz w:val="20"/>
                <w:szCs w:val="20"/>
                <w:color w:val="auto"/>
              </w:rPr>
            </w:pPr>
            <w:r>
              <w:rPr>
                <w:rFonts w:ascii="Arial" w:cs="Arial" w:eastAsia="Arial" w:hAnsi="Arial"/>
                <w:sz w:val="17"/>
                <w:szCs w:val="17"/>
                <w:color w:val="auto"/>
              </w:rPr>
              <w:t>ITEM 1A.</w:t>
            </w:r>
          </w:p>
        </w:tc>
        <w:tc>
          <w:tcPr>
            <w:tcW w:w="7540" w:type="dxa"/>
            <w:vAlign w:val="bottom"/>
            <w:gridSpan w:val="24"/>
          </w:tcPr>
          <w:p>
            <w:pPr>
              <w:spacing w:after="0"/>
              <w:rPr>
                <w:rFonts w:ascii="Arial" w:cs="Arial" w:eastAsia="Arial" w:hAnsi="Arial"/>
                <w:sz w:val="17"/>
                <w:szCs w:val="17"/>
                <w:color w:val="0000FF"/>
              </w:rPr>
            </w:pPr>
            <w:hyperlink w:anchor="page10">
              <w:r>
                <w:rPr>
                  <w:rFonts w:ascii="Arial" w:cs="Arial" w:eastAsia="Arial" w:hAnsi="Arial"/>
                  <w:sz w:val="17"/>
                  <w:szCs w:val="17"/>
                  <w:color w:val="0000FF"/>
                </w:rPr>
                <w:t>Risk Factors</w:t>
              </w:r>
            </w:hyperlink>
          </w:p>
        </w:tc>
        <w:tc>
          <w:tcPr>
            <w:tcW w:w="480" w:type="dxa"/>
            <w:vAlign w:val="bottom"/>
            <w:gridSpan w:val="2"/>
          </w:tcPr>
          <w:p>
            <w:pPr>
              <w:jc w:val="center"/>
              <w:ind w:left="213"/>
              <w:spacing w:after="0"/>
              <w:rPr>
                <w:rFonts w:ascii="Arial" w:cs="Arial" w:eastAsia="Arial" w:hAnsi="Arial"/>
                <w:sz w:val="17"/>
                <w:szCs w:val="17"/>
                <w:color w:val="0000FF"/>
              </w:rPr>
            </w:pPr>
            <w:hyperlink w:anchor="page10">
              <w:r>
                <w:rPr>
                  <w:rFonts w:ascii="Arial" w:cs="Arial" w:eastAsia="Arial" w:hAnsi="Arial"/>
                  <w:sz w:val="17"/>
                  <w:szCs w:val="17"/>
                  <w:color w:val="0000FF"/>
                </w:rPr>
                <w:t>8</w:t>
              </w:r>
            </w:hyperlink>
          </w:p>
        </w:tc>
        <w:tc>
          <w:tcPr>
            <w:tcW w:w="300" w:type="dxa"/>
            <w:vAlign w:val="bottom"/>
          </w:tcPr>
          <w:p>
            <w:pPr>
              <w:spacing w:after="0"/>
              <w:rPr>
                <w:sz w:val="16"/>
                <w:szCs w:val="16"/>
                <w:color w:val="auto"/>
              </w:rPr>
            </w:pPr>
          </w:p>
        </w:tc>
      </w:tr>
      <w:tr>
        <w:trPr>
          <w:trHeight w:val="45"/>
        </w:trPr>
        <w:tc>
          <w:tcPr>
            <w:tcW w:w="14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40"/>
        </w:trPr>
        <w:tc>
          <w:tcPr>
            <w:tcW w:w="1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1B.</w:t>
            </w:r>
          </w:p>
        </w:tc>
        <w:tc>
          <w:tcPr>
            <w:tcW w:w="7540" w:type="dxa"/>
            <w:vAlign w:val="bottom"/>
            <w:gridSpan w:val="24"/>
            <w:shd w:val="clear" w:color="auto" w:fill="CCEEFF"/>
          </w:tcPr>
          <w:p>
            <w:pPr>
              <w:spacing w:after="0"/>
              <w:rPr>
                <w:rFonts w:ascii="Arial" w:cs="Arial" w:eastAsia="Arial" w:hAnsi="Arial"/>
                <w:sz w:val="17"/>
                <w:szCs w:val="17"/>
                <w:color w:val="0000FF"/>
              </w:rPr>
            </w:pPr>
            <w:hyperlink w:anchor="page14">
              <w:r>
                <w:rPr>
                  <w:rFonts w:ascii="Arial" w:cs="Arial" w:eastAsia="Arial" w:hAnsi="Arial"/>
                  <w:sz w:val="17"/>
                  <w:szCs w:val="17"/>
                  <w:color w:val="0000FF"/>
                </w:rPr>
                <w:t>Unresolved Staff Comments</w:t>
              </w:r>
            </w:hyperlink>
          </w:p>
        </w:tc>
        <w:tc>
          <w:tcPr>
            <w:tcW w:w="480" w:type="dxa"/>
            <w:vAlign w:val="bottom"/>
            <w:tcBorders>
              <w:right w:val="single" w:sz="8" w:color="CCEEFF"/>
            </w:tcBorders>
            <w:gridSpan w:val="2"/>
            <w:shd w:val="clear" w:color="auto" w:fill="CCEEFF"/>
          </w:tcPr>
          <w:p>
            <w:pPr>
              <w:jc w:val="center"/>
              <w:ind w:left="213"/>
              <w:spacing w:after="0"/>
              <w:rPr>
                <w:rFonts w:ascii="Arial" w:cs="Arial" w:eastAsia="Arial" w:hAnsi="Arial"/>
                <w:sz w:val="17"/>
                <w:szCs w:val="17"/>
                <w:color w:val="0000FF"/>
                <w:w w:val="94"/>
              </w:rPr>
            </w:pPr>
            <w:hyperlink w:anchor="page14">
              <w:r>
                <w:rPr>
                  <w:rFonts w:ascii="Arial" w:cs="Arial" w:eastAsia="Arial" w:hAnsi="Arial"/>
                  <w:sz w:val="17"/>
                  <w:szCs w:val="17"/>
                  <w:color w:val="0000FF"/>
                  <w:w w:val="94"/>
                </w:rPr>
                <w:t>12</w:t>
              </w:r>
            </w:hyperlink>
          </w:p>
        </w:tc>
        <w:tc>
          <w:tcPr>
            <w:tcW w:w="300" w:type="dxa"/>
            <w:vAlign w:val="bottom"/>
            <w:shd w:val="clear" w:color="auto" w:fill="CCEEFF"/>
          </w:tcPr>
          <w:p>
            <w:pPr>
              <w:spacing w:after="0"/>
              <w:rPr>
                <w:sz w:val="20"/>
                <w:szCs w:val="20"/>
                <w:color w:val="auto"/>
              </w:rPr>
            </w:pPr>
          </w:p>
        </w:tc>
      </w:tr>
      <w:tr>
        <w:trPr>
          <w:trHeight w:val="195"/>
        </w:trPr>
        <w:tc>
          <w:tcPr>
            <w:tcW w:w="1400" w:type="dxa"/>
            <w:vAlign w:val="bottom"/>
            <w:tcBorders>
              <w:top w:val="single" w:sz="8" w:color="CCEEFF"/>
            </w:tcBorders>
          </w:tcPr>
          <w:p>
            <w:pPr>
              <w:ind w:left="160"/>
              <w:spacing w:after="0"/>
              <w:rPr>
                <w:sz w:val="20"/>
                <w:szCs w:val="20"/>
                <w:color w:val="auto"/>
              </w:rPr>
            </w:pPr>
            <w:r>
              <w:rPr>
                <w:rFonts w:ascii="Arial" w:cs="Arial" w:eastAsia="Arial" w:hAnsi="Arial"/>
                <w:sz w:val="17"/>
                <w:szCs w:val="17"/>
                <w:color w:val="auto"/>
              </w:rPr>
              <w:t>ITEM 2.</w:t>
            </w:r>
          </w:p>
        </w:tc>
        <w:tc>
          <w:tcPr>
            <w:tcW w:w="1960" w:type="dxa"/>
            <w:vAlign w:val="bottom"/>
            <w:tcBorders>
              <w:top w:val="single" w:sz="8" w:color="0000FF"/>
            </w:tcBorders>
            <w:gridSpan w:val="12"/>
          </w:tcPr>
          <w:p>
            <w:pPr>
              <w:spacing w:after="0"/>
              <w:rPr>
                <w:rFonts w:ascii="Arial" w:cs="Arial" w:eastAsia="Arial" w:hAnsi="Arial"/>
                <w:sz w:val="17"/>
                <w:szCs w:val="17"/>
                <w:color w:val="0000FF"/>
              </w:rPr>
            </w:pPr>
            <w:hyperlink w:anchor="page15">
              <w:r>
                <w:rPr>
                  <w:rFonts w:ascii="Arial" w:cs="Arial" w:eastAsia="Arial" w:hAnsi="Arial"/>
                  <w:sz w:val="17"/>
                  <w:szCs w:val="17"/>
                  <w:color w:val="0000FF"/>
                </w:rPr>
                <w:t>Properties</w:t>
              </w:r>
            </w:hyperlink>
          </w:p>
        </w:tc>
        <w:tc>
          <w:tcPr>
            <w:tcW w:w="5580" w:type="dxa"/>
            <w:vAlign w:val="bottom"/>
            <w:tcBorders>
              <w:top w:val="single" w:sz="8" w:color="CCEEFF"/>
            </w:tcBorders>
            <w:gridSpan w:val="12"/>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0000FF"/>
            </w:tcBorders>
          </w:tcPr>
          <w:p>
            <w:pPr>
              <w:jc w:val="center"/>
              <w:spacing w:after="0"/>
              <w:rPr>
                <w:rFonts w:ascii="Arial" w:cs="Arial" w:eastAsia="Arial" w:hAnsi="Arial"/>
                <w:sz w:val="17"/>
                <w:szCs w:val="17"/>
                <w:color w:val="0000FF"/>
                <w:w w:val="73"/>
              </w:rPr>
            </w:pPr>
            <w:hyperlink w:anchor="page15">
              <w:r>
                <w:rPr>
                  <w:rFonts w:ascii="Arial" w:cs="Arial" w:eastAsia="Arial" w:hAnsi="Arial"/>
                  <w:sz w:val="17"/>
                  <w:szCs w:val="17"/>
                  <w:color w:val="0000FF"/>
                  <w:w w:val="73"/>
                </w:rPr>
                <w:t>13</w:t>
              </w:r>
            </w:hyperlink>
          </w:p>
        </w:tc>
        <w:tc>
          <w:tcPr>
            <w:tcW w:w="300" w:type="dxa"/>
            <w:vAlign w:val="bottom"/>
            <w:tcBorders>
              <w:top w:val="single" w:sz="8" w:color="CCEEFF"/>
            </w:tcBorders>
          </w:tcPr>
          <w:p>
            <w:pPr>
              <w:spacing w:after="0"/>
              <w:rPr>
                <w:sz w:val="16"/>
                <w:szCs w:val="16"/>
                <w:color w:val="auto"/>
              </w:rPr>
            </w:pPr>
          </w:p>
        </w:tc>
      </w:tr>
      <w:tr>
        <w:trPr>
          <w:trHeight w:val="45"/>
        </w:trPr>
        <w:tc>
          <w:tcPr>
            <w:tcW w:w="14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40"/>
        </w:trPr>
        <w:tc>
          <w:tcPr>
            <w:tcW w:w="1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ITEM 3.</w:t>
            </w:r>
          </w:p>
        </w:tc>
        <w:tc>
          <w:tcPr>
            <w:tcW w:w="1280" w:type="dxa"/>
            <w:vAlign w:val="bottom"/>
            <w:tcBorders>
              <w:bottom w:val="single" w:sz="8" w:color="0000FF"/>
            </w:tcBorders>
            <w:gridSpan w:val="7"/>
            <w:shd w:val="clear" w:color="auto" w:fill="CCEEFF"/>
          </w:tcPr>
          <w:p>
            <w:pPr>
              <w:spacing w:after="0"/>
              <w:rPr>
                <w:rFonts w:ascii="Arial" w:cs="Arial" w:eastAsia="Arial" w:hAnsi="Arial"/>
                <w:sz w:val="17"/>
                <w:szCs w:val="17"/>
                <w:color w:val="0000FF"/>
                <w:w w:val="89"/>
              </w:rPr>
            </w:pPr>
            <w:hyperlink w:anchor="page15">
              <w:r>
                <w:rPr>
                  <w:rFonts w:ascii="Arial" w:cs="Arial" w:eastAsia="Arial" w:hAnsi="Arial"/>
                  <w:sz w:val="17"/>
                  <w:szCs w:val="17"/>
                  <w:color w:val="0000FF"/>
                  <w:w w:val="89"/>
                </w:rPr>
                <w:t>Legal Proceedings</w:t>
              </w:r>
            </w:hyperlink>
          </w:p>
        </w:tc>
        <w:tc>
          <w:tcPr>
            <w:tcW w:w="6260" w:type="dxa"/>
            <w:vAlign w:val="bottom"/>
            <w:tcBorders>
              <w:bottom w:val="single" w:sz="8" w:color="CCEEFF"/>
            </w:tcBorders>
            <w:gridSpan w:val="17"/>
            <w:shd w:val="clear" w:color="auto" w:fill="CCEEFF"/>
          </w:tcPr>
          <w:p>
            <w:pPr>
              <w:spacing w:after="0"/>
              <w:rPr>
                <w:sz w:val="20"/>
                <w:szCs w:val="20"/>
                <w:color w:val="auto"/>
              </w:rPr>
            </w:pP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0000FF"/>
              <w:right w:val="single" w:sz="8" w:color="CCEEFF"/>
            </w:tcBorders>
            <w:shd w:val="clear" w:color="auto" w:fill="CCEEFF"/>
          </w:tcPr>
          <w:p>
            <w:pPr>
              <w:jc w:val="center"/>
              <w:spacing w:after="0"/>
              <w:rPr>
                <w:rFonts w:ascii="Arial" w:cs="Arial" w:eastAsia="Arial" w:hAnsi="Arial"/>
                <w:sz w:val="17"/>
                <w:szCs w:val="17"/>
                <w:color w:val="0000FF"/>
                <w:w w:val="73"/>
              </w:rPr>
            </w:pPr>
            <w:hyperlink w:anchor="page15">
              <w:r>
                <w:rPr>
                  <w:rFonts w:ascii="Arial" w:cs="Arial" w:eastAsia="Arial" w:hAnsi="Arial"/>
                  <w:sz w:val="17"/>
                  <w:szCs w:val="17"/>
                  <w:color w:val="0000FF"/>
                  <w:w w:val="73"/>
                </w:rPr>
                <w:t>13</w:t>
              </w:r>
            </w:hyperlink>
          </w:p>
        </w:tc>
        <w:tc>
          <w:tcPr>
            <w:tcW w:w="300" w:type="dxa"/>
            <w:vAlign w:val="bottom"/>
            <w:tcBorders>
              <w:bottom w:val="single" w:sz="8" w:color="CCEEFF"/>
            </w:tcBorders>
            <w:shd w:val="clear" w:color="auto" w:fill="CCEEFF"/>
          </w:tcPr>
          <w:p>
            <w:pPr>
              <w:spacing w:after="0"/>
              <w:rPr>
                <w:sz w:val="20"/>
                <w:szCs w:val="20"/>
                <w:color w:val="auto"/>
              </w:rPr>
            </w:pPr>
          </w:p>
        </w:tc>
      </w:tr>
      <w:tr>
        <w:trPr>
          <w:trHeight w:val="195"/>
        </w:trPr>
        <w:tc>
          <w:tcPr>
            <w:tcW w:w="1400" w:type="dxa"/>
            <w:vAlign w:val="bottom"/>
          </w:tcPr>
          <w:p>
            <w:pPr>
              <w:ind w:left="160"/>
              <w:spacing w:after="0"/>
              <w:rPr>
                <w:sz w:val="20"/>
                <w:szCs w:val="20"/>
                <w:color w:val="auto"/>
              </w:rPr>
            </w:pPr>
            <w:r>
              <w:rPr>
                <w:rFonts w:ascii="Arial" w:cs="Arial" w:eastAsia="Arial" w:hAnsi="Arial"/>
                <w:sz w:val="17"/>
                <w:szCs w:val="17"/>
                <w:color w:val="auto"/>
              </w:rPr>
              <w:t>ITEM 4.</w:t>
            </w:r>
          </w:p>
        </w:tc>
        <w:tc>
          <w:tcPr>
            <w:tcW w:w="7540" w:type="dxa"/>
            <w:vAlign w:val="bottom"/>
            <w:gridSpan w:val="24"/>
          </w:tcPr>
          <w:p>
            <w:pPr>
              <w:spacing w:after="0"/>
              <w:rPr>
                <w:rFonts w:ascii="Arial" w:cs="Arial" w:eastAsia="Arial" w:hAnsi="Arial"/>
                <w:sz w:val="17"/>
                <w:szCs w:val="17"/>
                <w:color w:val="0000FF"/>
              </w:rPr>
            </w:pPr>
            <w:hyperlink w:anchor="page16">
              <w:r>
                <w:rPr>
                  <w:rFonts w:ascii="Arial" w:cs="Arial" w:eastAsia="Arial" w:hAnsi="Arial"/>
                  <w:sz w:val="17"/>
                  <w:szCs w:val="17"/>
                  <w:color w:val="0000FF"/>
                </w:rPr>
                <w:t>Mine Safety Disclosures</w:t>
              </w:r>
            </w:hyperlink>
          </w:p>
        </w:tc>
        <w:tc>
          <w:tcPr>
            <w:tcW w:w="480" w:type="dxa"/>
            <w:vAlign w:val="bottom"/>
            <w:gridSpan w:val="2"/>
          </w:tcPr>
          <w:p>
            <w:pPr>
              <w:jc w:val="center"/>
              <w:ind w:left="213"/>
              <w:spacing w:after="0"/>
              <w:rPr>
                <w:rFonts w:ascii="Arial" w:cs="Arial" w:eastAsia="Arial" w:hAnsi="Arial"/>
                <w:sz w:val="17"/>
                <w:szCs w:val="17"/>
                <w:color w:val="0000FF"/>
                <w:w w:val="94"/>
              </w:rPr>
            </w:pPr>
            <w:hyperlink w:anchor="page16">
              <w:r>
                <w:rPr>
                  <w:rFonts w:ascii="Arial" w:cs="Arial" w:eastAsia="Arial" w:hAnsi="Arial"/>
                  <w:sz w:val="17"/>
                  <w:szCs w:val="17"/>
                  <w:color w:val="0000FF"/>
                  <w:w w:val="94"/>
                </w:rPr>
                <w:t>14</w:t>
              </w:r>
            </w:hyperlink>
          </w:p>
        </w:tc>
        <w:tc>
          <w:tcPr>
            <w:tcW w:w="300" w:type="dxa"/>
            <w:vAlign w:val="bottom"/>
          </w:tcPr>
          <w:p>
            <w:pPr>
              <w:spacing w:after="0"/>
              <w:rPr>
                <w:sz w:val="16"/>
                <w:szCs w:val="16"/>
                <w:color w:val="auto"/>
              </w:rPr>
            </w:pPr>
          </w:p>
        </w:tc>
      </w:tr>
      <w:tr>
        <w:trPr>
          <w:trHeight w:val="45"/>
        </w:trPr>
        <w:tc>
          <w:tcPr>
            <w:tcW w:w="14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86"/>
        </w:trPr>
        <w:tc>
          <w:tcPr>
            <w:tcW w:w="1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r>
      <w:tr>
        <w:trPr>
          <w:trHeight w:val="234"/>
        </w:trPr>
        <w:tc>
          <w:tcPr>
            <w:tcW w:w="1400" w:type="dxa"/>
            <w:vAlign w:val="bottom"/>
          </w:tcPr>
          <w:p>
            <w:pPr>
              <w:ind w:left="20"/>
              <w:spacing w:after="0"/>
              <w:rPr>
                <w:sz w:val="20"/>
                <w:szCs w:val="20"/>
                <w:color w:val="auto"/>
              </w:rPr>
            </w:pPr>
            <w:r>
              <w:rPr>
                <w:rFonts w:ascii="Arial" w:cs="Arial" w:eastAsia="Arial" w:hAnsi="Arial"/>
                <w:sz w:val="17"/>
                <w:szCs w:val="17"/>
                <w:b w:val="1"/>
                <w:bCs w:val="1"/>
                <w:color w:val="auto"/>
              </w:rPr>
              <w:t>PART II</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6"/>
        </w:trPr>
        <w:tc>
          <w:tcPr>
            <w:tcW w:w="1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ITEM 5.</w:t>
            </w:r>
          </w:p>
        </w:tc>
        <w:tc>
          <w:tcPr>
            <w:tcW w:w="7040" w:type="dxa"/>
            <w:vAlign w:val="bottom"/>
            <w:tcBorders>
              <w:bottom w:val="single" w:sz="8" w:color="0000FF"/>
            </w:tcBorders>
            <w:gridSpan w:val="23"/>
            <w:shd w:val="clear" w:color="auto" w:fill="CCEEFF"/>
          </w:tcPr>
          <w:p>
            <w:pPr>
              <w:spacing w:after="0"/>
              <w:rPr>
                <w:rFonts w:ascii="Arial" w:cs="Arial" w:eastAsia="Arial" w:hAnsi="Arial"/>
                <w:sz w:val="17"/>
                <w:szCs w:val="17"/>
                <w:color w:val="0000FF"/>
                <w:w w:val="92"/>
              </w:rPr>
            </w:pPr>
            <w:hyperlink w:anchor="page16">
              <w:r>
                <w:rPr>
                  <w:rFonts w:ascii="Arial" w:cs="Arial" w:eastAsia="Arial" w:hAnsi="Arial"/>
                  <w:sz w:val="17"/>
                  <w:szCs w:val="17"/>
                  <w:color w:val="0000FF"/>
                  <w:w w:val="92"/>
                </w:rPr>
                <w:t>Market for Registrant's Common Equity, Related Stockholder Matters and Issuer Purchases of Equity</w:t>
              </w:r>
            </w:hyperlink>
          </w:p>
        </w:tc>
        <w:tc>
          <w:tcPr>
            <w:tcW w:w="5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r>
      <w:tr>
        <w:trPr>
          <w:trHeight w:val="233"/>
        </w:trPr>
        <w:tc>
          <w:tcPr>
            <w:tcW w:w="1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0000FF"/>
            </w:tcBorders>
            <w:gridSpan w:val="2"/>
            <w:shd w:val="clear" w:color="auto" w:fill="CCEEFF"/>
          </w:tcPr>
          <w:p>
            <w:pPr>
              <w:spacing w:after="0" w:line="189" w:lineRule="exact"/>
              <w:rPr>
                <w:rFonts w:ascii="Arial" w:cs="Arial" w:eastAsia="Arial" w:hAnsi="Arial"/>
                <w:sz w:val="17"/>
                <w:szCs w:val="17"/>
                <w:color w:val="0000FF"/>
                <w:w w:val="88"/>
              </w:rPr>
            </w:pPr>
            <w:hyperlink w:anchor="page16">
              <w:r>
                <w:rPr>
                  <w:rFonts w:ascii="Arial" w:cs="Arial" w:eastAsia="Arial" w:hAnsi="Arial"/>
                  <w:sz w:val="17"/>
                  <w:szCs w:val="17"/>
                  <w:color w:val="0000FF"/>
                  <w:w w:val="88"/>
                </w:rPr>
                <w:t>Securities</w:t>
              </w:r>
            </w:hyperlink>
          </w:p>
        </w:tc>
        <w:tc>
          <w:tcPr>
            <w:tcW w:w="6860" w:type="dxa"/>
            <w:vAlign w:val="bottom"/>
            <w:tcBorders>
              <w:bottom w:val="single" w:sz="8" w:color="CCEEFF"/>
            </w:tcBorders>
            <w:gridSpan w:val="22"/>
            <w:shd w:val="clear" w:color="auto" w:fill="CCEEFF"/>
          </w:tcPr>
          <w:p>
            <w:pPr>
              <w:spacing w:after="0"/>
              <w:rPr>
                <w:sz w:val="20"/>
                <w:szCs w:val="20"/>
                <w:color w:val="auto"/>
              </w:rPr>
            </w:pP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7"/>
                <w:szCs w:val="17"/>
                <w:color w:val="0000FF"/>
                <w:w w:val="73"/>
              </w:rPr>
            </w:pPr>
            <w:hyperlink w:anchor="page16">
              <w:r>
                <w:rPr>
                  <w:rFonts w:ascii="Arial" w:cs="Arial" w:eastAsia="Arial" w:hAnsi="Arial"/>
                  <w:sz w:val="17"/>
                  <w:szCs w:val="17"/>
                  <w:color w:val="0000FF"/>
                  <w:w w:val="73"/>
                </w:rPr>
                <w:t>14</w:t>
              </w:r>
            </w:hyperlink>
          </w:p>
        </w:tc>
        <w:tc>
          <w:tcPr>
            <w:tcW w:w="300" w:type="dxa"/>
            <w:vAlign w:val="bottom"/>
            <w:tcBorders>
              <w:bottom w:val="single" w:sz="8" w:color="CCEEFF"/>
            </w:tcBorders>
            <w:shd w:val="clear" w:color="auto" w:fill="CCEEFF"/>
          </w:tcPr>
          <w:p>
            <w:pPr>
              <w:spacing w:after="0"/>
              <w:rPr>
                <w:sz w:val="20"/>
                <w:szCs w:val="20"/>
                <w:color w:val="auto"/>
              </w:rPr>
            </w:pPr>
          </w:p>
        </w:tc>
      </w:tr>
      <w:tr>
        <w:trPr>
          <w:trHeight w:val="195"/>
        </w:trPr>
        <w:tc>
          <w:tcPr>
            <w:tcW w:w="1400" w:type="dxa"/>
            <w:vAlign w:val="bottom"/>
          </w:tcPr>
          <w:p>
            <w:pPr>
              <w:ind w:left="160"/>
              <w:spacing w:after="0"/>
              <w:rPr>
                <w:sz w:val="20"/>
                <w:szCs w:val="20"/>
                <w:color w:val="auto"/>
              </w:rPr>
            </w:pPr>
            <w:r>
              <w:rPr>
                <w:rFonts w:ascii="Arial" w:cs="Arial" w:eastAsia="Arial" w:hAnsi="Arial"/>
                <w:sz w:val="17"/>
                <w:szCs w:val="17"/>
                <w:color w:val="auto"/>
              </w:rPr>
              <w:t>ITEM 6.</w:t>
            </w:r>
          </w:p>
        </w:tc>
        <w:tc>
          <w:tcPr>
            <w:tcW w:w="7540" w:type="dxa"/>
            <w:vAlign w:val="bottom"/>
            <w:gridSpan w:val="24"/>
          </w:tcPr>
          <w:p>
            <w:pPr>
              <w:spacing w:after="0"/>
              <w:rPr>
                <w:rFonts w:ascii="Arial" w:cs="Arial" w:eastAsia="Arial" w:hAnsi="Arial"/>
                <w:sz w:val="17"/>
                <w:szCs w:val="17"/>
                <w:color w:val="0000FF"/>
              </w:rPr>
            </w:pPr>
            <w:hyperlink w:anchor="page17">
              <w:r>
                <w:rPr>
                  <w:rFonts w:ascii="Arial" w:cs="Arial" w:eastAsia="Arial" w:hAnsi="Arial"/>
                  <w:sz w:val="17"/>
                  <w:szCs w:val="17"/>
                  <w:color w:val="0000FF"/>
                </w:rPr>
                <w:t>Selected Financial Data</w:t>
              </w:r>
            </w:hyperlink>
          </w:p>
        </w:tc>
        <w:tc>
          <w:tcPr>
            <w:tcW w:w="480" w:type="dxa"/>
            <w:vAlign w:val="bottom"/>
            <w:gridSpan w:val="2"/>
          </w:tcPr>
          <w:p>
            <w:pPr>
              <w:jc w:val="center"/>
              <w:ind w:left="213"/>
              <w:spacing w:after="0"/>
              <w:rPr>
                <w:rFonts w:ascii="Arial" w:cs="Arial" w:eastAsia="Arial" w:hAnsi="Arial"/>
                <w:sz w:val="17"/>
                <w:szCs w:val="17"/>
                <w:color w:val="0000FF"/>
                <w:w w:val="94"/>
              </w:rPr>
            </w:pPr>
            <w:hyperlink w:anchor="page17">
              <w:r>
                <w:rPr>
                  <w:rFonts w:ascii="Arial" w:cs="Arial" w:eastAsia="Arial" w:hAnsi="Arial"/>
                  <w:sz w:val="17"/>
                  <w:szCs w:val="17"/>
                  <w:color w:val="0000FF"/>
                  <w:w w:val="94"/>
                </w:rPr>
                <w:t>15</w:t>
              </w:r>
            </w:hyperlink>
          </w:p>
        </w:tc>
        <w:tc>
          <w:tcPr>
            <w:tcW w:w="300" w:type="dxa"/>
            <w:vAlign w:val="bottom"/>
          </w:tcPr>
          <w:p>
            <w:pPr>
              <w:spacing w:after="0"/>
              <w:rPr>
                <w:sz w:val="16"/>
                <w:szCs w:val="16"/>
                <w:color w:val="auto"/>
              </w:rPr>
            </w:pPr>
          </w:p>
        </w:tc>
      </w:tr>
      <w:tr>
        <w:trPr>
          <w:trHeight w:val="45"/>
        </w:trPr>
        <w:tc>
          <w:tcPr>
            <w:tcW w:w="14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40"/>
        </w:trPr>
        <w:tc>
          <w:tcPr>
            <w:tcW w:w="1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7.</w:t>
            </w:r>
          </w:p>
        </w:tc>
        <w:tc>
          <w:tcPr>
            <w:tcW w:w="7540" w:type="dxa"/>
            <w:vAlign w:val="bottom"/>
            <w:gridSpan w:val="24"/>
            <w:shd w:val="clear" w:color="auto" w:fill="CCEEFF"/>
          </w:tcPr>
          <w:p>
            <w:pPr>
              <w:spacing w:after="0"/>
              <w:rPr>
                <w:rFonts w:ascii="Arial" w:cs="Arial" w:eastAsia="Arial" w:hAnsi="Arial"/>
                <w:sz w:val="17"/>
                <w:szCs w:val="17"/>
                <w:color w:val="0000FF"/>
              </w:rPr>
            </w:pPr>
            <w:hyperlink w:anchor="page18">
              <w:r>
                <w:rPr>
                  <w:rFonts w:ascii="Arial" w:cs="Arial" w:eastAsia="Arial" w:hAnsi="Arial"/>
                  <w:sz w:val="17"/>
                  <w:szCs w:val="17"/>
                  <w:color w:val="0000FF"/>
                </w:rPr>
                <w:t>Management's Discussion and Analysis of Financial Condition and Results of Operations</w:t>
              </w:r>
            </w:hyperlink>
          </w:p>
        </w:tc>
        <w:tc>
          <w:tcPr>
            <w:tcW w:w="480" w:type="dxa"/>
            <w:vAlign w:val="bottom"/>
            <w:tcBorders>
              <w:right w:val="single" w:sz="8" w:color="CCEEFF"/>
            </w:tcBorders>
            <w:gridSpan w:val="2"/>
            <w:shd w:val="clear" w:color="auto" w:fill="CCEEFF"/>
          </w:tcPr>
          <w:p>
            <w:pPr>
              <w:jc w:val="center"/>
              <w:ind w:left="213"/>
              <w:spacing w:after="0"/>
              <w:rPr>
                <w:rFonts w:ascii="Arial" w:cs="Arial" w:eastAsia="Arial" w:hAnsi="Arial"/>
                <w:sz w:val="17"/>
                <w:szCs w:val="17"/>
                <w:color w:val="0000FF"/>
                <w:w w:val="94"/>
              </w:rPr>
            </w:pPr>
            <w:hyperlink w:anchor="page18">
              <w:r>
                <w:rPr>
                  <w:rFonts w:ascii="Arial" w:cs="Arial" w:eastAsia="Arial" w:hAnsi="Arial"/>
                  <w:sz w:val="17"/>
                  <w:szCs w:val="17"/>
                  <w:color w:val="0000FF"/>
                  <w:w w:val="94"/>
                </w:rPr>
                <w:t>16</w:t>
              </w:r>
            </w:hyperlink>
          </w:p>
        </w:tc>
        <w:tc>
          <w:tcPr>
            <w:tcW w:w="300" w:type="dxa"/>
            <w:vAlign w:val="bottom"/>
            <w:shd w:val="clear" w:color="auto" w:fill="CCEEFF"/>
          </w:tcPr>
          <w:p>
            <w:pPr>
              <w:spacing w:after="0"/>
              <w:rPr>
                <w:sz w:val="20"/>
                <w:szCs w:val="20"/>
                <w:color w:val="auto"/>
              </w:rPr>
            </w:pPr>
          </w:p>
        </w:tc>
      </w:tr>
      <w:tr>
        <w:trPr>
          <w:trHeight w:val="195"/>
        </w:trPr>
        <w:tc>
          <w:tcPr>
            <w:tcW w:w="1400" w:type="dxa"/>
            <w:vAlign w:val="bottom"/>
            <w:tcBorders>
              <w:top w:val="single" w:sz="8" w:color="CCEEFF"/>
            </w:tcBorders>
          </w:tcPr>
          <w:p>
            <w:pPr>
              <w:ind w:left="160"/>
              <w:spacing w:after="0"/>
              <w:rPr>
                <w:sz w:val="20"/>
                <w:szCs w:val="20"/>
                <w:color w:val="auto"/>
              </w:rPr>
            </w:pPr>
            <w:r>
              <w:rPr>
                <w:rFonts w:ascii="Arial" w:cs="Arial" w:eastAsia="Arial" w:hAnsi="Arial"/>
                <w:sz w:val="17"/>
                <w:szCs w:val="17"/>
                <w:color w:val="auto"/>
              </w:rPr>
              <w:t>ITEM 7A.</w:t>
            </w:r>
          </w:p>
        </w:tc>
        <w:tc>
          <w:tcPr>
            <w:tcW w:w="6200" w:type="dxa"/>
            <w:vAlign w:val="bottom"/>
            <w:tcBorders>
              <w:top w:val="single" w:sz="8" w:color="0000FF"/>
            </w:tcBorders>
            <w:gridSpan w:val="20"/>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Quantitative and Qualitative Disclosures about Market Risk</w:t>
              </w:r>
            </w:hyperlink>
          </w:p>
        </w:tc>
        <w:tc>
          <w:tcPr>
            <w:tcW w:w="1340" w:type="dxa"/>
            <w:vAlign w:val="bottom"/>
            <w:tcBorders>
              <w:top w:val="single" w:sz="8" w:color="CCEEFF"/>
            </w:tcBorders>
            <w:gridSpan w:val="4"/>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0000FF"/>
            </w:tcBorders>
          </w:tcPr>
          <w:p>
            <w:pPr>
              <w:jc w:val="center"/>
              <w:spacing w:after="0"/>
              <w:rPr>
                <w:rFonts w:ascii="Arial" w:cs="Arial" w:eastAsia="Arial" w:hAnsi="Arial"/>
                <w:sz w:val="17"/>
                <w:szCs w:val="17"/>
                <w:color w:val="0000FF"/>
                <w:w w:val="73"/>
              </w:rPr>
            </w:pPr>
            <w:hyperlink w:anchor="page31">
              <w:r>
                <w:rPr>
                  <w:rFonts w:ascii="Arial" w:cs="Arial" w:eastAsia="Arial" w:hAnsi="Arial"/>
                  <w:sz w:val="17"/>
                  <w:szCs w:val="17"/>
                  <w:color w:val="0000FF"/>
                  <w:w w:val="73"/>
                </w:rPr>
                <w:t>29</w:t>
              </w:r>
            </w:hyperlink>
          </w:p>
        </w:tc>
        <w:tc>
          <w:tcPr>
            <w:tcW w:w="300" w:type="dxa"/>
            <w:vAlign w:val="bottom"/>
            <w:tcBorders>
              <w:top w:val="single" w:sz="8" w:color="CCEEFF"/>
            </w:tcBorders>
          </w:tcPr>
          <w:p>
            <w:pPr>
              <w:spacing w:after="0"/>
              <w:rPr>
                <w:sz w:val="16"/>
                <w:szCs w:val="16"/>
                <w:color w:val="auto"/>
              </w:rPr>
            </w:pPr>
          </w:p>
        </w:tc>
      </w:tr>
      <w:tr>
        <w:trPr>
          <w:trHeight w:val="45"/>
        </w:trPr>
        <w:tc>
          <w:tcPr>
            <w:tcW w:w="14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195"/>
        </w:trPr>
        <w:tc>
          <w:tcPr>
            <w:tcW w:w="1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8.</w:t>
            </w:r>
          </w:p>
        </w:tc>
        <w:tc>
          <w:tcPr>
            <w:tcW w:w="7540" w:type="dxa"/>
            <w:vAlign w:val="bottom"/>
            <w:gridSpan w:val="24"/>
            <w:shd w:val="clear" w:color="auto" w:fill="CCEEFF"/>
          </w:tcPr>
          <w:p>
            <w:pPr>
              <w:spacing w:after="0"/>
              <w:rPr>
                <w:rFonts w:ascii="Arial" w:cs="Arial" w:eastAsia="Arial" w:hAnsi="Arial"/>
                <w:sz w:val="17"/>
                <w:szCs w:val="17"/>
                <w:color w:val="0000FF"/>
              </w:rPr>
            </w:pPr>
            <w:hyperlink w:anchor="page32">
              <w:r>
                <w:rPr>
                  <w:rFonts w:ascii="Arial" w:cs="Arial" w:eastAsia="Arial" w:hAnsi="Arial"/>
                  <w:sz w:val="17"/>
                  <w:szCs w:val="17"/>
                  <w:color w:val="0000FF"/>
                </w:rPr>
                <w:t>Financial Statements and Supplementary Data</w:t>
              </w:r>
            </w:hyperlink>
          </w:p>
        </w:tc>
        <w:tc>
          <w:tcPr>
            <w:tcW w:w="480" w:type="dxa"/>
            <w:vAlign w:val="bottom"/>
            <w:tcBorders>
              <w:right w:val="single" w:sz="8" w:color="CCEEFF"/>
            </w:tcBorders>
            <w:gridSpan w:val="2"/>
            <w:shd w:val="clear" w:color="auto" w:fill="CCEEFF"/>
          </w:tcPr>
          <w:p>
            <w:pPr>
              <w:jc w:val="center"/>
              <w:ind w:left="213"/>
              <w:spacing w:after="0"/>
              <w:rPr>
                <w:rFonts w:ascii="Arial" w:cs="Arial" w:eastAsia="Arial" w:hAnsi="Arial"/>
                <w:sz w:val="17"/>
                <w:szCs w:val="17"/>
                <w:color w:val="0000FF"/>
                <w:w w:val="94"/>
              </w:rPr>
            </w:pPr>
            <w:hyperlink w:anchor="page32">
              <w:r>
                <w:rPr>
                  <w:rFonts w:ascii="Arial" w:cs="Arial" w:eastAsia="Arial" w:hAnsi="Arial"/>
                  <w:sz w:val="17"/>
                  <w:szCs w:val="17"/>
                  <w:color w:val="0000FF"/>
                  <w:w w:val="94"/>
                </w:rPr>
                <w:t>30</w:t>
              </w:r>
            </w:hyperlink>
          </w:p>
        </w:tc>
        <w:tc>
          <w:tcPr>
            <w:tcW w:w="300" w:type="dxa"/>
            <w:vAlign w:val="bottom"/>
            <w:shd w:val="clear" w:color="auto" w:fill="CCEEFF"/>
          </w:tcPr>
          <w:p>
            <w:pPr>
              <w:spacing w:after="0"/>
              <w:rPr>
                <w:sz w:val="16"/>
                <w:szCs w:val="16"/>
                <w:color w:val="auto"/>
              </w:rPr>
            </w:pPr>
          </w:p>
        </w:tc>
      </w:tr>
      <w:tr>
        <w:trPr>
          <w:trHeight w:val="45"/>
        </w:trPr>
        <w:tc>
          <w:tcPr>
            <w:tcW w:w="14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80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right w:val="single" w:sz="8" w:color="CCEEFF"/>
            </w:tcBorders>
            <w:shd w:val="clear" w:color="auto" w:fill="CCEEFF"/>
          </w:tcPr>
          <w:p>
            <w:pPr>
              <w:spacing w:after="0"/>
              <w:rPr>
                <w:sz w:val="3"/>
                <w:szCs w:val="3"/>
                <w:color w:val="auto"/>
              </w:rPr>
            </w:pPr>
          </w:p>
        </w:tc>
        <w:tc>
          <w:tcPr>
            <w:tcW w:w="140" w:type="dxa"/>
            <w:vAlign w:val="bottom"/>
            <w:tcBorders>
              <w:top w:val="single" w:sz="8" w:color="0000FF"/>
              <w:right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r>
      <w:tr>
        <w:trPr>
          <w:trHeight w:val="195"/>
        </w:trPr>
        <w:tc>
          <w:tcPr>
            <w:tcW w:w="1400" w:type="dxa"/>
            <w:vAlign w:val="bottom"/>
          </w:tcPr>
          <w:p>
            <w:pPr>
              <w:ind w:left="160"/>
              <w:spacing w:after="0"/>
              <w:rPr>
                <w:sz w:val="20"/>
                <w:szCs w:val="20"/>
                <w:color w:val="auto"/>
              </w:rPr>
            </w:pPr>
            <w:r>
              <w:rPr>
                <w:rFonts w:ascii="Arial" w:cs="Arial" w:eastAsia="Arial" w:hAnsi="Arial"/>
                <w:sz w:val="17"/>
                <w:szCs w:val="17"/>
                <w:color w:val="auto"/>
              </w:rPr>
              <w:t>ITEM 9.</w:t>
            </w:r>
          </w:p>
        </w:tc>
        <w:tc>
          <w:tcPr>
            <w:tcW w:w="7540" w:type="dxa"/>
            <w:vAlign w:val="bottom"/>
            <w:gridSpan w:val="24"/>
          </w:tcPr>
          <w:p>
            <w:pPr>
              <w:spacing w:after="0"/>
              <w:rPr>
                <w:rFonts w:ascii="Arial" w:cs="Arial" w:eastAsia="Arial" w:hAnsi="Arial"/>
                <w:sz w:val="17"/>
                <w:szCs w:val="17"/>
                <w:color w:val="0000FF"/>
              </w:rPr>
            </w:pPr>
            <w:hyperlink w:anchor="page90">
              <w:r>
                <w:rPr>
                  <w:rFonts w:ascii="Arial" w:cs="Arial" w:eastAsia="Arial" w:hAnsi="Arial"/>
                  <w:sz w:val="17"/>
                  <w:szCs w:val="17"/>
                  <w:color w:val="0000FF"/>
                </w:rPr>
                <w:t>Changes in and Disagreements With Accountants on Accounting and Financial Disclosure</w:t>
              </w:r>
            </w:hyperlink>
          </w:p>
        </w:tc>
        <w:tc>
          <w:tcPr>
            <w:tcW w:w="480" w:type="dxa"/>
            <w:vAlign w:val="bottom"/>
            <w:gridSpan w:val="2"/>
          </w:tcPr>
          <w:p>
            <w:pPr>
              <w:jc w:val="center"/>
              <w:ind w:left="213"/>
              <w:spacing w:after="0"/>
              <w:rPr>
                <w:rFonts w:ascii="Arial" w:cs="Arial" w:eastAsia="Arial" w:hAnsi="Arial"/>
                <w:sz w:val="17"/>
                <w:szCs w:val="17"/>
                <w:color w:val="0000FF"/>
                <w:w w:val="94"/>
              </w:rPr>
            </w:pPr>
            <w:hyperlink w:anchor="page90">
              <w:r>
                <w:rPr>
                  <w:rFonts w:ascii="Arial" w:cs="Arial" w:eastAsia="Arial" w:hAnsi="Arial"/>
                  <w:sz w:val="17"/>
                  <w:szCs w:val="17"/>
                  <w:color w:val="0000FF"/>
                  <w:w w:val="94"/>
                </w:rPr>
                <w:t>87</w:t>
              </w:r>
            </w:hyperlink>
          </w:p>
        </w:tc>
        <w:tc>
          <w:tcPr>
            <w:tcW w:w="300" w:type="dxa"/>
            <w:vAlign w:val="bottom"/>
          </w:tcPr>
          <w:p>
            <w:pPr>
              <w:spacing w:after="0"/>
              <w:rPr>
                <w:sz w:val="16"/>
                <w:szCs w:val="16"/>
                <w:color w:val="auto"/>
              </w:rPr>
            </w:pPr>
          </w:p>
        </w:tc>
      </w:tr>
      <w:tr>
        <w:trPr>
          <w:trHeight w:val="45"/>
        </w:trPr>
        <w:tc>
          <w:tcPr>
            <w:tcW w:w="14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40"/>
        </w:trPr>
        <w:tc>
          <w:tcPr>
            <w:tcW w:w="1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ITEM 9A.</w:t>
            </w:r>
          </w:p>
        </w:tc>
        <w:tc>
          <w:tcPr>
            <w:tcW w:w="1700" w:type="dxa"/>
            <w:vAlign w:val="bottom"/>
            <w:tcBorders>
              <w:bottom w:val="single" w:sz="8" w:color="0000FF"/>
            </w:tcBorders>
            <w:gridSpan w:val="10"/>
            <w:shd w:val="clear" w:color="auto" w:fill="CCEEFF"/>
          </w:tcPr>
          <w:p>
            <w:pPr>
              <w:spacing w:after="0"/>
              <w:rPr>
                <w:rFonts w:ascii="Arial" w:cs="Arial" w:eastAsia="Arial" w:hAnsi="Arial"/>
                <w:sz w:val="17"/>
                <w:szCs w:val="17"/>
                <w:color w:val="0000FF"/>
                <w:w w:val="89"/>
              </w:rPr>
            </w:pPr>
            <w:hyperlink w:anchor="page90">
              <w:r>
                <w:rPr>
                  <w:rFonts w:ascii="Arial" w:cs="Arial" w:eastAsia="Arial" w:hAnsi="Arial"/>
                  <w:sz w:val="17"/>
                  <w:szCs w:val="17"/>
                  <w:color w:val="0000FF"/>
                  <w:w w:val="89"/>
                </w:rPr>
                <w:t>Controls and Procedures</w:t>
              </w:r>
            </w:hyperlink>
          </w:p>
        </w:tc>
        <w:tc>
          <w:tcPr>
            <w:tcW w:w="5840" w:type="dxa"/>
            <w:vAlign w:val="bottom"/>
            <w:tcBorders>
              <w:bottom w:val="single" w:sz="8" w:color="CCEEFF"/>
            </w:tcBorders>
            <w:gridSpan w:val="14"/>
            <w:shd w:val="clear" w:color="auto" w:fill="CCEEFF"/>
          </w:tcPr>
          <w:p>
            <w:pPr>
              <w:spacing w:after="0"/>
              <w:rPr>
                <w:sz w:val="20"/>
                <w:szCs w:val="20"/>
                <w:color w:val="auto"/>
              </w:rPr>
            </w:pP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0000FF"/>
              <w:right w:val="single" w:sz="8" w:color="CCEEFF"/>
            </w:tcBorders>
            <w:shd w:val="clear" w:color="auto" w:fill="CCEEFF"/>
          </w:tcPr>
          <w:p>
            <w:pPr>
              <w:jc w:val="center"/>
              <w:spacing w:after="0"/>
              <w:rPr>
                <w:rFonts w:ascii="Arial" w:cs="Arial" w:eastAsia="Arial" w:hAnsi="Arial"/>
                <w:sz w:val="17"/>
                <w:szCs w:val="17"/>
                <w:color w:val="0000FF"/>
                <w:w w:val="73"/>
              </w:rPr>
            </w:pPr>
            <w:hyperlink w:anchor="page90">
              <w:r>
                <w:rPr>
                  <w:rFonts w:ascii="Arial" w:cs="Arial" w:eastAsia="Arial" w:hAnsi="Arial"/>
                  <w:sz w:val="17"/>
                  <w:szCs w:val="17"/>
                  <w:color w:val="0000FF"/>
                  <w:w w:val="73"/>
                </w:rPr>
                <w:t>87</w:t>
              </w:r>
            </w:hyperlink>
          </w:p>
        </w:tc>
        <w:tc>
          <w:tcPr>
            <w:tcW w:w="300" w:type="dxa"/>
            <w:vAlign w:val="bottom"/>
            <w:tcBorders>
              <w:bottom w:val="single" w:sz="8" w:color="CCEEFF"/>
            </w:tcBorders>
            <w:shd w:val="clear" w:color="auto" w:fill="CCEEFF"/>
          </w:tcPr>
          <w:p>
            <w:pPr>
              <w:spacing w:after="0"/>
              <w:rPr>
                <w:sz w:val="20"/>
                <w:szCs w:val="20"/>
                <w:color w:val="auto"/>
              </w:rPr>
            </w:pPr>
          </w:p>
        </w:tc>
      </w:tr>
      <w:tr>
        <w:trPr>
          <w:trHeight w:val="195"/>
        </w:trPr>
        <w:tc>
          <w:tcPr>
            <w:tcW w:w="1400" w:type="dxa"/>
            <w:vAlign w:val="bottom"/>
          </w:tcPr>
          <w:p>
            <w:pPr>
              <w:ind w:left="160"/>
              <w:spacing w:after="0"/>
              <w:rPr>
                <w:sz w:val="20"/>
                <w:szCs w:val="20"/>
                <w:color w:val="auto"/>
              </w:rPr>
            </w:pPr>
            <w:r>
              <w:rPr>
                <w:rFonts w:ascii="Arial" w:cs="Arial" w:eastAsia="Arial" w:hAnsi="Arial"/>
                <w:sz w:val="17"/>
                <w:szCs w:val="17"/>
                <w:color w:val="auto"/>
              </w:rPr>
              <w:t>ITEM 9B.</w:t>
            </w:r>
          </w:p>
        </w:tc>
        <w:tc>
          <w:tcPr>
            <w:tcW w:w="7540" w:type="dxa"/>
            <w:vAlign w:val="bottom"/>
            <w:gridSpan w:val="24"/>
          </w:tcPr>
          <w:p>
            <w:pPr>
              <w:spacing w:after="0"/>
              <w:rPr>
                <w:rFonts w:ascii="Arial" w:cs="Arial" w:eastAsia="Arial" w:hAnsi="Arial"/>
                <w:sz w:val="17"/>
                <w:szCs w:val="17"/>
                <w:color w:val="0000FF"/>
              </w:rPr>
            </w:pPr>
            <w:hyperlink w:anchor="page90">
              <w:r>
                <w:rPr>
                  <w:rFonts w:ascii="Arial" w:cs="Arial" w:eastAsia="Arial" w:hAnsi="Arial"/>
                  <w:sz w:val="17"/>
                  <w:szCs w:val="17"/>
                  <w:color w:val="0000FF"/>
                </w:rPr>
                <w:t>Other Information</w:t>
              </w:r>
            </w:hyperlink>
          </w:p>
        </w:tc>
        <w:tc>
          <w:tcPr>
            <w:tcW w:w="480" w:type="dxa"/>
            <w:vAlign w:val="bottom"/>
            <w:gridSpan w:val="2"/>
          </w:tcPr>
          <w:p>
            <w:pPr>
              <w:jc w:val="center"/>
              <w:ind w:left="213"/>
              <w:spacing w:after="0"/>
              <w:rPr>
                <w:rFonts w:ascii="Arial" w:cs="Arial" w:eastAsia="Arial" w:hAnsi="Arial"/>
                <w:sz w:val="17"/>
                <w:szCs w:val="17"/>
                <w:color w:val="0000FF"/>
                <w:w w:val="94"/>
              </w:rPr>
            </w:pPr>
            <w:hyperlink w:anchor="page90">
              <w:r>
                <w:rPr>
                  <w:rFonts w:ascii="Arial" w:cs="Arial" w:eastAsia="Arial" w:hAnsi="Arial"/>
                  <w:sz w:val="17"/>
                  <w:szCs w:val="17"/>
                  <w:color w:val="0000FF"/>
                  <w:w w:val="94"/>
                </w:rPr>
                <w:t>87</w:t>
              </w:r>
            </w:hyperlink>
          </w:p>
        </w:tc>
        <w:tc>
          <w:tcPr>
            <w:tcW w:w="300" w:type="dxa"/>
            <w:vAlign w:val="bottom"/>
          </w:tcPr>
          <w:p>
            <w:pPr>
              <w:spacing w:after="0"/>
              <w:rPr>
                <w:sz w:val="16"/>
                <w:szCs w:val="16"/>
                <w:color w:val="auto"/>
              </w:rPr>
            </w:pPr>
          </w:p>
        </w:tc>
      </w:tr>
      <w:tr>
        <w:trPr>
          <w:trHeight w:val="45"/>
        </w:trPr>
        <w:tc>
          <w:tcPr>
            <w:tcW w:w="14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313"/>
        </w:trPr>
        <w:tc>
          <w:tcPr>
            <w:tcW w:w="1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r>
      <w:tr>
        <w:trPr>
          <w:trHeight w:val="234"/>
        </w:trPr>
        <w:tc>
          <w:tcPr>
            <w:tcW w:w="1400" w:type="dxa"/>
            <w:vAlign w:val="bottom"/>
          </w:tcPr>
          <w:p>
            <w:pPr>
              <w:ind w:left="20"/>
              <w:spacing w:after="0"/>
              <w:rPr>
                <w:sz w:val="20"/>
                <w:szCs w:val="20"/>
                <w:color w:val="auto"/>
              </w:rPr>
            </w:pPr>
            <w:r>
              <w:rPr>
                <w:rFonts w:ascii="Arial" w:cs="Arial" w:eastAsia="Arial" w:hAnsi="Arial"/>
                <w:sz w:val="17"/>
                <w:szCs w:val="17"/>
                <w:b w:val="1"/>
                <w:bCs w:val="1"/>
                <w:color w:val="auto"/>
              </w:rPr>
              <w:t>PART III</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6"/>
        </w:trPr>
        <w:tc>
          <w:tcPr>
            <w:tcW w:w="1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0"/>
        </w:trPr>
        <w:tc>
          <w:tcPr>
            <w:tcW w:w="1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ITEM 10.</w:t>
            </w:r>
          </w:p>
        </w:tc>
        <w:tc>
          <w:tcPr>
            <w:tcW w:w="3940" w:type="dxa"/>
            <w:vAlign w:val="bottom"/>
            <w:tcBorders>
              <w:bottom w:val="single" w:sz="8" w:color="0000FF"/>
            </w:tcBorders>
            <w:gridSpan w:val="16"/>
            <w:shd w:val="clear" w:color="auto" w:fill="CCEEFF"/>
          </w:tcPr>
          <w:p>
            <w:pPr>
              <w:spacing w:after="0"/>
              <w:rPr>
                <w:rFonts w:ascii="Arial" w:cs="Arial" w:eastAsia="Arial" w:hAnsi="Arial"/>
                <w:sz w:val="17"/>
                <w:szCs w:val="17"/>
                <w:color w:val="0000FF"/>
                <w:w w:val="92"/>
              </w:rPr>
            </w:pPr>
            <w:hyperlink w:anchor="page90">
              <w:r>
                <w:rPr>
                  <w:rFonts w:ascii="Arial" w:cs="Arial" w:eastAsia="Arial" w:hAnsi="Arial"/>
                  <w:sz w:val="17"/>
                  <w:szCs w:val="17"/>
                  <w:color w:val="0000FF"/>
                  <w:w w:val="92"/>
                </w:rPr>
                <w:t>Directors, Executive Officers and Corporate Governance</w:t>
              </w:r>
            </w:hyperlink>
          </w:p>
        </w:tc>
        <w:tc>
          <w:tcPr>
            <w:tcW w:w="3600" w:type="dxa"/>
            <w:vAlign w:val="bottom"/>
            <w:tcBorders>
              <w:bottom w:val="single" w:sz="8" w:color="CCEEFF"/>
            </w:tcBorders>
            <w:gridSpan w:val="8"/>
            <w:shd w:val="clear" w:color="auto" w:fill="CCEEFF"/>
          </w:tcPr>
          <w:p>
            <w:pPr>
              <w:spacing w:after="0"/>
              <w:rPr>
                <w:sz w:val="20"/>
                <w:szCs w:val="20"/>
                <w:color w:val="auto"/>
              </w:rPr>
            </w:pP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0000FF"/>
              <w:right w:val="single" w:sz="8" w:color="CCEEFF"/>
            </w:tcBorders>
            <w:shd w:val="clear" w:color="auto" w:fill="CCEEFF"/>
          </w:tcPr>
          <w:p>
            <w:pPr>
              <w:jc w:val="center"/>
              <w:spacing w:after="0"/>
              <w:rPr>
                <w:rFonts w:ascii="Arial" w:cs="Arial" w:eastAsia="Arial" w:hAnsi="Arial"/>
                <w:sz w:val="17"/>
                <w:szCs w:val="17"/>
                <w:color w:val="0000FF"/>
                <w:w w:val="73"/>
              </w:rPr>
            </w:pPr>
            <w:hyperlink w:anchor="page90">
              <w:r>
                <w:rPr>
                  <w:rFonts w:ascii="Arial" w:cs="Arial" w:eastAsia="Arial" w:hAnsi="Arial"/>
                  <w:sz w:val="17"/>
                  <w:szCs w:val="17"/>
                  <w:color w:val="0000FF"/>
                  <w:w w:val="73"/>
                </w:rPr>
                <w:t>87</w:t>
              </w:r>
            </w:hyperlink>
          </w:p>
        </w:tc>
        <w:tc>
          <w:tcPr>
            <w:tcW w:w="300" w:type="dxa"/>
            <w:vAlign w:val="bottom"/>
            <w:tcBorders>
              <w:bottom w:val="single" w:sz="8" w:color="CCEEFF"/>
            </w:tcBorders>
            <w:shd w:val="clear" w:color="auto" w:fill="CCEEFF"/>
          </w:tcPr>
          <w:p>
            <w:pPr>
              <w:spacing w:after="0"/>
              <w:rPr>
                <w:sz w:val="20"/>
                <w:szCs w:val="20"/>
                <w:color w:val="auto"/>
              </w:rPr>
            </w:pPr>
          </w:p>
        </w:tc>
      </w:tr>
      <w:tr>
        <w:trPr>
          <w:trHeight w:val="195"/>
        </w:trPr>
        <w:tc>
          <w:tcPr>
            <w:tcW w:w="1400" w:type="dxa"/>
            <w:vAlign w:val="bottom"/>
          </w:tcPr>
          <w:p>
            <w:pPr>
              <w:ind w:left="160"/>
              <w:spacing w:after="0"/>
              <w:rPr>
                <w:sz w:val="20"/>
                <w:szCs w:val="20"/>
                <w:color w:val="auto"/>
              </w:rPr>
            </w:pPr>
            <w:r>
              <w:rPr>
                <w:rFonts w:ascii="Arial" w:cs="Arial" w:eastAsia="Arial" w:hAnsi="Arial"/>
                <w:sz w:val="17"/>
                <w:szCs w:val="17"/>
                <w:color w:val="auto"/>
              </w:rPr>
              <w:t>ITEM 11.</w:t>
            </w:r>
          </w:p>
        </w:tc>
        <w:tc>
          <w:tcPr>
            <w:tcW w:w="7540" w:type="dxa"/>
            <w:vAlign w:val="bottom"/>
            <w:gridSpan w:val="24"/>
          </w:tcPr>
          <w:p>
            <w:pPr>
              <w:spacing w:after="0"/>
              <w:rPr>
                <w:rFonts w:ascii="Arial" w:cs="Arial" w:eastAsia="Arial" w:hAnsi="Arial"/>
                <w:sz w:val="17"/>
                <w:szCs w:val="17"/>
                <w:color w:val="0000FF"/>
              </w:rPr>
            </w:pPr>
            <w:hyperlink w:anchor="page90">
              <w:r>
                <w:rPr>
                  <w:rFonts w:ascii="Arial" w:cs="Arial" w:eastAsia="Arial" w:hAnsi="Arial"/>
                  <w:sz w:val="17"/>
                  <w:szCs w:val="17"/>
                  <w:color w:val="0000FF"/>
                </w:rPr>
                <w:t>Executive Compensation</w:t>
              </w:r>
            </w:hyperlink>
          </w:p>
        </w:tc>
        <w:tc>
          <w:tcPr>
            <w:tcW w:w="480" w:type="dxa"/>
            <w:vAlign w:val="bottom"/>
            <w:gridSpan w:val="2"/>
          </w:tcPr>
          <w:p>
            <w:pPr>
              <w:jc w:val="center"/>
              <w:ind w:left="213"/>
              <w:spacing w:after="0"/>
              <w:rPr>
                <w:rFonts w:ascii="Arial" w:cs="Arial" w:eastAsia="Arial" w:hAnsi="Arial"/>
                <w:sz w:val="17"/>
                <w:szCs w:val="17"/>
                <w:color w:val="0000FF"/>
                <w:w w:val="94"/>
              </w:rPr>
            </w:pPr>
            <w:hyperlink w:anchor="page90">
              <w:r>
                <w:rPr>
                  <w:rFonts w:ascii="Arial" w:cs="Arial" w:eastAsia="Arial" w:hAnsi="Arial"/>
                  <w:sz w:val="17"/>
                  <w:szCs w:val="17"/>
                  <w:color w:val="0000FF"/>
                  <w:w w:val="94"/>
                </w:rPr>
                <w:t>87</w:t>
              </w:r>
            </w:hyperlink>
          </w:p>
        </w:tc>
        <w:tc>
          <w:tcPr>
            <w:tcW w:w="300" w:type="dxa"/>
            <w:vAlign w:val="bottom"/>
          </w:tcPr>
          <w:p>
            <w:pPr>
              <w:spacing w:after="0"/>
              <w:rPr>
                <w:sz w:val="16"/>
                <w:szCs w:val="16"/>
                <w:color w:val="auto"/>
              </w:rPr>
            </w:pPr>
          </w:p>
        </w:tc>
      </w:tr>
      <w:tr>
        <w:trPr>
          <w:trHeight w:val="45"/>
        </w:trPr>
        <w:tc>
          <w:tcPr>
            <w:tcW w:w="14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40"/>
        </w:trPr>
        <w:tc>
          <w:tcPr>
            <w:tcW w:w="1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12.</w:t>
            </w:r>
          </w:p>
        </w:tc>
        <w:tc>
          <w:tcPr>
            <w:tcW w:w="7540" w:type="dxa"/>
            <w:vAlign w:val="bottom"/>
            <w:gridSpan w:val="24"/>
            <w:shd w:val="clear" w:color="auto" w:fill="CCEEFF"/>
          </w:tcPr>
          <w:p>
            <w:pPr>
              <w:spacing w:after="0"/>
              <w:rPr>
                <w:rFonts w:ascii="Arial" w:cs="Arial" w:eastAsia="Arial" w:hAnsi="Arial"/>
                <w:sz w:val="17"/>
                <w:szCs w:val="17"/>
                <w:color w:val="0000FF"/>
                <w:w w:val="99"/>
              </w:rPr>
            </w:pPr>
            <w:hyperlink w:anchor="page91">
              <w:r>
                <w:rPr>
                  <w:rFonts w:ascii="Arial" w:cs="Arial" w:eastAsia="Arial" w:hAnsi="Arial"/>
                  <w:sz w:val="17"/>
                  <w:szCs w:val="17"/>
                  <w:color w:val="0000FF"/>
                  <w:w w:val="99"/>
                </w:rPr>
                <w:t>Security Ownership of Certain Beneficial Owners and Management and Related Stockholder Matters</w:t>
              </w:r>
            </w:hyperlink>
          </w:p>
        </w:tc>
        <w:tc>
          <w:tcPr>
            <w:tcW w:w="480" w:type="dxa"/>
            <w:vAlign w:val="bottom"/>
            <w:tcBorders>
              <w:right w:val="single" w:sz="8" w:color="CCEEFF"/>
            </w:tcBorders>
            <w:gridSpan w:val="2"/>
            <w:shd w:val="clear" w:color="auto" w:fill="CCEEFF"/>
          </w:tcPr>
          <w:p>
            <w:pPr>
              <w:jc w:val="center"/>
              <w:ind w:left="213"/>
              <w:spacing w:after="0"/>
              <w:rPr>
                <w:rFonts w:ascii="Arial" w:cs="Arial" w:eastAsia="Arial" w:hAnsi="Arial"/>
                <w:sz w:val="17"/>
                <w:szCs w:val="17"/>
                <w:color w:val="0000FF"/>
                <w:w w:val="94"/>
              </w:rPr>
            </w:pPr>
            <w:hyperlink w:anchor="page91">
              <w:r>
                <w:rPr>
                  <w:rFonts w:ascii="Arial" w:cs="Arial" w:eastAsia="Arial" w:hAnsi="Arial"/>
                  <w:sz w:val="17"/>
                  <w:szCs w:val="17"/>
                  <w:color w:val="0000FF"/>
                  <w:w w:val="94"/>
                </w:rPr>
                <w:t>88</w:t>
              </w:r>
            </w:hyperlink>
          </w:p>
        </w:tc>
        <w:tc>
          <w:tcPr>
            <w:tcW w:w="300" w:type="dxa"/>
            <w:vAlign w:val="bottom"/>
            <w:shd w:val="clear" w:color="auto" w:fill="CCEEFF"/>
          </w:tcPr>
          <w:p>
            <w:pPr>
              <w:spacing w:after="0"/>
              <w:rPr>
                <w:sz w:val="20"/>
                <w:szCs w:val="20"/>
                <w:color w:val="auto"/>
              </w:rPr>
            </w:pPr>
          </w:p>
        </w:tc>
      </w:tr>
      <w:tr>
        <w:trPr>
          <w:trHeight w:val="195"/>
        </w:trPr>
        <w:tc>
          <w:tcPr>
            <w:tcW w:w="1400" w:type="dxa"/>
            <w:vAlign w:val="bottom"/>
            <w:tcBorders>
              <w:top w:val="single" w:sz="8" w:color="CCEEFF"/>
            </w:tcBorders>
          </w:tcPr>
          <w:p>
            <w:pPr>
              <w:ind w:left="160"/>
              <w:spacing w:after="0"/>
              <w:rPr>
                <w:sz w:val="20"/>
                <w:szCs w:val="20"/>
                <w:color w:val="auto"/>
              </w:rPr>
            </w:pPr>
            <w:r>
              <w:rPr>
                <w:rFonts w:ascii="Arial" w:cs="Arial" w:eastAsia="Arial" w:hAnsi="Arial"/>
                <w:sz w:val="17"/>
                <w:szCs w:val="17"/>
                <w:color w:val="auto"/>
              </w:rPr>
              <w:t>ITEM 13.</w:t>
            </w:r>
          </w:p>
        </w:tc>
        <w:tc>
          <w:tcPr>
            <w:tcW w:w="7020" w:type="dxa"/>
            <w:vAlign w:val="bottom"/>
            <w:tcBorders>
              <w:top w:val="single" w:sz="8" w:color="0000FF"/>
            </w:tcBorders>
            <w:gridSpan w:val="22"/>
          </w:tcPr>
          <w:p>
            <w:pPr>
              <w:spacing w:after="0"/>
              <w:rPr>
                <w:rFonts w:ascii="Arial" w:cs="Arial" w:eastAsia="Arial" w:hAnsi="Arial"/>
                <w:sz w:val="17"/>
                <w:szCs w:val="17"/>
                <w:color w:val="0000FF"/>
              </w:rPr>
            </w:pPr>
            <w:hyperlink w:anchor="page91">
              <w:r>
                <w:rPr>
                  <w:rFonts w:ascii="Arial" w:cs="Arial" w:eastAsia="Arial" w:hAnsi="Arial"/>
                  <w:sz w:val="17"/>
                  <w:szCs w:val="17"/>
                  <w:color w:val="0000FF"/>
                </w:rPr>
                <w:t>Certain Relationships and Related Transactions, and Director Independence</w:t>
              </w:r>
            </w:hyperlink>
          </w:p>
        </w:tc>
        <w:tc>
          <w:tcPr>
            <w:tcW w:w="520" w:type="dxa"/>
            <w:vAlign w:val="bottom"/>
            <w:tcBorders>
              <w:top w:val="single" w:sz="8" w:color="CCEEFF"/>
            </w:tcBorders>
            <w:gridSpan w:val="2"/>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0000FF"/>
            </w:tcBorders>
          </w:tcPr>
          <w:p>
            <w:pPr>
              <w:jc w:val="center"/>
              <w:spacing w:after="0"/>
              <w:rPr>
                <w:rFonts w:ascii="Arial" w:cs="Arial" w:eastAsia="Arial" w:hAnsi="Arial"/>
                <w:sz w:val="17"/>
                <w:szCs w:val="17"/>
                <w:color w:val="0000FF"/>
                <w:w w:val="73"/>
              </w:rPr>
            </w:pPr>
            <w:hyperlink w:anchor="page91">
              <w:r>
                <w:rPr>
                  <w:rFonts w:ascii="Arial" w:cs="Arial" w:eastAsia="Arial" w:hAnsi="Arial"/>
                  <w:sz w:val="17"/>
                  <w:szCs w:val="17"/>
                  <w:color w:val="0000FF"/>
                  <w:w w:val="73"/>
                </w:rPr>
                <w:t>88</w:t>
              </w:r>
            </w:hyperlink>
          </w:p>
        </w:tc>
        <w:tc>
          <w:tcPr>
            <w:tcW w:w="300" w:type="dxa"/>
            <w:vAlign w:val="bottom"/>
            <w:tcBorders>
              <w:top w:val="single" w:sz="8" w:color="CCEEFF"/>
            </w:tcBorders>
          </w:tcPr>
          <w:p>
            <w:pPr>
              <w:spacing w:after="0"/>
              <w:rPr>
                <w:sz w:val="16"/>
                <w:szCs w:val="16"/>
                <w:color w:val="auto"/>
              </w:rPr>
            </w:pPr>
          </w:p>
        </w:tc>
      </w:tr>
      <w:tr>
        <w:trPr>
          <w:trHeight w:val="45"/>
        </w:trPr>
        <w:tc>
          <w:tcPr>
            <w:tcW w:w="14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40"/>
        </w:trPr>
        <w:tc>
          <w:tcPr>
            <w:tcW w:w="1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14.</w:t>
            </w:r>
          </w:p>
        </w:tc>
        <w:tc>
          <w:tcPr>
            <w:tcW w:w="7540" w:type="dxa"/>
            <w:vAlign w:val="bottom"/>
            <w:gridSpan w:val="24"/>
            <w:shd w:val="clear" w:color="auto" w:fill="CCEEFF"/>
          </w:tcPr>
          <w:p>
            <w:pPr>
              <w:spacing w:after="0"/>
              <w:rPr>
                <w:rFonts w:ascii="Arial" w:cs="Arial" w:eastAsia="Arial" w:hAnsi="Arial"/>
                <w:sz w:val="17"/>
                <w:szCs w:val="17"/>
                <w:color w:val="0000FF"/>
              </w:rPr>
            </w:pPr>
            <w:hyperlink w:anchor="page91">
              <w:r>
                <w:rPr>
                  <w:rFonts w:ascii="Arial" w:cs="Arial" w:eastAsia="Arial" w:hAnsi="Arial"/>
                  <w:sz w:val="17"/>
                  <w:szCs w:val="17"/>
                  <w:color w:val="0000FF"/>
                </w:rPr>
                <w:t>Principal Accounting Fees and Services</w:t>
              </w:r>
            </w:hyperlink>
          </w:p>
        </w:tc>
        <w:tc>
          <w:tcPr>
            <w:tcW w:w="480" w:type="dxa"/>
            <w:vAlign w:val="bottom"/>
            <w:tcBorders>
              <w:right w:val="single" w:sz="8" w:color="CCEEFF"/>
            </w:tcBorders>
            <w:gridSpan w:val="2"/>
            <w:shd w:val="clear" w:color="auto" w:fill="CCEEFF"/>
          </w:tcPr>
          <w:p>
            <w:pPr>
              <w:jc w:val="center"/>
              <w:ind w:left="213"/>
              <w:spacing w:after="0"/>
              <w:rPr>
                <w:rFonts w:ascii="Arial" w:cs="Arial" w:eastAsia="Arial" w:hAnsi="Arial"/>
                <w:sz w:val="17"/>
                <w:szCs w:val="17"/>
                <w:color w:val="0000FF"/>
                <w:w w:val="94"/>
              </w:rPr>
            </w:pPr>
            <w:hyperlink w:anchor="page91">
              <w:r>
                <w:rPr>
                  <w:rFonts w:ascii="Arial" w:cs="Arial" w:eastAsia="Arial" w:hAnsi="Arial"/>
                  <w:sz w:val="17"/>
                  <w:szCs w:val="17"/>
                  <w:color w:val="0000FF"/>
                  <w:w w:val="94"/>
                </w:rPr>
                <w:t>88</w:t>
              </w:r>
            </w:hyperlink>
          </w:p>
        </w:tc>
        <w:tc>
          <w:tcPr>
            <w:tcW w:w="300" w:type="dxa"/>
            <w:vAlign w:val="bottom"/>
            <w:shd w:val="clear" w:color="auto" w:fill="CCEEFF"/>
          </w:tcPr>
          <w:p>
            <w:pPr>
              <w:spacing w:after="0"/>
              <w:rPr>
                <w:sz w:val="20"/>
                <w:szCs w:val="20"/>
                <w:color w:val="auto"/>
              </w:rPr>
            </w:pPr>
          </w:p>
        </w:tc>
      </w:tr>
      <w:tr>
        <w:trPr>
          <w:trHeight w:val="326"/>
        </w:trPr>
        <w:tc>
          <w:tcPr>
            <w:tcW w:w="1400" w:type="dxa"/>
            <w:vAlign w:val="bottom"/>
            <w:tcBorders>
              <w:top w:val="single" w:sz="8" w:color="CCEE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r>
        <w:trPr>
          <w:trHeight w:val="240"/>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PART IV</w:t>
            </w: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r>
      <w:tr>
        <w:trPr>
          <w:trHeight w:val="195"/>
        </w:trPr>
        <w:tc>
          <w:tcPr>
            <w:tcW w:w="1400" w:type="dxa"/>
            <w:vAlign w:val="bottom"/>
          </w:tcPr>
          <w:p>
            <w:pPr>
              <w:ind w:left="160"/>
              <w:spacing w:after="0"/>
              <w:rPr>
                <w:sz w:val="20"/>
                <w:szCs w:val="20"/>
                <w:color w:val="auto"/>
              </w:rPr>
            </w:pPr>
            <w:r>
              <w:rPr>
                <w:rFonts w:ascii="Arial" w:cs="Arial" w:eastAsia="Arial" w:hAnsi="Arial"/>
                <w:sz w:val="17"/>
                <w:szCs w:val="17"/>
                <w:color w:val="auto"/>
              </w:rPr>
              <w:t>ITEM 15.</w:t>
            </w:r>
          </w:p>
        </w:tc>
        <w:tc>
          <w:tcPr>
            <w:tcW w:w="7540" w:type="dxa"/>
            <w:vAlign w:val="bottom"/>
            <w:gridSpan w:val="24"/>
          </w:tcPr>
          <w:p>
            <w:pPr>
              <w:spacing w:after="0"/>
              <w:rPr>
                <w:rFonts w:ascii="Arial" w:cs="Arial" w:eastAsia="Arial" w:hAnsi="Arial"/>
                <w:sz w:val="17"/>
                <w:szCs w:val="17"/>
                <w:color w:val="0000FF"/>
              </w:rPr>
            </w:pPr>
            <w:hyperlink w:anchor="page91">
              <w:r>
                <w:rPr>
                  <w:rFonts w:ascii="Arial" w:cs="Arial" w:eastAsia="Arial" w:hAnsi="Arial"/>
                  <w:sz w:val="17"/>
                  <w:szCs w:val="17"/>
                  <w:color w:val="0000FF"/>
                </w:rPr>
                <w:t>Exhibits and Financial Statement Schedules</w:t>
              </w:r>
            </w:hyperlink>
          </w:p>
        </w:tc>
        <w:tc>
          <w:tcPr>
            <w:tcW w:w="480" w:type="dxa"/>
            <w:vAlign w:val="bottom"/>
            <w:gridSpan w:val="2"/>
          </w:tcPr>
          <w:p>
            <w:pPr>
              <w:jc w:val="center"/>
              <w:ind w:left="213"/>
              <w:spacing w:after="0"/>
              <w:rPr>
                <w:rFonts w:ascii="Arial" w:cs="Arial" w:eastAsia="Arial" w:hAnsi="Arial"/>
                <w:sz w:val="17"/>
                <w:szCs w:val="17"/>
                <w:color w:val="0000FF"/>
                <w:w w:val="94"/>
              </w:rPr>
            </w:pPr>
            <w:hyperlink w:anchor="page91">
              <w:r>
                <w:rPr>
                  <w:rFonts w:ascii="Arial" w:cs="Arial" w:eastAsia="Arial" w:hAnsi="Arial"/>
                  <w:sz w:val="17"/>
                  <w:szCs w:val="17"/>
                  <w:color w:val="0000FF"/>
                  <w:w w:val="94"/>
                </w:rPr>
                <w:t>88</w:t>
              </w:r>
            </w:hyperlink>
          </w:p>
        </w:tc>
        <w:tc>
          <w:tcPr>
            <w:tcW w:w="300" w:type="dxa"/>
            <w:vAlign w:val="bottom"/>
          </w:tcPr>
          <w:p>
            <w:pPr>
              <w:spacing w:after="0"/>
              <w:rPr>
                <w:sz w:val="16"/>
                <w:szCs w:val="16"/>
                <w:color w:val="auto"/>
              </w:rPr>
            </w:pPr>
          </w:p>
        </w:tc>
      </w:tr>
      <w:tr>
        <w:trPr>
          <w:trHeight w:val="45"/>
        </w:trPr>
        <w:tc>
          <w:tcPr>
            <w:tcW w:w="14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40"/>
        </w:trPr>
        <w:tc>
          <w:tcPr>
            <w:tcW w:w="1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ITEM 16.</w:t>
            </w:r>
          </w:p>
        </w:tc>
        <w:tc>
          <w:tcPr>
            <w:tcW w:w="7540" w:type="dxa"/>
            <w:vAlign w:val="bottom"/>
            <w:gridSpan w:val="24"/>
            <w:shd w:val="clear" w:color="auto" w:fill="CCEEFF"/>
          </w:tcPr>
          <w:p>
            <w:pPr>
              <w:spacing w:after="0"/>
              <w:rPr>
                <w:rFonts w:ascii="Arial" w:cs="Arial" w:eastAsia="Arial" w:hAnsi="Arial"/>
                <w:sz w:val="17"/>
                <w:szCs w:val="17"/>
                <w:color w:val="0000EE"/>
              </w:rPr>
            </w:pPr>
            <w:hyperlink w:anchor="page95">
              <w:r>
                <w:rPr>
                  <w:rFonts w:ascii="Arial" w:cs="Arial" w:eastAsia="Arial" w:hAnsi="Arial"/>
                  <w:sz w:val="17"/>
                  <w:szCs w:val="17"/>
                  <w:color w:val="0000EE"/>
                </w:rPr>
                <w:t>Form 10-K Summary</w:t>
              </w:r>
            </w:hyperlink>
          </w:p>
        </w:tc>
        <w:tc>
          <w:tcPr>
            <w:tcW w:w="480" w:type="dxa"/>
            <w:vAlign w:val="bottom"/>
            <w:tcBorders>
              <w:right w:val="single" w:sz="8" w:color="CCEEFF"/>
            </w:tcBorders>
            <w:gridSpan w:val="2"/>
            <w:shd w:val="clear" w:color="auto" w:fill="CCEEFF"/>
          </w:tcPr>
          <w:p>
            <w:pPr>
              <w:jc w:val="center"/>
              <w:ind w:left="213"/>
              <w:spacing w:after="0"/>
              <w:rPr>
                <w:rFonts w:ascii="Arial" w:cs="Arial" w:eastAsia="Arial" w:hAnsi="Arial"/>
                <w:sz w:val="17"/>
                <w:szCs w:val="17"/>
                <w:color w:val="0000EE"/>
                <w:w w:val="94"/>
              </w:rPr>
            </w:pPr>
            <w:hyperlink w:anchor="page95">
              <w:r>
                <w:rPr>
                  <w:rFonts w:ascii="Arial" w:cs="Arial" w:eastAsia="Arial" w:hAnsi="Arial"/>
                  <w:sz w:val="17"/>
                  <w:szCs w:val="17"/>
                  <w:color w:val="0000EE"/>
                  <w:w w:val="94"/>
                </w:rPr>
                <w:t>92</w:t>
              </w:r>
            </w:hyperlink>
          </w:p>
        </w:tc>
        <w:tc>
          <w:tcPr>
            <w:tcW w:w="300" w:type="dxa"/>
            <w:vAlign w:val="bottom"/>
            <w:shd w:val="clear" w:color="auto" w:fill="CCEEFF"/>
          </w:tcPr>
          <w:p>
            <w:pPr>
              <w:spacing w:after="0"/>
              <w:rPr>
                <w:sz w:val="20"/>
                <w:szCs w:val="20"/>
                <w:color w:val="auto"/>
              </w:rPr>
            </w:pPr>
          </w:p>
        </w:tc>
      </w:tr>
      <w:tr>
        <w:trPr>
          <w:trHeight w:val="313"/>
        </w:trPr>
        <w:tc>
          <w:tcPr>
            <w:tcW w:w="14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r>
        <w:trPr>
          <w:trHeight w:val="240"/>
        </w:trPr>
        <w:tc>
          <w:tcPr>
            <w:tcW w:w="1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0000FF"/>
            </w:tcBorders>
            <w:gridSpan w:val="5"/>
            <w:shd w:val="clear" w:color="auto" w:fill="CCEEFF"/>
          </w:tcPr>
          <w:p>
            <w:pPr>
              <w:spacing w:after="0"/>
              <w:rPr>
                <w:rFonts w:ascii="Arial" w:cs="Arial" w:eastAsia="Arial" w:hAnsi="Arial"/>
                <w:sz w:val="17"/>
                <w:szCs w:val="17"/>
                <w:color w:val="0000FF"/>
                <w:w w:val="94"/>
              </w:rPr>
            </w:pPr>
            <w:hyperlink w:anchor="page96">
              <w:r>
                <w:rPr>
                  <w:rFonts w:ascii="Arial" w:cs="Arial" w:eastAsia="Arial" w:hAnsi="Arial"/>
                  <w:sz w:val="17"/>
                  <w:szCs w:val="17"/>
                  <w:color w:val="0000FF"/>
                  <w:w w:val="94"/>
                </w:rPr>
                <w:t>SIGNATURES</w:t>
              </w:r>
            </w:hyperlink>
          </w:p>
        </w:tc>
        <w:tc>
          <w:tcPr>
            <w:tcW w:w="6480" w:type="dxa"/>
            <w:vAlign w:val="bottom"/>
            <w:tcBorders>
              <w:bottom w:val="single" w:sz="8" w:color="CCEEFF"/>
            </w:tcBorders>
            <w:gridSpan w:val="19"/>
            <w:shd w:val="clear" w:color="auto" w:fill="CCEEFF"/>
          </w:tcPr>
          <w:p>
            <w:pPr>
              <w:spacing w:after="0"/>
              <w:rPr>
                <w:sz w:val="20"/>
                <w:szCs w:val="20"/>
                <w:color w:val="auto"/>
              </w:rPr>
            </w:pP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0000EE"/>
              <w:right w:val="single" w:sz="8" w:color="CCEEFF"/>
            </w:tcBorders>
            <w:shd w:val="clear" w:color="auto" w:fill="CCEEFF"/>
          </w:tcPr>
          <w:p>
            <w:pPr>
              <w:jc w:val="center"/>
              <w:spacing w:after="0"/>
              <w:rPr>
                <w:rFonts w:ascii="Arial" w:cs="Arial" w:eastAsia="Arial" w:hAnsi="Arial"/>
                <w:sz w:val="17"/>
                <w:szCs w:val="17"/>
                <w:color w:val="0000EE"/>
                <w:w w:val="73"/>
              </w:rPr>
            </w:pPr>
            <w:hyperlink w:anchor="page96">
              <w:r>
                <w:rPr>
                  <w:rFonts w:ascii="Arial" w:cs="Arial" w:eastAsia="Arial" w:hAnsi="Arial"/>
                  <w:sz w:val="17"/>
                  <w:szCs w:val="17"/>
                  <w:color w:val="0000EE"/>
                  <w:w w:val="73"/>
                </w:rPr>
                <w:t>93</w:t>
              </w:r>
            </w:hyperlink>
          </w:p>
        </w:tc>
        <w:tc>
          <w:tcPr>
            <w:tcW w:w="300" w:type="dxa"/>
            <w:vAlign w:val="bottom"/>
            <w:tcBorders>
              <w:bottom w:val="single" w:sz="8" w:color="CCEEFF"/>
            </w:tcBorders>
            <w:shd w:val="clear" w:color="auto" w:fill="CCEEFF"/>
          </w:tcPr>
          <w:p>
            <w:pPr>
              <w:spacing w:after="0"/>
              <w:rPr>
                <w:sz w:val="20"/>
                <w:szCs w:val="20"/>
                <w:color w:val="auto"/>
              </w:rPr>
            </w:pPr>
          </w:p>
        </w:tc>
      </w:tr>
      <w:tr>
        <w:trPr>
          <w:trHeight w:val="195"/>
        </w:trPr>
        <w:tc>
          <w:tcPr>
            <w:tcW w:w="1400" w:type="dxa"/>
            <w:vAlign w:val="bottom"/>
          </w:tcPr>
          <w:p>
            <w:pPr>
              <w:spacing w:after="0"/>
              <w:rPr>
                <w:sz w:val="16"/>
                <w:szCs w:val="16"/>
                <w:color w:val="auto"/>
              </w:rPr>
            </w:pPr>
          </w:p>
        </w:tc>
        <w:tc>
          <w:tcPr>
            <w:tcW w:w="7540" w:type="dxa"/>
            <w:vAlign w:val="bottom"/>
            <w:gridSpan w:val="24"/>
          </w:tcPr>
          <w:p>
            <w:pPr>
              <w:spacing w:after="0"/>
              <w:rPr>
                <w:rFonts w:ascii="Arial" w:cs="Arial" w:eastAsia="Arial" w:hAnsi="Arial"/>
                <w:sz w:val="17"/>
                <w:szCs w:val="17"/>
                <w:color w:val="0000FF"/>
              </w:rPr>
            </w:pPr>
            <w:hyperlink w:anchor="page98">
              <w:r>
                <w:rPr>
                  <w:rFonts w:ascii="Arial" w:cs="Arial" w:eastAsia="Arial" w:hAnsi="Arial"/>
                  <w:sz w:val="17"/>
                  <w:szCs w:val="17"/>
                  <w:color w:val="0000FF"/>
                </w:rPr>
                <w:t>SCHEDULE II - VALUATION AND QUALIFYING ACCOUNTS AND RESERVES</w:t>
              </w:r>
            </w:hyperlink>
          </w:p>
        </w:tc>
        <w:tc>
          <w:tcPr>
            <w:tcW w:w="480" w:type="dxa"/>
            <w:vAlign w:val="bottom"/>
            <w:gridSpan w:val="2"/>
          </w:tcPr>
          <w:p>
            <w:pPr>
              <w:jc w:val="center"/>
              <w:ind w:left="213"/>
              <w:spacing w:after="0"/>
              <w:rPr>
                <w:rFonts w:ascii="Arial" w:cs="Arial" w:eastAsia="Arial" w:hAnsi="Arial"/>
                <w:sz w:val="17"/>
                <w:szCs w:val="17"/>
                <w:color w:val="0000EE"/>
                <w:w w:val="94"/>
              </w:rPr>
            </w:pPr>
            <w:hyperlink w:anchor="page98">
              <w:r>
                <w:rPr>
                  <w:rFonts w:ascii="Arial" w:cs="Arial" w:eastAsia="Arial" w:hAnsi="Arial"/>
                  <w:sz w:val="17"/>
                  <w:szCs w:val="17"/>
                  <w:color w:val="0000EE"/>
                  <w:w w:val="94"/>
                </w:rPr>
                <w:t>95</w:t>
              </w:r>
            </w:hyperlink>
          </w:p>
        </w:tc>
        <w:tc>
          <w:tcPr>
            <w:tcW w:w="300" w:type="dxa"/>
            <w:vAlign w:val="bottom"/>
          </w:tcPr>
          <w:p>
            <w:pPr>
              <w:spacing w:after="0"/>
              <w:rPr>
                <w:sz w:val="16"/>
                <w:szCs w:val="16"/>
                <w:color w:val="auto"/>
              </w:rPr>
            </w:pPr>
          </w:p>
        </w:tc>
      </w:tr>
      <w:tr>
        <w:trPr>
          <w:trHeight w:val="20"/>
        </w:trPr>
        <w:tc>
          <w:tcPr>
            <w:tcW w:w="1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9720"/>
          </w:cols>
          <w:pgMar w:left="1100" w:top="746" w:right="107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PART I</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207" w:lineRule="exact"/>
        <w:rPr>
          <w:sz w:val="20"/>
          <w:szCs w:val="20"/>
          <w:color w:val="auto"/>
        </w:rPr>
      </w:pPr>
    </w:p>
    <w:p>
      <w:pPr>
        <w:jc w:val="both"/>
        <w:ind w:firstLine="221"/>
        <w:spacing w:after="0" w:line="286" w:lineRule="auto"/>
        <w:rPr>
          <w:sz w:val="20"/>
          <w:szCs w:val="20"/>
          <w:color w:val="auto"/>
        </w:rPr>
      </w:pPr>
      <w:r>
        <w:rPr>
          <w:rFonts w:ascii="Arial" w:cs="Arial" w:eastAsia="Arial" w:hAnsi="Arial"/>
          <w:sz w:val="17"/>
          <w:szCs w:val="17"/>
          <w:color w:val="auto"/>
        </w:rPr>
        <w:t>References in this Annual Report on Form 10-K to “we,” “our,” “us,” “LII” or the “Company” refer to Lennox International Inc. and its subsidiaries, unless the context requires otherwise.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w:t>
      </w:r>
    </w:p>
    <w:p>
      <w:pPr>
        <w:spacing w:after="0" w:line="227"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We are a leading global provider of climate control solutions. We design, manufacture and market a broad range of products for the heating, ventilation, air conditioning and refrigeration (“HVACR”) markets. We have leveraged our expertise to become an industry leader known for innovation, quality and reliability. Our products and services are sold through multiple distribution channels under various brand names. The Company was founded in 1895, in Marshalltown, Iowa, by Dave Lennox, the owner of a machine repair business for railroads. He designed and patented a riveted steel coal-fired furnace, which led to numerous advancements in heating, cooling and climate control solutions.</w:t>
      </w:r>
    </w:p>
    <w:p>
      <w:pPr>
        <w:spacing w:after="0" w:line="179" w:lineRule="exact"/>
        <w:rPr>
          <w:sz w:val="20"/>
          <w:szCs w:val="20"/>
          <w:color w:val="auto"/>
        </w:rPr>
      </w:pPr>
    </w:p>
    <w:p>
      <w:pPr>
        <w:jc w:val="both"/>
        <w:ind w:firstLine="234"/>
        <w:spacing w:after="0" w:line="323" w:lineRule="auto"/>
        <w:rPr>
          <w:sz w:val="20"/>
          <w:szCs w:val="20"/>
          <w:color w:val="auto"/>
        </w:rPr>
      </w:pPr>
      <w:r>
        <w:rPr>
          <w:rFonts w:ascii="Arial" w:cs="Arial" w:eastAsia="Arial" w:hAnsi="Arial"/>
          <w:sz w:val="15"/>
          <w:szCs w:val="15"/>
          <w:color w:val="auto"/>
        </w:rPr>
        <w:t>Shown in the table below are our three business segments, the key products, services and well-known product and brand names within each segment and net sales in 2019 by segment. Segment financial data for 2019, 2018 and 2017, including financial information about foreign and domestic operations, is included in Note 3 of the Notes to our Consolidated Financial Statements in “Item 8. Financial Statements and Supplementary Data” and is incorporated herein by reference.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33"/>
              <w:spacing w:after="0"/>
              <w:rPr>
                <w:sz w:val="20"/>
                <w:szCs w:val="20"/>
                <w:color w:val="auto"/>
              </w:rPr>
            </w:pPr>
            <w:r>
              <w:rPr>
                <w:rFonts w:ascii="Arial" w:cs="Arial" w:eastAsia="Arial" w:hAnsi="Arial"/>
                <w:sz w:val="17"/>
                <w:szCs w:val="17"/>
                <w:b w:val="1"/>
                <w:bCs w:val="1"/>
                <w:color w:val="auto"/>
                <w:w w:val="89"/>
              </w:rPr>
              <w:t>2019</w:t>
            </w:r>
          </w:p>
        </w:tc>
      </w:tr>
      <w:tr>
        <w:trPr>
          <w:trHeight w:val="208"/>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3"/>
              <w:spacing w:after="0"/>
              <w:rPr>
                <w:sz w:val="20"/>
                <w:szCs w:val="20"/>
                <w:color w:val="auto"/>
              </w:rPr>
            </w:pPr>
            <w:r>
              <w:rPr>
                <w:rFonts w:ascii="Arial" w:cs="Arial" w:eastAsia="Arial" w:hAnsi="Arial"/>
                <w:sz w:val="17"/>
                <w:szCs w:val="17"/>
                <w:b w:val="1"/>
                <w:bCs w:val="1"/>
                <w:color w:val="auto"/>
                <w:w w:val="90"/>
              </w:rPr>
              <w:t>Net Sales (in</w:t>
            </w:r>
          </w:p>
        </w:tc>
      </w:tr>
      <w:tr>
        <w:trPr>
          <w:trHeight w:val="227"/>
        </w:trPr>
        <w:tc>
          <w:tcPr>
            <w:tcW w:w="2080" w:type="dxa"/>
            <w:vAlign w:val="bottom"/>
            <w:gridSpan w:val="2"/>
          </w:tcPr>
          <w:p>
            <w:pPr>
              <w:ind w:left="660"/>
              <w:spacing w:after="0"/>
              <w:rPr>
                <w:sz w:val="20"/>
                <w:szCs w:val="20"/>
                <w:color w:val="auto"/>
              </w:rPr>
            </w:pPr>
            <w:r>
              <w:rPr>
                <w:rFonts w:ascii="Arial" w:cs="Arial" w:eastAsia="Arial" w:hAnsi="Arial"/>
                <w:sz w:val="17"/>
                <w:szCs w:val="17"/>
                <w:b w:val="1"/>
                <w:bCs w:val="1"/>
                <w:color w:val="auto"/>
              </w:rPr>
              <w:t>Segment</w:t>
            </w:r>
          </w:p>
        </w:tc>
        <w:tc>
          <w:tcPr>
            <w:tcW w:w="3780" w:type="dxa"/>
            <w:vAlign w:val="bottom"/>
            <w:gridSpan w:val="2"/>
          </w:tcPr>
          <w:p>
            <w:pPr>
              <w:ind w:left="1080"/>
              <w:spacing w:after="0"/>
              <w:rPr>
                <w:sz w:val="20"/>
                <w:szCs w:val="20"/>
                <w:color w:val="auto"/>
              </w:rPr>
            </w:pPr>
            <w:r>
              <w:rPr>
                <w:rFonts w:ascii="Arial" w:cs="Arial" w:eastAsia="Arial" w:hAnsi="Arial"/>
                <w:sz w:val="17"/>
                <w:szCs w:val="17"/>
                <w:b w:val="1"/>
                <w:bCs w:val="1"/>
                <w:color w:val="auto"/>
              </w:rPr>
              <w:t>Products &amp; Services</w:t>
            </w:r>
          </w:p>
        </w:tc>
        <w:tc>
          <w:tcPr>
            <w:tcW w:w="4220" w:type="dxa"/>
            <w:vAlign w:val="bottom"/>
          </w:tcPr>
          <w:p>
            <w:pPr>
              <w:ind w:left="1120"/>
              <w:spacing w:after="0"/>
              <w:rPr>
                <w:sz w:val="20"/>
                <w:szCs w:val="20"/>
                <w:color w:val="auto"/>
              </w:rPr>
            </w:pPr>
            <w:r>
              <w:rPr>
                <w:rFonts w:ascii="Arial" w:cs="Arial" w:eastAsia="Arial" w:hAnsi="Arial"/>
                <w:sz w:val="17"/>
                <w:szCs w:val="17"/>
                <w:b w:val="1"/>
                <w:bCs w:val="1"/>
                <w:color w:val="auto"/>
              </w:rPr>
              <w:t>Product and Brand Names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3"/>
              <w:spacing w:after="0"/>
              <w:rPr>
                <w:sz w:val="20"/>
                <w:szCs w:val="20"/>
                <w:color w:val="auto"/>
              </w:rPr>
            </w:pPr>
            <w:r>
              <w:rPr>
                <w:rFonts w:ascii="Arial" w:cs="Arial" w:eastAsia="Arial" w:hAnsi="Arial"/>
                <w:sz w:val="17"/>
                <w:szCs w:val="17"/>
                <w:b w:val="1"/>
                <w:bCs w:val="1"/>
                <w:color w:val="auto"/>
                <w:w w:val="91"/>
              </w:rPr>
              <w:t>millions)</w:t>
            </w:r>
          </w:p>
        </w:tc>
      </w:tr>
      <w:tr>
        <w:trPr>
          <w:trHeight w:val="26"/>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5"/>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Residential Heating &amp;</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Furnaces, air conditioners, heat pumps, packaged</w:t>
            </w:r>
          </w:p>
        </w:tc>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Lennox, Dave Lennox Signature Collection, Armstrong</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2,291.1</w:t>
            </w:r>
          </w:p>
        </w:tc>
      </w:tr>
      <w:tr>
        <w:trPr>
          <w:trHeight w:val="20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Cooling</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heating and cooling systems, indoor air quality</w:t>
            </w:r>
          </w:p>
        </w:tc>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Air, Ducane, Air-Ease, Concord, Magic-Pak, ADP</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equipment, comfort control products, replacement</w:t>
            </w:r>
          </w:p>
        </w:tc>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Advanced Distributor Products, Allied, Healthy Climate,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parts and supplies</w:t>
            </w:r>
          </w:p>
        </w:tc>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Elite Series, Merit Series, Comfort Sync, iComfort and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1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Lennox Stores</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2"/>
        </w:trPr>
        <w:tc>
          <w:tcPr>
            <w:tcW w:w="2080" w:type="dxa"/>
            <w:vAlign w:val="bottom"/>
            <w:gridSpan w:val="2"/>
          </w:tcPr>
          <w:p>
            <w:pPr>
              <w:ind w:left="40"/>
              <w:spacing w:after="0"/>
              <w:rPr>
                <w:sz w:val="20"/>
                <w:szCs w:val="20"/>
                <w:color w:val="auto"/>
              </w:rPr>
            </w:pPr>
            <w:r>
              <w:rPr>
                <w:rFonts w:ascii="Arial" w:cs="Arial" w:eastAsia="Arial" w:hAnsi="Arial"/>
                <w:sz w:val="17"/>
                <w:szCs w:val="17"/>
                <w:color w:val="auto"/>
              </w:rPr>
              <w:t>Commercial Heating &amp;</w:t>
            </w:r>
          </w:p>
        </w:tc>
        <w:tc>
          <w:tcPr>
            <w:tcW w:w="3780" w:type="dxa"/>
            <w:vAlign w:val="bottom"/>
            <w:gridSpan w:val="2"/>
          </w:tcPr>
          <w:p>
            <w:pPr>
              <w:ind w:left="20"/>
              <w:spacing w:after="0"/>
              <w:rPr>
                <w:sz w:val="20"/>
                <w:szCs w:val="20"/>
                <w:color w:val="auto"/>
              </w:rPr>
            </w:pPr>
            <w:r>
              <w:rPr>
                <w:rFonts w:ascii="Arial" w:cs="Arial" w:eastAsia="Arial" w:hAnsi="Arial"/>
                <w:sz w:val="17"/>
                <w:szCs w:val="17"/>
                <w:color w:val="auto"/>
              </w:rPr>
              <w:t>Unitary heating and air conditioning equipment,</w:t>
            </w:r>
          </w:p>
        </w:tc>
        <w:tc>
          <w:tcPr>
            <w:tcW w:w="4220" w:type="dxa"/>
            <w:vAlign w:val="bottom"/>
          </w:tcPr>
          <w:p>
            <w:pPr>
              <w:ind w:left="20"/>
              <w:spacing w:after="0"/>
              <w:rPr>
                <w:sz w:val="20"/>
                <w:szCs w:val="20"/>
                <w:color w:val="auto"/>
              </w:rPr>
            </w:pPr>
            <w:r>
              <w:rPr>
                <w:rFonts w:ascii="Arial" w:cs="Arial" w:eastAsia="Arial" w:hAnsi="Arial"/>
                <w:sz w:val="17"/>
                <w:szCs w:val="17"/>
                <w:color w:val="auto"/>
              </w:rPr>
              <w:t>Lennox, Allied Commercial, Magic-Pak, Raider,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947.4</w:t>
            </w:r>
          </w:p>
        </w:tc>
      </w:tr>
      <w:tr>
        <w:trPr>
          <w:trHeight w:val="208"/>
        </w:trPr>
        <w:tc>
          <w:tcPr>
            <w:tcW w:w="2080" w:type="dxa"/>
            <w:vAlign w:val="bottom"/>
            <w:gridSpan w:val="2"/>
          </w:tcPr>
          <w:p>
            <w:pPr>
              <w:ind w:left="40"/>
              <w:spacing w:after="0"/>
              <w:rPr>
                <w:sz w:val="20"/>
                <w:szCs w:val="20"/>
                <w:color w:val="auto"/>
              </w:rPr>
            </w:pPr>
            <w:r>
              <w:rPr>
                <w:rFonts w:ascii="Arial" w:cs="Arial" w:eastAsia="Arial" w:hAnsi="Arial"/>
                <w:sz w:val="17"/>
                <w:szCs w:val="17"/>
                <w:color w:val="auto"/>
              </w:rPr>
              <w:t>Cooling</w:t>
            </w:r>
          </w:p>
        </w:tc>
        <w:tc>
          <w:tcPr>
            <w:tcW w:w="3780" w:type="dxa"/>
            <w:vAlign w:val="bottom"/>
            <w:gridSpan w:val="2"/>
          </w:tcPr>
          <w:p>
            <w:pPr>
              <w:ind w:left="20"/>
              <w:spacing w:after="0"/>
              <w:rPr>
                <w:sz w:val="20"/>
                <w:szCs w:val="20"/>
                <w:color w:val="auto"/>
              </w:rPr>
            </w:pPr>
            <w:r>
              <w:rPr>
                <w:rFonts w:ascii="Arial" w:cs="Arial" w:eastAsia="Arial" w:hAnsi="Arial"/>
                <w:sz w:val="17"/>
                <w:szCs w:val="17"/>
                <w:color w:val="auto"/>
              </w:rPr>
              <w:t>applied systems, controls, installation and service</w:t>
            </w:r>
          </w:p>
        </w:tc>
        <w:tc>
          <w:tcPr>
            <w:tcW w:w="4220" w:type="dxa"/>
            <w:vAlign w:val="bottom"/>
          </w:tcPr>
          <w:p>
            <w:pPr>
              <w:ind w:left="20"/>
              <w:spacing w:after="0"/>
              <w:rPr>
                <w:sz w:val="20"/>
                <w:szCs w:val="20"/>
                <w:color w:val="auto"/>
              </w:rPr>
            </w:pPr>
            <w:r>
              <w:rPr>
                <w:rFonts w:ascii="Arial" w:cs="Arial" w:eastAsia="Arial" w:hAnsi="Arial"/>
                <w:sz w:val="17"/>
                <w:szCs w:val="17"/>
                <w:color w:val="auto"/>
                <w:w w:val="92"/>
              </w:rPr>
              <w:t>Landmark, Prodigy, Strategos, Energence, Lennox VRF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ind w:left="20"/>
              <w:spacing w:after="0"/>
              <w:rPr>
                <w:sz w:val="20"/>
                <w:szCs w:val="20"/>
                <w:color w:val="auto"/>
              </w:rPr>
            </w:pPr>
            <w:r>
              <w:rPr>
                <w:rFonts w:ascii="Arial" w:cs="Arial" w:eastAsia="Arial" w:hAnsi="Arial"/>
                <w:sz w:val="17"/>
                <w:szCs w:val="17"/>
                <w:color w:val="auto"/>
              </w:rPr>
              <w:t>of commercial heating and cooling equipment,</w:t>
            </w:r>
          </w:p>
        </w:tc>
        <w:tc>
          <w:tcPr>
            <w:tcW w:w="4220" w:type="dxa"/>
            <w:vAlign w:val="bottom"/>
          </w:tcPr>
          <w:p>
            <w:pPr>
              <w:ind w:left="20"/>
              <w:spacing w:after="0"/>
              <w:rPr>
                <w:sz w:val="20"/>
                <w:szCs w:val="20"/>
                <w:color w:val="auto"/>
              </w:rPr>
            </w:pPr>
            <w:r>
              <w:rPr>
                <w:rFonts w:ascii="Arial" w:cs="Arial" w:eastAsia="Arial" w:hAnsi="Arial"/>
                <w:sz w:val="17"/>
                <w:szCs w:val="17"/>
                <w:color w:val="auto"/>
              </w:rPr>
              <w:t>Lennox National Account Services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7"/>
                <w:szCs w:val="17"/>
                <w:color w:val="auto"/>
              </w:rPr>
              <w:t>variable refrigerant flow commercial products</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Refrigeration</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Condensing units, unit coolers, fluid coolers, air</w:t>
            </w:r>
          </w:p>
        </w:tc>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Heatcraft Worldwide Refrigeration, Lennox (Europe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568.7</w:t>
            </w:r>
          </w:p>
        </w:tc>
      </w:tr>
      <w:tr>
        <w:trPr>
          <w:trHeight w:val="208"/>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cooled condensers, air handlers, process chillers,</w:t>
            </w:r>
          </w:p>
        </w:tc>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HVAC), Bohn, Larkin, Climate Control, Chandler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controls, compressorized racks.</w:t>
            </w:r>
          </w:p>
        </w:tc>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Refrigeration, Friga-Bohn, HK Refrigeration, Hyfra and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7"/>
        </w:trPr>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Interlink</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7"/>
        </w:trPr>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3,807.2</w:t>
            </w: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Services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Residential Heating &amp; Cooling</w:t>
      </w:r>
    </w:p>
    <w:p>
      <w:pPr>
        <w:spacing w:after="0" w:line="22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i w:val="1"/>
          <w:iCs w:val="1"/>
          <w:color w:val="auto"/>
        </w:rPr>
        <w:t>Heating &amp; Cooling Products</w:t>
      </w:r>
      <w:r>
        <w:rPr>
          <w:rFonts w:ascii="Arial" w:cs="Arial" w:eastAsia="Arial" w:hAnsi="Arial"/>
          <w:sz w:val="17"/>
          <w:szCs w:val="17"/>
          <w:color w:val="auto"/>
        </w:rPr>
        <w:t>. We manufacture and market a broad range of furnaces, air conditioners, heat pumps, packaged heating and cooling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accessories to improve indoor air quality, comfort control products, replacement parts and supplies and related products for both the residential replacement and new construction markets in North America. These products are available in a variety of designs and efficiency levels and at a range of price points, and are intended to provide a complete line of home comfort systems. We believe that by maintaining a broad product line marketed under multiple brand names, we can address different market segments and penetrate multiple distribution channels.</w:t>
      </w:r>
    </w:p>
    <w:p>
      <w:pPr>
        <w:spacing w:after="0" w:line="179" w:lineRule="exact"/>
        <w:rPr>
          <w:sz w:val="20"/>
          <w:szCs w:val="20"/>
          <w:color w:val="auto"/>
        </w:rPr>
      </w:pPr>
    </w:p>
    <w:p>
      <w:pPr>
        <w:jc w:val="both"/>
        <w:ind w:firstLine="234"/>
        <w:spacing w:after="0" w:line="295" w:lineRule="auto"/>
        <w:rPr>
          <w:sz w:val="20"/>
          <w:szCs w:val="20"/>
          <w:color w:val="auto"/>
        </w:rPr>
      </w:pPr>
      <w:r>
        <w:rPr>
          <w:rFonts w:ascii="Arial" w:cs="Arial" w:eastAsia="Arial" w:hAnsi="Arial"/>
          <w:sz w:val="16"/>
          <w:szCs w:val="16"/>
          <w:color w:val="auto"/>
        </w:rPr>
        <w:t>The “Lennox” brands are sold directly to a network of approximately 7,000 independent installing dealers, making us one of the largest wholesale distributors of residential heating and air conditioning products in North America. The Allied Air Enterprise brands (“Armstrong Air,” “Air-Ease,” “Concord,” “Ducane,” and “Magic-Pak”) include a full line of heating and air conditioning products and are sold through independent distributors in North America.</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42" w:right="239" w:bottom="1440" w:gutter="0" w:footer="0" w:header="0"/>
        </w:sectPr>
      </w:pPr>
    </w:p>
    <w:bookmarkStart w:id="3" w:name="page4"/>
    <w:bookmarkEnd w:id="3"/>
    <w:p>
      <w:pPr>
        <w:jc w:val="both"/>
        <w:ind w:firstLine="234"/>
        <w:spacing w:after="0" w:line="319" w:lineRule="auto"/>
        <w:rPr>
          <w:sz w:val="20"/>
          <w:szCs w:val="20"/>
          <w:color w:val="auto"/>
        </w:rPr>
      </w:pPr>
      <w:r>
        <w:rPr>
          <w:rFonts w:ascii="Arial" w:cs="Arial" w:eastAsia="Arial" w:hAnsi="Arial"/>
          <w:sz w:val="16"/>
          <w:szCs w:val="16"/>
          <w:color w:val="auto"/>
        </w:rPr>
        <w:t>We continue to invest in our network of 221 Lennox Stores across the United States and Canada. These stores provide an easy access solution for contractors and independent dealers to obtain universal service and replacement parts, supplies, convenience items, tools, Lennox equipment and OEM parts.</w:t>
      </w:r>
    </w:p>
    <w:p>
      <w:pPr>
        <w:spacing w:after="0" w:line="136"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Our Advanced Distributor Products (“ADP”) operation builds evaporator coils and air handlers under the “ADP Advanced Distributor Products” brand and also builds evaporator coils under the “Lennox” brand and Allied Air Enterprise brands. ADP sells ADP-branded evaporator coils to over 450 HVAC wholesale distributors across North America.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Heating &amp; Cooling</w:t>
      </w:r>
    </w:p>
    <w:p>
      <w:pPr>
        <w:spacing w:after="0" w:line="221" w:lineRule="exact"/>
        <w:rPr>
          <w:sz w:val="20"/>
          <w:szCs w:val="20"/>
          <w:color w:val="auto"/>
        </w:rPr>
      </w:pPr>
    </w:p>
    <w:p>
      <w:pPr>
        <w:jc w:val="both"/>
        <w:ind w:firstLine="234"/>
        <w:spacing w:after="0" w:line="261" w:lineRule="auto"/>
        <w:rPr>
          <w:sz w:val="20"/>
          <w:szCs w:val="20"/>
          <w:color w:val="auto"/>
        </w:rPr>
      </w:pPr>
      <w:r>
        <w:rPr>
          <w:rFonts w:ascii="Arial" w:cs="Arial" w:eastAsia="Arial" w:hAnsi="Arial"/>
          <w:sz w:val="17"/>
          <w:szCs w:val="17"/>
          <w:i w:val="1"/>
          <w:iCs w:val="1"/>
          <w:color w:val="auto"/>
        </w:rPr>
        <w:t>North America</w:t>
      </w:r>
      <w:r>
        <w:rPr>
          <w:rFonts w:ascii="Arial" w:cs="Arial" w:eastAsia="Arial" w:hAnsi="Arial"/>
          <w:sz w:val="17"/>
          <w:szCs w:val="17"/>
          <w:color w:val="auto"/>
        </w:rPr>
        <w:t>. In North America, we manufacture and sell unitary heating and cooling equipment used in light commercial applications, such as low-rise office</w:t>
      </w:r>
      <w:r>
        <w:rPr>
          <w:rFonts w:ascii="Arial" w:cs="Arial" w:eastAsia="Arial" w:hAnsi="Arial"/>
          <w:sz w:val="17"/>
          <w:szCs w:val="17"/>
          <w:i w:val="1"/>
          <w:iCs w:val="1"/>
          <w:color w:val="auto"/>
        </w:rPr>
        <w:t xml:space="preserve"> </w:t>
      </w:r>
      <w:r>
        <w:rPr>
          <w:rFonts w:ascii="Arial" w:cs="Arial" w:eastAsia="Arial" w:hAnsi="Arial"/>
          <w:sz w:val="17"/>
          <w:szCs w:val="17"/>
          <w:color w:val="auto"/>
        </w:rPr>
        <w:t>buildings, restaurants, retail centers, churches and schools. Our product offerings for these applications include rooftop units ranging from 2 to 50 tons of cooling capacity and split system/air handler combinations, which range from 1.5 to 20 tons of cooling capacity. These products are distributed primarily through commercial contractors and directly to national account customers. In 2014, we launched Lennox-branded variable refrigerant flow (“VRF”) commercial products through Lennox company-owned distribution. We believe the success of our products is attributable to their efficiency, design flexibility, total cost of ownership, low life-cycle cost, ease of service and advanced control technology.</w:t>
      </w:r>
    </w:p>
    <w:p>
      <w:pPr>
        <w:spacing w:after="0" w:line="183"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i w:val="1"/>
          <w:iCs w:val="1"/>
          <w:color w:val="auto"/>
        </w:rPr>
        <w:t>National Account Services</w:t>
      </w:r>
      <w:r>
        <w:rPr>
          <w:rFonts w:ascii="Arial" w:cs="Arial" w:eastAsia="Arial" w:hAnsi="Arial"/>
          <w:sz w:val="17"/>
          <w:szCs w:val="17"/>
          <w:color w:val="auto"/>
        </w:rPr>
        <w:t>. National Account Service (“NAS”) provides installation, service and preventive maintenance for commercial HVAC 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customers in the United States and Canada.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Refrigeration</w:t>
      </w:r>
    </w:p>
    <w:p>
      <w:pPr>
        <w:spacing w:after="0" w:line="22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We manufacture and market equipment for the global commercial refrigeration markets under the Heatcraft Worldwide Refrigeration name. We sell these products to distributors, installing contractors, engineering design firms, original equipment manufacturers and end-users. Our global manufacturing, distribution, sales and marketing footprint serves customers in over 113 countries worldwide.</w:t>
      </w:r>
    </w:p>
    <w:p>
      <w:pPr>
        <w:spacing w:after="0" w:line="171" w:lineRule="exact"/>
        <w:rPr>
          <w:sz w:val="20"/>
          <w:szCs w:val="20"/>
          <w:color w:val="auto"/>
        </w:rPr>
      </w:pPr>
    </w:p>
    <w:p>
      <w:pPr>
        <w:jc w:val="both"/>
        <w:ind w:firstLine="234"/>
        <w:spacing w:after="0" w:line="283" w:lineRule="auto"/>
        <w:rPr>
          <w:sz w:val="20"/>
          <w:szCs w:val="20"/>
          <w:color w:val="auto"/>
        </w:rPr>
      </w:pPr>
      <w:r>
        <w:rPr>
          <w:rFonts w:ascii="Arial" w:cs="Arial" w:eastAsia="Arial" w:hAnsi="Arial"/>
          <w:sz w:val="16"/>
          <w:szCs w:val="16"/>
          <w:i w:val="1"/>
          <w:iCs w:val="1"/>
          <w:color w:val="auto"/>
        </w:rPr>
        <w:t>North America</w:t>
      </w:r>
      <w:r>
        <w:rPr>
          <w:rFonts w:ascii="Arial" w:cs="Arial" w:eastAsia="Arial" w:hAnsi="Arial"/>
          <w:sz w:val="16"/>
          <w:szCs w:val="16"/>
          <w:color w:val="auto"/>
        </w:rPr>
        <w:t>. Our commercial refrigeration products for the North American market include condensing units, unit coolers, fluid coolers, air-cooled</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condensers, air handlers and refrigeration rack systems. These products preserve food and other perishables in supermarkets, convenience stores, restaurants, warehouses and distribution centers. In addition, our products are used to cool a wide variety of industrial processes, including data centers, machine tooling, and other critical cooling applications. We routinely provide application engineering for consulting engineers, contractors, store planners, end customers and others to support the sale of commercial refrigeration products. In the first quarter of 2019, we completed the sale of our Kysor Warren business.</w:t>
      </w:r>
    </w:p>
    <w:p>
      <w:pPr>
        <w:spacing w:after="0" w:line="165"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i w:val="1"/>
          <w:iCs w:val="1"/>
          <w:color w:val="auto"/>
        </w:rPr>
        <w:t>International</w:t>
      </w:r>
      <w:r>
        <w:rPr>
          <w:rFonts w:ascii="Arial" w:cs="Arial" w:eastAsia="Arial" w:hAnsi="Arial"/>
          <w:sz w:val="17"/>
          <w:szCs w:val="17"/>
          <w:color w:val="auto"/>
        </w:rPr>
        <w:t>. In Europe, we manufacture and sell unitary HVAC products, which range from 2 to 70 tons of cooling capacity, and applied systems with up to</w:t>
      </w:r>
      <w:r>
        <w:rPr>
          <w:rFonts w:ascii="Arial" w:cs="Arial" w:eastAsia="Arial" w:hAnsi="Arial"/>
          <w:sz w:val="17"/>
          <w:szCs w:val="17"/>
          <w:i w:val="1"/>
          <w:iCs w:val="1"/>
          <w:color w:val="auto"/>
        </w:rPr>
        <w:t xml:space="preserve"> </w:t>
      </w:r>
      <w:r>
        <w:rPr>
          <w:rFonts w:ascii="Arial" w:cs="Arial" w:eastAsia="Arial" w:hAnsi="Arial"/>
          <w:sz w:val="17"/>
          <w:szCs w:val="17"/>
          <w:color w:val="auto"/>
        </w:rPr>
        <w:t>200 tons of cooling capacity. Our European products consist of small package units, rooftop units, chillers, air handlers and fan coils that serve medium-rise commercial buildings, shopping malls, other retail and entertainment buildings, institutional applications and other field-engineered applications. We manufacture heating and cooling products in several locations in Europe and market these products through both direct and indirect distribution channels in Europe, Russia, Turkey and the Middle East.</w:t>
      </w:r>
    </w:p>
    <w:p>
      <w:pPr>
        <w:spacing w:after="0" w:line="179" w:lineRule="exact"/>
        <w:rPr>
          <w:sz w:val="20"/>
          <w:szCs w:val="20"/>
          <w:color w:val="auto"/>
        </w:rPr>
      </w:pPr>
    </w:p>
    <w:p>
      <w:pPr>
        <w:jc w:val="both"/>
        <w:ind w:firstLine="221"/>
        <w:spacing w:after="0" w:line="263" w:lineRule="auto"/>
        <w:rPr>
          <w:sz w:val="20"/>
          <w:szCs w:val="20"/>
          <w:color w:val="auto"/>
        </w:rPr>
      </w:pPr>
      <w:r>
        <w:rPr>
          <w:rFonts w:ascii="Arial" w:cs="Arial" w:eastAsia="Arial" w:hAnsi="Arial"/>
          <w:sz w:val="17"/>
          <w:szCs w:val="17"/>
          <w:color w:val="auto"/>
        </w:rPr>
        <w:t>We also manufacture and market refrigeration products including condensing units, unit coolers, air-cooled condensers, fluid coolers, compressor racks and industrial process chillers. We have manufacturing locations in Germany, France and Spain. In addition, we own a 50% common stock interest in a joint venture in Mexico that produces unit coolers, air-cooled condensers, condensing units, compressors and compressorized racks of the same design and quality as those manufactured by our U.S. business. This joint venture product line is complemented with imports from the U.S., which are sold through the joint venture’s distribution network.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227"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Our business strategy is to sustain and expand our premium market position by offering a full spectrum of products to meet our customers’ needs. We plan to expand our market position through organic growth while maintaining our focus on cost reductions to drive margin expansion and support growth in target business segments. This strategy is supported by the following four strategic priorities:</w:t>
      </w:r>
    </w:p>
    <w:p>
      <w:pPr>
        <w:spacing w:after="0" w:line="17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i w:val="1"/>
          <w:iCs w:val="1"/>
          <w:color w:val="auto"/>
        </w:rPr>
        <w:t xml:space="preserve">Innovative Product and System Solutions. </w:t>
      </w:r>
      <w:r>
        <w:rPr>
          <w:rFonts w:ascii="Arial" w:cs="Arial" w:eastAsia="Arial" w:hAnsi="Arial"/>
          <w:sz w:val="17"/>
          <w:szCs w:val="17"/>
          <w:color w:val="auto"/>
        </w:rPr>
        <w:t>In all of our markets, we are building on our heritage of innovation by developing residential, commercial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refrigeration products that give families and business owners more precise control over more aspects of their indoor environments, while significantly lowering their energy costs.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44" w:right="239" w:bottom="1440" w:gutter="0" w:footer="0" w:header="0"/>
        </w:sectPr>
      </w:pPr>
    </w:p>
    <w:bookmarkStart w:id="4" w:name="page5"/>
    <w:bookmarkEnd w:id="4"/>
    <w:p>
      <w:pPr>
        <w:jc w:val="both"/>
        <w:ind w:firstLine="234"/>
        <w:spacing w:after="0" w:line="286" w:lineRule="auto"/>
        <w:rPr>
          <w:sz w:val="20"/>
          <w:szCs w:val="20"/>
          <w:color w:val="auto"/>
        </w:rPr>
      </w:pPr>
      <w:r>
        <w:rPr>
          <w:rFonts w:ascii="Arial" w:cs="Arial" w:eastAsia="Arial" w:hAnsi="Arial"/>
          <w:sz w:val="17"/>
          <w:szCs w:val="17"/>
          <w:i w:val="1"/>
          <w:iCs w:val="1"/>
          <w:color w:val="auto"/>
        </w:rPr>
        <w:t xml:space="preserve">Manufacturing and Sourcing Excellence. </w:t>
      </w:r>
      <w:r>
        <w:rPr>
          <w:rFonts w:ascii="Arial" w:cs="Arial" w:eastAsia="Arial" w:hAnsi="Arial"/>
          <w:sz w:val="17"/>
          <w:szCs w:val="17"/>
          <w:color w:val="auto"/>
        </w:rPr>
        <w:t>We maintain our commitment to manufacturing and sourcing excellence by maximizing factory efficiencies and</w:t>
      </w:r>
      <w:r>
        <w:rPr>
          <w:rFonts w:ascii="Arial" w:cs="Arial" w:eastAsia="Arial" w:hAnsi="Arial"/>
          <w:sz w:val="17"/>
          <w:szCs w:val="17"/>
          <w:i w:val="1"/>
          <w:iCs w:val="1"/>
          <w:color w:val="auto"/>
        </w:rPr>
        <w:t xml:space="preserve"> </w:t>
      </w:r>
      <w:r>
        <w:rPr>
          <w:rFonts w:ascii="Arial" w:cs="Arial" w:eastAsia="Arial" w:hAnsi="Arial"/>
          <w:sz w:val="17"/>
          <w:szCs w:val="17"/>
          <w:color w:val="auto"/>
        </w:rPr>
        <w:t>leveraging our purchasing power and sourcing initiatives to expand the use of lower-cost components that meet our high-quality requirements.</w:t>
      </w:r>
    </w:p>
    <w:p>
      <w:pPr>
        <w:spacing w:after="0" w:line="159"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i w:val="1"/>
          <w:iCs w:val="1"/>
          <w:color w:val="auto"/>
        </w:rPr>
        <w:t xml:space="preserve">Distribution Excellence. </w:t>
      </w:r>
      <w:r>
        <w:rPr>
          <w:rFonts w:ascii="Arial" w:cs="Arial" w:eastAsia="Arial" w:hAnsi="Arial"/>
          <w:sz w:val="17"/>
          <w:szCs w:val="17"/>
          <w:color w:val="auto"/>
        </w:rPr>
        <w:t>By investing resources in expanding our distribution network, we are making products available to our customers in a timely, cost-efficient manner. Additionally, we provide enhanced dealer support through the use of technology, training, advertising and merchandising.</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Expense Reduction. </w:t>
      </w:r>
      <w:r>
        <w:rPr>
          <w:rFonts w:ascii="Arial" w:cs="Arial" w:eastAsia="Arial" w:hAnsi="Arial"/>
          <w:sz w:val="17"/>
          <w:szCs w:val="17"/>
          <w:color w:val="auto"/>
        </w:rPr>
        <w:t>Through our cost management initiatives, we are optimizing operating, manufacturing and administrative costs.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Distribution</w:t>
      </w:r>
    </w:p>
    <w:p>
      <w:pPr>
        <w:spacing w:after="0" w:line="227"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We utilize multiple channels of distribution and offer different brands at various price points in order to better penetrate the HVACR markets. Our products and services are sold through a combination of direct sales, distributors and company-owned parts and supplies stores. Dedicated sales forces and manufacturers’ representatives are deployed across our business segments and brands in a manner designed to maximize our ability to service each distribution channel. To optimize enterprise-wide effectiveness, we have active cross-functional and cross-organizational teams coordinating approaches to pricing, product design, distribution and national account customers.</w:t>
      </w:r>
    </w:p>
    <w:p>
      <w:pPr>
        <w:spacing w:after="0" w:line="179" w:lineRule="exact"/>
        <w:rPr>
          <w:sz w:val="20"/>
          <w:szCs w:val="20"/>
          <w:color w:val="auto"/>
        </w:rPr>
      </w:pPr>
    </w:p>
    <w:p>
      <w:pPr>
        <w:jc w:val="both"/>
        <w:ind w:firstLine="234"/>
        <w:spacing w:after="0" w:line="261" w:lineRule="auto"/>
        <w:rPr>
          <w:sz w:val="20"/>
          <w:szCs w:val="20"/>
          <w:color w:val="auto"/>
        </w:rPr>
      </w:pPr>
      <w:r>
        <w:rPr>
          <w:rFonts w:ascii="Arial" w:cs="Arial" w:eastAsia="Arial" w:hAnsi="Arial"/>
          <w:sz w:val="17"/>
          <w:szCs w:val="17"/>
          <w:color w:val="auto"/>
        </w:rPr>
        <w:t>The North American residential heating and cooling market provides an example of the competitive strength of our marketing and distribution strategy. We use three distinct distribution approaches in this market: the company-owned distribution system, the independent distribution system and direct sales to end-users. We distribute our “Lennox” brands in a company-owned process directly to independent dealers that install these heating and cooling products. We distribute our “Armstrong Air,” “Ducane,” “Air-Ease,” “Concord,” “Magic-Pak” and “ADP Advanced Distributor Products” brands through the traditional independent distribution process pursuant to which we sell our products to distributors who, in turn, sell the products to installing contractors. We also sell our products directly to customers through our Lennox Stores.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27" w:lineRule="exact"/>
        <w:rPr>
          <w:sz w:val="20"/>
          <w:szCs w:val="20"/>
          <w:color w:val="auto"/>
        </w:rPr>
      </w:pPr>
    </w:p>
    <w:p>
      <w:pPr>
        <w:jc w:val="both"/>
        <w:ind w:firstLine="234"/>
        <w:spacing w:after="0" w:line="287" w:lineRule="auto"/>
        <w:rPr>
          <w:sz w:val="20"/>
          <w:szCs w:val="20"/>
          <w:color w:val="auto"/>
        </w:rPr>
      </w:pPr>
      <w:r>
        <w:rPr>
          <w:rFonts w:ascii="Arial" w:cs="Arial" w:eastAsia="Arial" w:hAnsi="Arial"/>
          <w:sz w:val="16"/>
          <w:szCs w:val="16"/>
          <w:color w:val="auto"/>
        </w:rPr>
        <w:t>We operate manufacturing facilities worldwide and utilize the best available manufacturing techniques based on the needs of our businesses, including the use of lean manufacturing and principles of Six Sigma, a disciplined, data-driven approach and methodology for improving quality. We use numerous metrics to track and manage annual efficiency improvements. Some facilities are impacted by seasonal production demand, and we manufacture both heating and cooling products in those facilities to balance production and maintain a relatively stable labor force. We may also hire temporary employees to meet changes in demand.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Sourcing</w:t>
      </w:r>
    </w:p>
    <w:p>
      <w:pPr>
        <w:spacing w:after="0" w:line="227" w:lineRule="exact"/>
        <w:rPr>
          <w:sz w:val="20"/>
          <w:szCs w:val="20"/>
          <w:color w:val="auto"/>
        </w:rPr>
      </w:pPr>
    </w:p>
    <w:p>
      <w:pPr>
        <w:jc w:val="both"/>
        <w:ind w:firstLine="234"/>
        <w:spacing w:after="0" w:line="261" w:lineRule="auto"/>
        <w:rPr>
          <w:sz w:val="20"/>
          <w:szCs w:val="20"/>
          <w:color w:val="auto"/>
        </w:rPr>
      </w:pPr>
      <w:r>
        <w:rPr>
          <w:rFonts w:ascii="Arial" w:cs="Arial" w:eastAsia="Arial" w:hAnsi="Arial"/>
          <w:sz w:val="17"/>
          <w:szCs w:val="17"/>
          <w:color w:val="auto"/>
        </w:rPr>
        <w:t>We rely on various suppliers to furnish the raw materials and components used in the manufacturing of our products. To maximize our buying effectiveness in the marketplace, we have a central strategic sourcing group that consolidates purchases of certain materials, components and indirect items across business segments. The goal of the strategic sourcing group is to develop global strategies for a given component group, concentrate purchases with three to five suppliers and develop long-term relationships with these vendors. By developing these strategies and relationships, we seek to leverage our material needs to reduce costs and improve financial and operating performance. Our strategic sourcing group also works with selected suppliers to reduce costs, improve quality and delivery performance by employing lean manufacturing and Six Sigma.</w:t>
      </w:r>
    </w:p>
    <w:p>
      <w:pPr>
        <w:spacing w:after="0" w:line="183"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Compressors, motors and controls constitute our most significant component purchases, while steel, copper and aluminum account for the bulk of our raw material purchases. We own a minority equity interest in a joint venture that manufactures compressors. This joint venture provides us with compressors for our residential and commercial heating and cooling and refrigeration businesses.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and Technology</w:t>
      </w:r>
    </w:p>
    <w:p>
      <w:pPr>
        <w:spacing w:after="0" w:line="227"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Research and development is a key pillar of our growth strategy. We operate a global engineering and technology organization that focuses on new technology invention, product development, product quality improvements and process enhancements, including our development of next-generation control systems as well as heating and cooling products that include some of the most efficient products in their respective categories. We leverage intellectual property and innovative designs across our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52" w:right="2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7"/>
          <w:szCs w:val="17"/>
          <w:color w:val="auto"/>
        </w:rPr>
        <w:t>businesses. We also leverage product development cycle time improvements and product data management systems to commercialize new products to market more rapidly. We use advanced, commercially available computer-aided design, computer-aided manufacturing, computational fluid dynamics and other sophisticated design tools to streamline the design and manufacturing processes. We use complex computer simulations and analyses in the conceptual design phase before functional prototypes are created. We also operate a full line of prototype machine equipment and advanced laboratories certified by applicable industry associations.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27"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Our sales and related segment profit tend to be seasonally higher in the second and third quarters of the year because summer is the peak season for sales of air conditioning equipment and services in the U.S. and Canada. For the same reason, our working capital needs are generally greater in the first and second quarters, and we generally have higher operating cash inflows in the third and fourth quarters.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HVAC markets are driven by seasonal weather patterns. HVAC products and services are sold year round, but the volume and mix of product sales and service change significantly by season. The industry generally ships roughly twice as many units during June as it does in December. Overall, cooling equipment represents a substantial portion of the annual HVAC market. Between the heating season (roughly November through February) and cooling season (roughly May through August) are periods commonly referred to as “shoulder seasons” when the distribution channel transitions its buying patterns from one season to the next. These seasonal fluctuations in mix and volume drive our sales and related segment profit, resulting in somewhat higher sales in the second and third quarters due to the higher volume in the cooling season relative to the heating season.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Trademarks</w:t>
      </w:r>
    </w:p>
    <w:p>
      <w:pPr>
        <w:spacing w:after="0" w:line="227" w:lineRule="exact"/>
        <w:rPr>
          <w:sz w:val="20"/>
          <w:szCs w:val="20"/>
          <w:color w:val="auto"/>
        </w:rPr>
      </w:pPr>
    </w:p>
    <w:p>
      <w:pPr>
        <w:jc w:val="both"/>
        <w:ind w:firstLine="234"/>
        <w:spacing w:after="0" w:line="323" w:lineRule="auto"/>
        <w:rPr>
          <w:sz w:val="20"/>
          <w:szCs w:val="20"/>
          <w:color w:val="auto"/>
        </w:rPr>
      </w:pPr>
      <w:r>
        <w:rPr>
          <w:rFonts w:ascii="Arial" w:cs="Arial" w:eastAsia="Arial" w:hAnsi="Arial"/>
          <w:sz w:val="15"/>
          <w:szCs w:val="15"/>
          <w:color w:val="auto"/>
        </w:rPr>
        <w:t>We hold numerous patents that relate to the design and use of our products. We consider these patents important, but no single patent is material to the overall conduct of our business. We proactively obtain patents to further our strategic intellectual property objectives. We own or license several trademarks and service marks we consider important in the marketing of our products and services, and we protect our marks through national registrations and common law rights.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7"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Substantially all markets in which we participate are competitive. The most significant competitive factors we face are product reliability, product performance, service and price, with the relative importance of these factors varying among our businesses. The following are some of the companies we view as significant competitors in each of our three business segments, with relevant brand names, when different from the company name, shown in parentheses. The marks below may be the registered or unregistered trademarks or trade names of their respective owners.</w:t>
      </w:r>
    </w:p>
    <w:p>
      <w:pPr>
        <w:spacing w:after="0" w:line="175" w:lineRule="exact"/>
        <w:rPr>
          <w:sz w:val="20"/>
          <w:szCs w:val="20"/>
          <w:color w:val="auto"/>
        </w:rPr>
      </w:pPr>
    </w:p>
    <w:p>
      <w:pPr>
        <w:jc w:val="both"/>
        <w:ind w:left="400" w:hanging="240"/>
        <w:spacing w:after="0" w:line="266" w:lineRule="auto"/>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Residential Heating &amp; Cooling -United Technologies Corp. (Carrier, Bryant, Payne, Tempstar, Comfortmaker, Heil, Arcoaire, KeepRite, Day &amp; Night); Ingersoll-Rand plc (Trane, American Standard, Ameristar); Paloma Industries, Inc. (Rheem, Ruud, Weather King); Johnson Controls, Inc. (York, Luxaire, Coleman); Daikin Industries, Ltd. (Daikin, Goodman, Amana, GMC); and Melrose Industries PLC (Maytag, Westinghouse, Frigidaire, Tappan, Philco, Kelvinator, Gibson, Broan, NuTone).</w:t>
      </w:r>
    </w:p>
    <w:p>
      <w:pPr>
        <w:spacing w:after="0" w:line="175" w:lineRule="exact"/>
        <w:rPr>
          <w:rFonts w:ascii="Arial" w:cs="Arial" w:eastAsia="Arial" w:hAnsi="Arial"/>
          <w:sz w:val="17"/>
          <w:szCs w:val="17"/>
          <w:color w:val="auto"/>
        </w:rPr>
      </w:pPr>
    </w:p>
    <w:p>
      <w:pPr>
        <w:ind w:left="400" w:hanging="240"/>
        <w:spacing w:after="0" w:line="286" w:lineRule="auto"/>
        <w:tabs>
          <w:tab w:leader="none" w:pos="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Commercial Heating &amp; Cooling - United Technologies Corp. (Carrier, ICP Commercial); Ingersoll-Rand plc (Trane); Paloma Industries, Inc. (Rheem, Ruud); Johnson Controls, Inc. (York); Daikin Industries, Ltd. (Goodman, McQuay); Melrose Industries PLC (Mammoth); and AAON, Inc.</w:t>
      </w:r>
    </w:p>
    <w:p>
      <w:pPr>
        <w:spacing w:after="0" w:line="67" w:lineRule="exact"/>
        <w:rPr>
          <w:rFonts w:ascii="Arial" w:cs="Arial" w:eastAsia="Arial" w:hAnsi="Arial"/>
          <w:sz w:val="17"/>
          <w:szCs w:val="17"/>
          <w:color w:val="auto"/>
        </w:rPr>
      </w:pPr>
    </w:p>
    <w:p>
      <w:pPr>
        <w:ind w:left="400" w:hanging="240"/>
        <w:spacing w:after="0" w:line="319" w:lineRule="auto"/>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Refrigeration - Hussmann Corporation; Paloma Industries, Inc. (Rheem Manufacturing Company (Heat Transfer Products Group)); Emerson Electric Co. (Copeland); United Technologies Corp. (Carrier); GEA Group (Kuba, Searle, Goedhart); Alfa Laval; Guntner GmbH; and Panasonic Corp. (Sanyo).</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7" w:lineRule="exact"/>
        <w:rPr>
          <w:sz w:val="20"/>
          <w:szCs w:val="20"/>
          <w:color w:val="auto"/>
        </w:rPr>
      </w:pPr>
    </w:p>
    <w:p>
      <w:pPr>
        <w:jc w:val="both"/>
        <w:ind w:firstLine="221"/>
        <w:spacing w:after="0" w:line="287" w:lineRule="auto"/>
        <w:rPr>
          <w:sz w:val="20"/>
          <w:szCs w:val="20"/>
          <w:color w:val="auto"/>
        </w:rPr>
      </w:pPr>
      <w:r>
        <w:rPr>
          <w:rFonts w:ascii="Arial" w:cs="Arial" w:eastAsia="Arial" w:hAnsi="Arial"/>
          <w:sz w:val="16"/>
          <w:szCs w:val="16"/>
          <w:color w:val="auto"/>
        </w:rPr>
        <w:t>As of December 31, 2019, we employed approximately 11,200 employees. Approximately 4,700 of these employees were salaried and 6,500 were hourly. The number of hourly workers we employ may vary in order to match our labor needs during periods of fluctuating demand. Approximately 3,000 employees, including international locations, are represented by unions. We believe we have good relationships with our employees and with the unions representing our employees. We currently do not anticipate any material adverse consequences resulting from negotiations to renew any collective bargaining agreements.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44"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Environmental Regulation</w:t>
      </w:r>
    </w:p>
    <w:p>
      <w:pPr>
        <w:spacing w:after="0" w:line="227" w:lineRule="exact"/>
        <w:rPr>
          <w:sz w:val="20"/>
          <w:szCs w:val="20"/>
          <w:color w:val="auto"/>
        </w:rPr>
      </w:pPr>
    </w:p>
    <w:p>
      <w:pPr>
        <w:jc w:val="both"/>
        <w:ind w:firstLine="625"/>
        <w:spacing w:after="0" w:line="281" w:lineRule="auto"/>
        <w:rPr>
          <w:sz w:val="20"/>
          <w:szCs w:val="20"/>
          <w:color w:val="auto"/>
        </w:rPr>
      </w:pPr>
      <w:r>
        <w:rPr>
          <w:rFonts w:ascii="Arial" w:cs="Arial" w:eastAsia="Arial" w:hAnsi="Arial"/>
          <w:sz w:val="16"/>
          <w:szCs w:val="16"/>
          <w:color w:val="auto"/>
        </w:rPr>
        <w:t>Our operations are subject to evolving and often increasingly stringent international, federal, state and local laws and regulations concerning the environment. Environmental laws that affect or could affect our domestic operations include, among others, the National Appliance Energy Conservation Act of 1987, as amended (“NAECA”), the Energy Policy Act ("EPAct"), the Energy Policy and Conservation Act ("EPCA"), the Clean Air Act, the Clean Water Act, the Resource Conservation and Recovery Act, the Comprehensive Environmental Response, Compensation and Liability Act, the National Environmental Policy Act ("NEPA"), the Toxic Substances Control Act, any regulations promulgated under these acts and various other international, federal, state and local laws and regulations governing environmental matters. We believe we are in substantial compliance with such existing environmental laws and regulations.</w:t>
      </w:r>
    </w:p>
    <w:p>
      <w:pPr>
        <w:spacing w:after="0" w:line="166" w:lineRule="exact"/>
        <w:rPr>
          <w:sz w:val="20"/>
          <w:szCs w:val="20"/>
          <w:color w:val="auto"/>
        </w:rPr>
      </w:pPr>
    </w:p>
    <w:p>
      <w:pPr>
        <w:jc w:val="both"/>
        <w:ind w:firstLine="234"/>
        <w:spacing w:after="0" w:line="295" w:lineRule="auto"/>
        <w:rPr>
          <w:sz w:val="20"/>
          <w:szCs w:val="20"/>
          <w:color w:val="auto"/>
        </w:rPr>
      </w:pPr>
      <w:r>
        <w:rPr>
          <w:rFonts w:ascii="Arial" w:cs="Arial" w:eastAsia="Arial" w:hAnsi="Arial"/>
          <w:sz w:val="16"/>
          <w:szCs w:val="16"/>
          <w:i w:val="1"/>
          <w:iCs w:val="1"/>
          <w:color w:val="auto"/>
        </w:rPr>
        <w:t xml:space="preserve">Energy Efficiency. </w:t>
      </w:r>
      <w:r>
        <w:rPr>
          <w:rFonts w:ascii="Arial" w:cs="Arial" w:eastAsia="Arial" w:hAnsi="Arial"/>
          <w:sz w:val="16"/>
          <w:szCs w:val="16"/>
          <w:color w:val="auto"/>
        </w:rPr>
        <w:t>The U.S. Department of Energy has numerous active energy conservation rulemakings that impact residential and commercial heating, air</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conditioning and refrigeration equipment. We are actively involved in U.S. Department of Energy and Congressional activities related to energy efficiency. We are prepared to have compliant products in place in advance of the effective dates of all such regulations being considered by the U.S. Department of Energy.</w:t>
      </w:r>
    </w:p>
    <w:p>
      <w:pPr>
        <w:spacing w:after="0" w:line="155" w:lineRule="exact"/>
        <w:rPr>
          <w:sz w:val="20"/>
          <w:szCs w:val="20"/>
          <w:color w:val="auto"/>
        </w:rPr>
      </w:pPr>
    </w:p>
    <w:p>
      <w:pPr>
        <w:jc w:val="both"/>
        <w:ind w:firstLine="234"/>
        <w:spacing w:after="0" w:line="279" w:lineRule="auto"/>
        <w:rPr>
          <w:sz w:val="20"/>
          <w:szCs w:val="20"/>
          <w:color w:val="auto"/>
        </w:rPr>
      </w:pPr>
      <w:r>
        <w:rPr>
          <w:rFonts w:ascii="Arial" w:cs="Arial" w:eastAsia="Arial" w:hAnsi="Arial"/>
          <w:sz w:val="16"/>
          <w:szCs w:val="16"/>
          <w:i w:val="1"/>
          <w:iCs w:val="1"/>
          <w:color w:val="auto"/>
        </w:rPr>
        <w:t xml:space="preserve">Refrigerants. </w:t>
      </w:r>
      <w:r>
        <w:rPr>
          <w:rFonts w:ascii="Arial" w:cs="Arial" w:eastAsia="Arial" w:hAnsi="Arial"/>
          <w:sz w:val="16"/>
          <w:szCs w:val="16"/>
          <w:color w:val="auto"/>
        </w:rPr>
        <w:t>The use of hydrochlorofluorocarbons (“HCFCs”) and hydroflurocarbons (“HFCs”) as refrigerants for air conditioning and refrigeration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is common practice in the HVACR industry and is regulated. We believe we have complied with applicable rules and regulations in various countries governing the use of HCFCs and HFCs. The U.S. Congress and the Environmental Protection Agency are considering steps to phase down the future use of HFCs in HVACR products and an international accord was adopted in October 2016 which would significantly phase-down the use of HFCs when ratified by the United Sates and globally. We are an active participant in the ongoing international and domestic dialogue on this subject and are well positioned to react in a timely manner to changes in the regulatory landscape. In addition, we are taking proactive steps to implement responsible use principles and guidelines with respect to limiting refrigerants from escaping into the atmosphere throughout the life span of our HVACR equipment.</w:t>
      </w:r>
    </w:p>
    <w:p>
      <w:pPr>
        <w:spacing w:after="0" w:line="170" w:lineRule="exact"/>
        <w:rPr>
          <w:sz w:val="20"/>
          <w:szCs w:val="20"/>
          <w:color w:val="auto"/>
        </w:rPr>
      </w:pPr>
    </w:p>
    <w:p>
      <w:pPr>
        <w:jc w:val="both"/>
        <w:ind w:firstLine="234"/>
        <w:spacing w:after="0" w:line="287" w:lineRule="auto"/>
        <w:rPr>
          <w:sz w:val="20"/>
          <w:szCs w:val="20"/>
          <w:color w:val="auto"/>
        </w:rPr>
      </w:pPr>
      <w:r>
        <w:rPr>
          <w:rFonts w:ascii="Arial" w:cs="Arial" w:eastAsia="Arial" w:hAnsi="Arial"/>
          <w:sz w:val="16"/>
          <w:szCs w:val="16"/>
          <w:i w:val="1"/>
          <w:iCs w:val="1"/>
          <w:color w:val="auto"/>
        </w:rPr>
        <w:t>Remediation Activity</w:t>
      </w:r>
      <w:r>
        <w:rPr>
          <w:rFonts w:ascii="Arial" w:cs="Arial" w:eastAsia="Arial" w:hAnsi="Arial"/>
          <w:sz w:val="16"/>
          <w:szCs w:val="16"/>
          <w:color w:val="auto"/>
        </w:rPr>
        <w:t>. In addition to affecting our ongoing operations, applicable environmental laws can impose obligations to remediate hazardous substances</w:t>
      </w:r>
      <w:r>
        <w:rPr>
          <w:rFonts w:ascii="Arial" w:cs="Arial" w:eastAsia="Arial" w:hAnsi="Arial"/>
          <w:sz w:val="16"/>
          <w:szCs w:val="16"/>
          <w:i w:val="1"/>
          <w:iCs w:val="1"/>
          <w:color w:val="auto"/>
        </w:rPr>
        <w:t xml:space="preserve"> </w:t>
      </w:r>
      <w:r>
        <w:rPr>
          <w:rFonts w:ascii="Arial" w:cs="Arial" w:eastAsia="Arial" w:hAnsi="Arial"/>
          <w:sz w:val="16"/>
          <w:szCs w:val="16"/>
          <w:color w:val="auto"/>
        </w:rPr>
        <w:t>at our properties, at properties formerly owned or operated by us and at facilities to which we have sent or send waste for treatment or disposal. We are aware of contamination at some of our facilities; however, based on facts presently known, we do not believe that any future remediation costs at such facilities will be material to our results of operations. For more information, see Note 5 in the Notes to our Consolidated Financial Statements.</w:t>
      </w:r>
    </w:p>
    <w:p>
      <w:pPr>
        <w:spacing w:after="0" w:line="162"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In the past, we have received notices that we are a potentially responsible party along with other potentially responsible parties in Superfund proceedings under the Comprehensive Environmental Response, Compensation and Liability Act for cleanup of hazardous substances at certain sites to which the potentially responsible parties are alleged to have sent waste. Based on the facts presently known, we do not believe environmental cleanup costs associated with any Superfund sites about which we have received notice that we are a potentially responsible party will be material.</w:t>
      </w:r>
    </w:p>
    <w:p>
      <w:pPr>
        <w:spacing w:after="0" w:line="175" w:lineRule="exact"/>
        <w:rPr>
          <w:sz w:val="20"/>
          <w:szCs w:val="20"/>
          <w:color w:val="auto"/>
        </w:rPr>
      </w:pPr>
    </w:p>
    <w:p>
      <w:pPr>
        <w:jc w:val="both"/>
        <w:ind w:firstLine="221"/>
        <w:spacing w:after="0" w:line="278" w:lineRule="auto"/>
        <w:rPr>
          <w:sz w:val="20"/>
          <w:szCs w:val="20"/>
          <w:color w:val="auto"/>
        </w:rPr>
      </w:pPr>
      <w:r>
        <w:rPr>
          <w:rFonts w:ascii="Arial" w:cs="Arial" w:eastAsia="Arial" w:hAnsi="Arial"/>
          <w:sz w:val="16"/>
          <w:szCs w:val="16"/>
          <w:i w:val="1"/>
          <w:iCs w:val="1"/>
          <w:color w:val="auto"/>
        </w:rPr>
        <w:t xml:space="preserve">European WEEE and RoHS Compliance. </w:t>
      </w:r>
      <w:r>
        <w:rPr>
          <w:rFonts w:ascii="Arial" w:cs="Arial" w:eastAsia="Arial" w:hAnsi="Arial"/>
          <w:sz w:val="16"/>
          <w:szCs w:val="16"/>
          <w:color w:val="auto"/>
        </w:rPr>
        <w:t>In the European marketplace, electrical and electronic equipment is required to comply with the Directive on Waste</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Electrical and Electronic Equipment (“WEEE”) and the Directive on Restriction of Use of Certain Hazardous Substances (“RoHS”). WEEE aims to prevent waste by encouraging reuse and recycling and RoHS restricts the use of six hazardous substances in electrical and electronic products. All HVACR products and certain components of such products “put on the market” in the EU (whether or not manufactured in the EU) are potentially subject to WEEE and RoHS. Because all HVACR manufacturers selling within or from the EU are subject to the standards promulgated under WEEE and RoHS, we believe that neither WEEE nor RoHS uniquely impacts us as compared to such other manufacturers. Similar directives are being introduced in other parts of the world, including the U.S. For example, California, China and Japan have all adopted standards possessing similar intent as RoHS. We are actively monitoring the development of such directives and believe we are well positioned to comply with such directives in the required time frames.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27" w:lineRule="exact"/>
        <w:rPr>
          <w:sz w:val="20"/>
          <w:szCs w:val="20"/>
          <w:color w:val="auto"/>
        </w:rPr>
      </w:pPr>
    </w:p>
    <w:p>
      <w:pPr>
        <w:jc w:val="both"/>
        <w:ind w:firstLine="221"/>
        <w:spacing w:after="0" w:line="287" w:lineRule="auto"/>
        <w:rPr>
          <w:sz w:val="20"/>
          <w:szCs w:val="20"/>
          <w:color w:val="auto"/>
        </w:rPr>
      </w:pPr>
      <w:r>
        <w:rPr>
          <w:rFonts w:ascii="Arial" w:cs="Arial" w:eastAsia="Arial" w:hAnsi="Arial"/>
          <w:sz w:val="16"/>
          <w:szCs w:val="16"/>
          <w:color w:val="auto"/>
        </w:rPr>
        <w:t xml:space="preserve">Our web site address is </w:t>
      </w:r>
      <w:r>
        <w:rPr>
          <w:rFonts w:ascii="Arial" w:cs="Arial" w:eastAsia="Arial" w:hAnsi="Arial"/>
          <w:sz w:val="16"/>
          <w:szCs w:val="16"/>
          <w:u w:val="single" w:color="auto"/>
          <w:color w:val="0000FF"/>
        </w:rPr>
        <w:t>www.lennoxinternational.com</w:t>
      </w:r>
      <w:r>
        <w:rPr>
          <w:rFonts w:ascii="Arial" w:cs="Arial" w:eastAsia="Arial" w:hAnsi="Arial"/>
          <w:sz w:val="16"/>
          <w:szCs w:val="16"/>
          <w:color w:val="auto"/>
        </w:rPr>
        <w:t>. We make available, free of charge through our web site, our annual reports on Form 10-K, quarterly reports on Form 10-Q, current reports on Form 8-K, including exhibits, and amendments to those reports filed or furnished pursuant to the Securities Exchange Act of 1934, as amended (the “Exchange Act”), as soon as reasonably possible after such material is electronically filed with, or furnished to, the Securities and Exchange Commission. The information on our web site is not a part of, or incorporated by reference into, this Annual Report on Form 10-K.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38" w:right="239" w:bottom="1440" w:gutter="0" w:footer="0" w:header="0"/>
        </w:sectPr>
      </w:pPr>
    </w:p>
    <w:bookmarkStart w:id="7" w:name="page8"/>
    <w:bookmarkEnd w:id="7"/>
    <w:p>
      <w:pPr>
        <w:jc w:val="both"/>
        <w:ind w:firstLine="221"/>
        <w:spacing w:after="0" w:line="286" w:lineRule="auto"/>
        <w:rPr>
          <w:sz w:val="20"/>
          <w:szCs w:val="20"/>
          <w:color w:val="auto"/>
        </w:rPr>
      </w:pPr>
      <w:r>
        <w:rPr>
          <w:rFonts w:ascii="Arial" w:cs="Arial" w:eastAsia="Arial" w:hAnsi="Arial"/>
          <w:sz w:val="17"/>
          <w:szCs w:val="17"/>
          <w:color w:val="auto"/>
        </w:rPr>
        <w:t>The Securities and Exchange Commission maintains a website at www.sec.gov that contains reports, proxy and information statements, and other information regarding issuers, including Lennox International, that file electronically with the Securities and Exchange Commission.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executive officers, their present positions and their ages are as follows as of February 7, 2020:</w:t>
      </w:r>
    </w:p>
    <w:p>
      <w:pPr>
        <w:spacing w:after="0" w:line="364" w:lineRule="exact"/>
        <w:rPr>
          <w:sz w:val="20"/>
          <w:szCs w:val="20"/>
          <w:color w:val="auto"/>
        </w:rPr>
      </w:pPr>
    </w:p>
    <w:tbl>
      <w:tblPr>
        <w:tblLayout w:type="fixed"/>
        <w:tblInd w:w="70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328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300" w:type="dxa"/>
            <w:vAlign w:val="bottom"/>
          </w:tcPr>
          <w:p>
            <w:pPr>
              <w:jc w:val="center"/>
              <w:spacing w:after="0"/>
              <w:rPr>
                <w:sz w:val="20"/>
                <w:szCs w:val="20"/>
                <w:color w:val="auto"/>
              </w:rPr>
            </w:pPr>
            <w:r>
              <w:rPr>
                <w:rFonts w:ascii="Arial" w:cs="Arial" w:eastAsia="Arial" w:hAnsi="Arial"/>
                <w:sz w:val="17"/>
                <w:szCs w:val="17"/>
                <w:b w:val="1"/>
                <w:bCs w:val="1"/>
                <w:color w:val="auto"/>
                <w:w w:val="93"/>
              </w:rPr>
              <w:t>Age</w:t>
            </w:r>
          </w:p>
        </w:tc>
        <w:tc>
          <w:tcPr>
            <w:tcW w:w="2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7"/>
                <w:szCs w:val="17"/>
                <w:b w:val="1"/>
                <w:bCs w:val="1"/>
                <w:color w:val="auto"/>
              </w:rPr>
              <w:t>Position</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86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5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Todd M. Bluedorn</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56</w:t>
            </w:r>
          </w:p>
        </w:tc>
        <w:tc>
          <w:tcPr>
            <w:tcW w:w="2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Chairman of the Board and Chief Executive Officer</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7"/>
                <w:szCs w:val="17"/>
                <w:color w:val="auto"/>
              </w:rPr>
              <w:t>Joseph W. Reitmeier</w:t>
            </w:r>
          </w:p>
        </w:tc>
        <w:tc>
          <w:tcPr>
            <w:tcW w:w="30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2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Executive Vice President, Chief Financial Officer</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shd w:val="clear" w:color="auto" w:fill="CCEEFF"/>
          </w:tcPr>
          <w:p>
            <w:pPr>
              <w:spacing w:after="0"/>
              <w:rPr>
                <w:sz w:val="19"/>
                <w:szCs w:val="19"/>
                <w:color w:val="auto"/>
              </w:rPr>
            </w:pPr>
          </w:p>
        </w:tc>
        <w:tc>
          <w:tcPr>
            <w:tcW w:w="32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Douglas L. Young</w:t>
            </w: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4"/>
              </w:rPr>
              <w:t>57</w:t>
            </w:r>
          </w:p>
        </w:tc>
        <w:tc>
          <w:tcPr>
            <w:tcW w:w="2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Executive Vice President, President and Chief Operating Officer, Residential Heating &amp;</w:t>
            </w:r>
          </w:p>
        </w:tc>
        <w:tc>
          <w:tcPr>
            <w:tcW w:w="0" w:type="dxa"/>
            <w:vAlign w:val="bottom"/>
          </w:tcPr>
          <w:p>
            <w:pPr>
              <w:spacing w:after="0"/>
              <w:rPr>
                <w:sz w:val="1"/>
                <w:szCs w:val="1"/>
                <w:color w:val="auto"/>
              </w:rPr>
            </w:pPr>
          </w:p>
        </w:tc>
      </w:tr>
      <w:tr>
        <w:trPr>
          <w:trHeight w:val="116"/>
        </w:trPr>
        <w:tc>
          <w:tcPr>
            <w:tcW w:w="40" w:type="dxa"/>
            <w:vAlign w:val="bottom"/>
            <w:shd w:val="clear" w:color="auto" w:fill="CCEEFF"/>
          </w:tcPr>
          <w:p>
            <w:pPr>
              <w:spacing w:after="0"/>
              <w:rPr>
                <w:sz w:val="10"/>
                <w:szCs w:val="10"/>
                <w:color w:val="auto"/>
              </w:rPr>
            </w:pPr>
          </w:p>
        </w:tc>
        <w:tc>
          <w:tcPr>
            <w:tcW w:w="3280" w:type="dxa"/>
            <w:vAlign w:val="bottom"/>
            <w:gridSpan w:val="2"/>
            <w:vMerge w:val="continue"/>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1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Cooling</w:t>
            </w:r>
          </w:p>
        </w:tc>
        <w:tc>
          <w:tcPr>
            <w:tcW w:w="0" w:type="dxa"/>
            <w:vAlign w:val="bottom"/>
          </w:tcPr>
          <w:p>
            <w:pPr>
              <w:spacing w:after="0"/>
              <w:rPr>
                <w:sz w:val="1"/>
                <w:szCs w:val="1"/>
                <w:color w:val="auto"/>
              </w:rPr>
            </w:pPr>
          </w:p>
        </w:tc>
      </w:tr>
      <w:tr>
        <w:trPr>
          <w:trHeight w:val="110"/>
        </w:trPr>
        <w:tc>
          <w:tcPr>
            <w:tcW w:w="40" w:type="dxa"/>
            <w:vAlign w:val="bottom"/>
            <w:tcBorders>
              <w:bottom w:val="single" w:sz="8" w:color="CCEEFF"/>
            </w:tcBorders>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286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6180" w:type="dxa"/>
            <w:vAlign w:val="bottom"/>
            <w:tcBorders>
              <w:bottom w:val="single" w:sz="8" w:color="CCEEFF"/>
            </w:tcBorders>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280" w:type="dxa"/>
            <w:vAlign w:val="bottom"/>
            <w:gridSpan w:val="2"/>
            <w:vMerge w:val="restart"/>
          </w:tcPr>
          <w:p>
            <w:pPr>
              <w:spacing w:after="0"/>
              <w:rPr>
                <w:sz w:val="20"/>
                <w:szCs w:val="20"/>
                <w:color w:val="auto"/>
              </w:rPr>
            </w:pPr>
            <w:r>
              <w:rPr>
                <w:rFonts w:ascii="Arial" w:cs="Arial" w:eastAsia="Arial" w:hAnsi="Arial"/>
                <w:sz w:val="17"/>
                <w:szCs w:val="17"/>
                <w:color w:val="auto"/>
              </w:rPr>
              <w:t>Gary S. Bedard</w:t>
            </w:r>
          </w:p>
        </w:tc>
        <w:tc>
          <w:tcPr>
            <w:tcW w:w="300" w:type="dxa"/>
            <w:vAlign w:val="bottom"/>
            <w:vMerge w:val="restart"/>
          </w:tcPr>
          <w:p>
            <w:pPr>
              <w:jc w:val="center"/>
              <w:spacing w:after="0"/>
              <w:rPr>
                <w:sz w:val="20"/>
                <w:szCs w:val="20"/>
                <w:color w:val="auto"/>
              </w:rPr>
            </w:pPr>
            <w:r>
              <w:rPr>
                <w:rFonts w:ascii="Arial" w:cs="Arial" w:eastAsia="Arial" w:hAnsi="Arial"/>
                <w:sz w:val="17"/>
                <w:szCs w:val="17"/>
                <w:color w:val="auto"/>
                <w:w w:val="94"/>
              </w:rPr>
              <w:t>55</w:t>
            </w:r>
          </w:p>
        </w:tc>
        <w:tc>
          <w:tcPr>
            <w:tcW w:w="2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Executive Vice President, President and Chief Operating Officer, Worldwide</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180" w:type="dxa"/>
            <w:vAlign w:val="bottom"/>
            <w:gridSpan w:val="2"/>
            <w:vMerge w:val="restart"/>
          </w:tcPr>
          <w:p>
            <w:pPr>
              <w:spacing w:after="0"/>
              <w:rPr>
                <w:sz w:val="20"/>
                <w:szCs w:val="20"/>
                <w:color w:val="auto"/>
              </w:rPr>
            </w:pPr>
            <w:r>
              <w:rPr>
                <w:rFonts w:ascii="Arial" w:cs="Arial" w:eastAsia="Arial" w:hAnsi="Arial"/>
                <w:sz w:val="17"/>
                <w:szCs w:val="17"/>
                <w:color w:val="auto"/>
              </w:rPr>
              <w:t>Refrigeration</w:t>
            </w: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Prakash Bedapudi</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53</w:t>
            </w:r>
          </w:p>
        </w:tc>
        <w:tc>
          <w:tcPr>
            <w:tcW w:w="2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Executive Vice President, Chief Technology Officer</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7"/>
                <w:szCs w:val="17"/>
                <w:color w:val="auto"/>
              </w:rPr>
              <w:t>Daniel M. Sessa</w:t>
            </w:r>
          </w:p>
        </w:tc>
        <w:tc>
          <w:tcPr>
            <w:tcW w:w="30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2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Executive Vice President, Chief Human Resources Officer</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John D. Torres</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61</w:t>
            </w:r>
          </w:p>
        </w:tc>
        <w:tc>
          <w:tcPr>
            <w:tcW w:w="2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Executive Vice President, Chief Legal Officer and Secretary</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280" w:type="dxa"/>
            <w:vAlign w:val="bottom"/>
            <w:gridSpan w:val="2"/>
            <w:vMerge w:val="restart"/>
          </w:tcPr>
          <w:p>
            <w:pPr>
              <w:spacing w:after="0"/>
              <w:rPr>
                <w:sz w:val="20"/>
                <w:szCs w:val="20"/>
                <w:color w:val="auto"/>
              </w:rPr>
            </w:pPr>
            <w:r>
              <w:rPr>
                <w:rFonts w:ascii="Arial" w:cs="Arial" w:eastAsia="Arial" w:hAnsi="Arial"/>
                <w:sz w:val="17"/>
                <w:szCs w:val="17"/>
                <w:color w:val="auto"/>
              </w:rPr>
              <w:t>Elliot Zimmer</w:t>
            </w:r>
          </w:p>
        </w:tc>
        <w:tc>
          <w:tcPr>
            <w:tcW w:w="300" w:type="dxa"/>
            <w:vAlign w:val="bottom"/>
            <w:vMerge w:val="restart"/>
          </w:tcPr>
          <w:p>
            <w:pPr>
              <w:jc w:val="center"/>
              <w:spacing w:after="0"/>
              <w:rPr>
                <w:sz w:val="20"/>
                <w:szCs w:val="20"/>
                <w:color w:val="auto"/>
              </w:rPr>
            </w:pPr>
            <w:r>
              <w:rPr>
                <w:rFonts w:ascii="Arial" w:cs="Arial" w:eastAsia="Arial" w:hAnsi="Arial"/>
                <w:sz w:val="17"/>
                <w:szCs w:val="17"/>
                <w:color w:val="auto"/>
                <w:w w:val="94"/>
              </w:rPr>
              <w:t>43</w:t>
            </w:r>
          </w:p>
        </w:tc>
        <w:tc>
          <w:tcPr>
            <w:tcW w:w="2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Executive Vice President, President and Chief Operating Officer, North America</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180" w:type="dxa"/>
            <w:vAlign w:val="bottom"/>
            <w:gridSpan w:val="2"/>
            <w:vMerge w:val="restart"/>
          </w:tcPr>
          <w:p>
            <w:pPr>
              <w:spacing w:after="0"/>
              <w:rPr>
                <w:sz w:val="20"/>
                <w:szCs w:val="20"/>
                <w:color w:val="auto"/>
              </w:rPr>
            </w:pPr>
            <w:r>
              <w:rPr>
                <w:rFonts w:ascii="Arial" w:cs="Arial" w:eastAsia="Arial" w:hAnsi="Arial"/>
                <w:sz w:val="17"/>
                <w:szCs w:val="17"/>
                <w:color w:val="auto"/>
              </w:rPr>
              <w:t>Commercial Heating &amp; Cooling</w:t>
            </w: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 A. Kosel</w:t>
            </w:r>
          </w:p>
        </w:tc>
        <w:tc>
          <w:tcPr>
            <w:tcW w:w="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53</w:t>
            </w:r>
          </w:p>
        </w:tc>
        <w:tc>
          <w:tcPr>
            <w:tcW w:w="2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Vice President, Chief Accounting Officer and Controller</w:t>
            </w:r>
          </w:p>
        </w:tc>
        <w:tc>
          <w:tcPr>
            <w:tcW w:w="0" w:type="dxa"/>
            <w:vAlign w:val="bottom"/>
          </w:tcPr>
          <w:p>
            <w:pPr>
              <w:spacing w:after="0"/>
              <w:rPr>
                <w:sz w:val="1"/>
                <w:szCs w:val="1"/>
                <w:color w:val="auto"/>
              </w:rPr>
            </w:pPr>
          </w:p>
        </w:tc>
      </w:tr>
      <w:tr>
        <w:trPr>
          <w:trHeight w:val="26"/>
        </w:trPr>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234"/>
        <w:spacing w:after="0" w:line="277" w:lineRule="auto"/>
        <w:rPr>
          <w:sz w:val="20"/>
          <w:szCs w:val="20"/>
          <w:color w:val="auto"/>
        </w:rPr>
      </w:pPr>
      <w:r>
        <w:rPr>
          <w:rFonts w:ascii="Arial" w:cs="Arial" w:eastAsia="Arial" w:hAnsi="Arial"/>
          <w:sz w:val="16"/>
          <w:szCs w:val="16"/>
          <w:i w:val="1"/>
          <w:iCs w:val="1"/>
          <w:color w:val="auto"/>
        </w:rPr>
        <w:t xml:space="preserve">Todd M. Bluedorn </w:t>
      </w:r>
      <w:r>
        <w:rPr>
          <w:rFonts w:ascii="Arial" w:cs="Arial" w:eastAsia="Arial" w:hAnsi="Arial"/>
          <w:sz w:val="16"/>
          <w:szCs w:val="16"/>
          <w:color w:val="auto"/>
        </w:rPr>
        <w:t>was appointed Chief Executive Officer and was elected to our Board of Directors in April 2007. Mr. Bluedorn was elected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in May 2012. Prior to joining Lennox International, Mr. Bluedorn served in numerous senior management positions for United Technologies since 1995, including President, Americas - Otis Elevator Company; President, North America - Commercial Heating, Ventilation and Air Conditioning for Carrier Corporation; and President, Hamilton Sundstrand Industrial. He began his professional career with McKinsey &amp; Company in 1992. A graduate of the United States Military Academy at West Point with a bachelor of science in electrical engineering, Mr. Bluedorn served in the United States Army as a combat engineer officer and United States Army Ranger from 1985 to 1990. He received his MBA from Harvard University School of Business in 1992. Mr. Bluedorn also serves on the Board of Directors of Eaton Corporation, a diversified industrial manufacturer, on the Board of Directors of Texas Instruments Incorporated, a global designer and manufacturer of semiconductors, and on the Board of Trustees of Washington University in St. Louis. Mr. Bluedorn possesses considerable industry knowledge and executive leadership experience. Mr. Bluedorn’s extensive knowledge of our Company and its business, combined with his drive for excellence and innovation, position him well to serve as CEO and a director of our Company.</w:t>
      </w:r>
    </w:p>
    <w:p>
      <w:pPr>
        <w:spacing w:after="0" w:line="168"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i w:val="1"/>
          <w:iCs w:val="1"/>
          <w:color w:val="auto"/>
        </w:rPr>
        <w:t xml:space="preserve">Joseph W. Reitmeier </w:t>
      </w:r>
      <w:r>
        <w:rPr>
          <w:rFonts w:ascii="Arial" w:cs="Arial" w:eastAsia="Arial" w:hAnsi="Arial"/>
          <w:sz w:val="17"/>
          <w:szCs w:val="17"/>
          <w:color w:val="auto"/>
        </w:rPr>
        <w:t>was appointed Executive Vice President, Chief Financial Officer in July 2012. He had served as Vice President of Finance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Commercial Heating &amp; Cooling segment since 2007 and as Director of Internal Audit from 2005 to 2007. Before joining the Company, he held financial leadership roles at Cummins Inc. and PolyOne Corporation. He is a director of Watts Water Technologies, Inc., a global provider of plumbing, heating and water quality solutions for residential, industrial, municipal and commercial settings. Mr. Reitmeier holds a bachelor’s degree in accounting from the University of Akron and an MBA from Case Western Reserve University. He is also a Certified Public Accountant.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44" w:right="239" w:bottom="1440" w:gutter="0" w:footer="0" w:header="0"/>
        </w:sectPr>
      </w:pPr>
    </w:p>
    <w:bookmarkStart w:id="8" w:name="page9"/>
    <w:bookmarkEnd w:id="8"/>
    <w:p>
      <w:pPr>
        <w:jc w:val="both"/>
        <w:ind w:firstLine="234"/>
        <w:spacing w:after="0" w:line="260" w:lineRule="auto"/>
        <w:rPr>
          <w:sz w:val="20"/>
          <w:szCs w:val="20"/>
          <w:color w:val="auto"/>
        </w:rPr>
      </w:pPr>
      <w:r>
        <w:rPr>
          <w:rFonts w:ascii="Arial" w:cs="Arial" w:eastAsia="Arial" w:hAnsi="Arial"/>
          <w:sz w:val="17"/>
          <w:szCs w:val="17"/>
          <w:i w:val="1"/>
          <w:iCs w:val="1"/>
          <w:color w:val="auto"/>
        </w:rPr>
        <w:t xml:space="preserve">Douglas L. Young </w:t>
      </w:r>
      <w:r>
        <w:rPr>
          <w:rFonts w:ascii="Arial" w:cs="Arial" w:eastAsia="Arial" w:hAnsi="Arial"/>
          <w:sz w:val="17"/>
          <w:szCs w:val="17"/>
          <w:color w:val="auto"/>
        </w:rPr>
        <w:t>was appointed Executive Vice President, President and Chief Operating Officer of the Company’s Residential Heating &amp; Cooling segment in</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2006. Mr. Young had previously served as Vice President and General Manager of North American Residential Products since 2003 and as Vice President and General Manager of Lennox North American Residential Sales, Marketing, and Distribution from 1999 to 2003. Prior to his career with the Company, Mr. Young was employed in the Appliances division of GE, where he held various management positions before serving as General Manager of Marketing for GE Appliance division’s retail group from 1997 to 1999 and as General Manager of Strategic Initiatives in 1999. He holds a BSBA from Creighton University and a master’s of science in management from Purdue University. Mr. Young serves on the Board of Directors of Beacon Roofing Supply, a general building material distributor and is a past Chairman of the Board of Directors of AHRI (the Air-Conditioning, Heating, and Refrigeration Institute), the trade association for the HVACR and water heating equipment industries.</w:t>
      </w:r>
    </w:p>
    <w:p>
      <w:pPr>
        <w:spacing w:after="0" w:line="181" w:lineRule="exact"/>
        <w:rPr>
          <w:sz w:val="20"/>
          <w:szCs w:val="20"/>
          <w:color w:val="auto"/>
        </w:rPr>
      </w:pPr>
    </w:p>
    <w:p>
      <w:pPr>
        <w:jc w:val="both"/>
        <w:ind w:firstLine="234"/>
        <w:spacing w:after="0" w:line="261" w:lineRule="auto"/>
        <w:rPr>
          <w:sz w:val="20"/>
          <w:szCs w:val="20"/>
          <w:color w:val="auto"/>
        </w:rPr>
      </w:pPr>
      <w:r>
        <w:rPr>
          <w:rFonts w:ascii="Arial" w:cs="Arial" w:eastAsia="Arial" w:hAnsi="Arial"/>
          <w:sz w:val="17"/>
          <w:szCs w:val="17"/>
          <w:i w:val="1"/>
          <w:iCs w:val="1"/>
          <w:color w:val="auto"/>
        </w:rPr>
        <w:t xml:space="preserve">Gary S. Bedard </w:t>
      </w:r>
      <w:r>
        <w:rPr>
          <w:rFonts w:ascii="Arial" w:cs="Arial" w:eastAsia="Arial" w:hAnsi="Arial"/>
          <w:sz w:val="17"/>
          <w:szCs w:val="17"/>
          <w:color w:val="auto"/>
        </w:rPr>
        <w:t>was appointed Executive Vice President, President and Chief Operating Officer of the Company’s Worldwide Refrigeration business in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2017. From 2005 through 2017, Mr. Bedard served as Vice President and General Manager for the Company’s Lennox-branded Residential business. He has also held the positions of Vice President, Residential Sales, Vice President Residential Product Management, Director of Brand and Product Management, and District Manager for Lennox Industries’ New York District. Prior to joining the Company in 1998, Mr. Bedard spent eight years at York International in product management and sales leadership roles for commercial applied and unitary systems as well as residential systems. Mr. Bedard has a bachelor’s degree in engineering management from the United States Military Academy at West Point.</w:t>
      </w:r>
    </w:p>
    <w:p>
      <w:pPr>
        <w:spacing w:after="0" w:line="183" w:lineRule="exact"/>
        <w:rPr>
          <w:sz w:val="20"/>
          <w:szCs w:val="20"/>
          <w:color w:val="auto"/>
        </w:rPr>
      </w:pPr>
    </w:p>
    <w:p>
      <w:pPr>
        <w:jc w:val="both"/>
        <w:ind w:firstLine="234"/>
        <w:spacing w:after="0" w:line="283" w:lineRule="auto"/>
        <w:rPr>
          <w:sz w:val="20"/>
          <w:szCs w:val="20"/>
          <w:color w:val="auto"/>
        </w:rPr>
      </w:pPr>
      <w:r>
        <w:rPr>
          <w:rFonts w:ascii="Arial" w:cs="Arial" w:eastAsia="Arial" w:hAnsi="Arial"/>
          <w:sz w:val="16"/>
          <w:szCs w:val="16"/>
          <w:i w:val="1"/>
          <w:iCs w:val="1"/>
          <w:color w:val="auto"/>
        </w:rPr>
        <w:t xml:space="preserve">Prakash Bedapudi </w:t>
      </w:r>
      <w:r>
        <w:rPr>
          <w:rFonts w:ascii="Arial" w:cs="Arial" w:eastAsia="Arial" w:hAnsi="Arial"/>
          <w:sz w:val="16"/>
          <w:szCs w:val="16"/>
          <w:color w:val="auto"/>
        </w:rPr>
        <w:t>was appointed Executive Vice President, Chief Technology Officer in July 2008. He had previously served as Vice President, Global</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and Program Management for Trane Inc. Commercial Systems from 2006 through 2008, and as Vice President, Engineering and Technology for Trane’s Residential Systems division from 2003 through 2006. Prior to his career at Trane, Mr. Bedapudi served in senior engineering leadership positions for GE Transportation Systems, a division of General Electric Company, and for Cummins Engine Company. He holds a bachelor of science in mechanical/automotive engineering from Karnataka University, India and a master’s of science in mechanical/aeronautical engineering from the University of Cincinnati.</w:t>
      </w:r>
    </w:p>
    <w:p>
      <w:pPr>
        <w:spacing w:after="0" w:line="165"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i w:val="1"/>
          <w:iCs w:val="1"/>
          <w:color w:val="auto"/>
        </w:rPr>
        <w:t xml:space="preserve">Daniel M. Sessa </w:t>
      </w:r>
      <w:r>
        <w:rPr>
          <w:rFonts w:ascii="Arial" w:cs="Arial" w:eastAsia="Arial" w:hAnsi="Arial"/>
          <w:sz w:val="17"/>
          <w:szCs w:val="17"/>
          <w:color w:val="auto"/>
        </w:rPr>
        <w:t>was appointed Executive Vice President, Chief Human Resources Officer in June 2007. He had previously served in numerous senior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and legal leadership positions for United Technologies Corporation since 1996, including Vice President, Human Resources for Otis Elevator Company - Americas from 2005 to 2007, Director, Employee Benefits and Human Resources Systems for United Technologies Corporation from 2004 to 2005, and Director, Human Resources for Pratt &amp; Whitney from 2002 to 2004. He holds a bachelor of arts in law and society from the State University of New York at Binghamton and a juris doctor from the Hofstra University School of Law.</w:t>
      </w:r>
    </w:p>
    <w:p>
      <w:pPr>
        <w:spacing w:after="0" w:line="179"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i w:val="1"/>
          <w:iCs w:val="1"/>
          <w:color w:val="auto"/>
        </w:rPr>
        <w:t xml:space="preserve">John D. Torres </w:t>
      </w:r>
      <w:r>
        <w:rPr>
          <w:rFonts w:ascii="Arial" w:cs="Arial" w:eastAsia="Arial" w:hAnsi="Arial"/>
          <w:sz w:val="17"/>
          <w:szCs w:val="17"/>
          <w:color w:val="auto"/>
        </w:rPr>
        <w:t>was appointed Executive Vice President, Chief Legal Officer and Secretary in December 2008. He had previously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General Counsel and Secretary for Freescale Semiconductor, a semiconductor manufacturer that was originally part of Motorola. He joined Motorola’s legal department as Senior Counsel in 1996 and was appointed Vice President, General Counsel of the company’s semiconductor business in 2001. Prior to joining Motorola, Mr. Torres was in private practice in Phoenix, specializing in commercial law, for 13 years. He holds a bachelor of arts from Notre Dame and a juris doctor from the University of Chicago.</w:t>
      </w:r>
    </w:p>
    <w:p>
      <w:pPr>
        <w:spacing w:after="0" w:line="179" w:lineRule="exact"/>
        <w:rPr>
          <w:sz w:val="20"/>
          <w:szCs w:val="20"/>
          <w:color w:val="auto"/>
        </w:rPr>
      </w:pPr>
    </w:p>
    <w:p>
      <w:pPr>
        <w:jc w:val="both"/>
        <w:ind w:firstLine="234"/>
        <w:spacing w:after="0" w:line="261" w:lineRule="auto"/>
        <w:rPr>
          <w:sz w:val="20"/>
          <w:szCs w:val="20"/>
          <w:color w:val="auto"/>
        </w:rPr>
      </w:pPr>
      <w:r>
        <w:rPr>
          <w:rFonts w:ascii="Arial" w:cs="Arial" w:eastAsia="Arial" w:hAnsi="Arial"/>
          <w:sz w:val="17"/>
          <w:szCs w:val="17"/>
          <w:i w:val="1"/>
          <w:iCs w:val="1"/>
          <w:color w:val="auto"/>
        </w:rPr>
        <w:t xml:space="preserve">Elliot Zimmer </w:t>
      </w:r>
      <w:r>
        <w:rPr>
          <w:rFonts w:ascii="Arial" w:cs="Arial" w:eastAsia="Arial" w:hAnsi="Arial"/>
          <w:sz w:val="17"/>
          <w:szCs w:val="17"/>
          <w:color w:val="auto"/>
        </w:rPr>
        <w:t>was appointed Executive Vice President, President and Chief Operating Officer of the Company’s Commercial Heating &amp; Cooling segment in</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2019. He previously served as Vice President and General Manager, Lennox North America Commercial Equipment business since 2016; Vice President, Worldwide Sourcing from 2011 to 2016; and Director of Business Development from 2010 to 2011. Prior to joining the Company, Mr. Zimmer was Director, Capacity Planning &amp; Operations Strategy at Dr. Pepper Snapple. He began his professional career with McKinsey &amp; Company in 2006. Mr. Zimmer holds a bachelor of science degree in systems engineering from the United States Military Academy, served as a Captain in the United States Army and received an MBA from the Harvard Business School.</w:t>
      </w:r>
    </w:p>
    <w:p>
      <w:pPr>
        <w:spacing w:after="0" w:line="183" w:lineRule="exact"/>
        <w:rPr>
          <w:sz w:val="20"/>
          <w:szCs w:val="20"/>
          <w:color w:val="auto"/>
        </w:rPr>
      </w:pPr>
    </w:p>
    <w:p>
      <w:pPr>
        <w:jc w:val="both"/>
        <w:ind w:firstLine="221"/>
        <w:spacing w:after="0" w:line="261" w:lineRule="auto"/>
        <w:rPr>
          <w:sz w:val="20"/>
          <w:szCs w:val="20"/>
          <w:color w:val="auto"/>
        </w:rPr>
      </w:pPr>
      <w:r>
        <w:rPr>
          <w:rFonts w:ascii="Arial" w:cs="Arial" w:eastAsia="Arial" w:hAnsi="Arial"/>
          <w:sz w:val="17"/>
          <w:szCs w:val="17"/>
          <w:i w:val="1"/>
          <w:iCs w:val="1"/>
          <w:color w:val="auto"/>
        </w:rPr>
        <w:t xml:space="preserve">Chris A. Kosel </w:t>
      </w:r>
      <w:r>
        <w:rPr>
          <w:rFonts w:ascii="Arial" w:cs="Arial" w:eastAsia="Arial" w:hAnsi="Arial"/>
          <w:sz w:val="17"/>
          <w:szCs w:val="17"/>
          <w:color w:val="auto"/>
        </w:rPr>
        <w:t>was appointed Vice President, Chief Accounting Officer and Controller in May 2017. He had previously served as Vice President,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and Planning for the Company since 2016. He also had served as Vice President, Finance and Controller / Director, Finance for the Company’s North America Commercial Business from 2015 - 2016 and Director, Financial Planning and Analysis for the Company’s Residential Business Unit from 2014 to 2015. Prior to 2014 he had served as Director, Finance for the Company’s Lennox Stores business and Director of the Company’s Financial Shared Services function. Prior to joining Lennox, he worked for Ernst &amp; Young. He holds a bachelor’s degree in accounting from Texas A&amp;M University. He is also a Certified Public Accountant.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44"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27" w:lineRule="exact"/>
        <w:rPr>
          <w:sz w:val="20"/>
          <w:szCs w:val="20"/>
          <w:color w:val="auto"/>
        </w:rPr>
      </w:pPr>
    </w:p>
    <w:p>
      <w:pPr>
        <w:jc w:val="both"/>
        <w:ind w:firstLine="221"/>
        <w:spacing w:after="0" w:line="276"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Exchange Act that are based on information currently available to management as well as management’s assumptions and beliefs as of the date hereof. All statements, other than statements of historical fact, included in this Annual Report on Form 10-K constitute forward-looking statements within the meaning of the Private Securities Litigation Reform Act of 1995. Forward-looking statements can be identified by the words “may,” “will,” “should,” “plan,” “predict,” “anticipate,” “believe,” “intend,” “estimate” and “expect” and similar expressions. Statements that are not historical should also be considered forward-looking statements. Such statements reflect our current views with respect to future events. Readers are cautioned not to place undue reliance on these forward-looking statements. We believe these statements are based on reasonable assumptions; however, such statements are inherently subject to risks and uncertainties, including but not limited to the specific uncertainties discussed elsewhere in this Annual Report on Form 10-K and the risk factors set forth in Item 1A. Risk Factors in this Annual Report on Form 10-K. These risks and uncertainties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unless required by law.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227" w:lineRule="exact"/>
        <w:rPr>
          <w:sz w:val="20"/>
          <w:szCs w:val="20"/>
          <w:color w:val="auto"/>
        </w:rPr>
      </w:pPr>
    </w:p>
    <w:p>
      <w:pPr>
        <w:jc w:val="both"/>
        <w:ind w:firstLine="221"/>
        <w:spacing w:after="0" w:line="266" w:lineRule="auto"/>
        <w:rPr>
          <w:sz w:val="20"/>
          <w:szCs w:val="20"/>
          <w:color w:val="auto"/>
        </w:rPr>
      </w:pPr>
      <w:r>
        <w:rPr>
          <w:rFonts w:ascii="Arial" w:cs="Arial" w:eastAsia="Arial" w:hAnsi="Arial"/>
          <w:sz w:val="17"/>
          <w:szCs w:val="17"/>
          <w:color w:val="auto"/>
        </w:rPr>
        <w:t>The following risk factors and other information included in this Annual Report on Form 10-K should be carefully considered. We believe these are the principal material risks currently facing our business; however, additional risks and uncertainties not presently known to us or that we presently deem less significant may also impair our business operations. If any of the following risks or those disclosed in our other SEC filings occurs, our business, financial condition or results of operations could be materially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Compete Favorably in the Competitive HVACR Business.</w:t>
      </w:r>
    </w:p>
    <w:p>
      <w:pPr>
        <w:spacing w:after="0" w:line="221" w:lineRule="exact"/>
        <w:rPr>
          <w:sz w:val="20"/>
          <w:szCs w:val="20"/>
          <w:color w:val="auto"/>
        </w:rPr>
      </w:pPr>
    </w:p>
    <w:p>
      <w:pPr>
        <w:jc w:val="both"/>
        <w:ind w:firstLine="221"/>
        <w:spacing w:after="0" w:line="278" w:lineRule="auto"/>
        <w:rPr>
          <w:sz w:val="20"/>
          <w:szCs w:val="20"/>
          <w:color w:val="auto"/>
        </w:rPr>
      </w:pPr>
      <w:r>
        <w:rPr>
          <w:rFonts w:ascii="Arial" w:cs="Arial" w:eastAsia="Arial" w:hAnsi="Arial"/>
          <w:sz w:val="16"/>
          <w:szCs w:val="16"/>
          <w:color w:val="auto"/>
        </w:rPr>
        <w:t>Substantially all of the markets in which we operate are competitive. The most significant competitive factors we face are product reliability, product performance, reputation of our company and brands, service and price, with the relative importance of these factors varying among our product lines. Other factors that affect competition in the HVACR market include the development and application of new technologies, an increasing emphasis on the development of more efficient HVACR products and new product introductions. We may not be able to adapt to market changes as quickly or effectively as our current and future competitors. Also, the establishment of manufacturing operations in low-cost countries could provide cost advantages to existing and emerging competitors. Some of our competitors may have greater financial resources than we have, allowing them to invest in more extensive research and development and/or marketing activity and making them better able to withstand adverse HVACR market conditions. Current and future competitive pressures may cause us to reduce our prices or lose market share, or could negatively affect our cash flow, all of which could have a material adverse effect on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Performance Is Affected by the Conditions of the U.S. Construction Industry.</w:t>
      </w:r>
    </w:p>
    <w:p>
      <w:pPr>
        <w:spacing w:after="0" w:line="22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Our business is affected by the performance of the U.S. construction industry. Our sales in the residential and commercial new construction markets correlate to the number of new homes and buildings that are built, which in turn is influenced by cyclical factors such as interest rates, inflation, availability of financing, consumer spending habits and confidence, employment rates and other macroeconomic factors over which we have no control. Our sales may not improve, or improvement may be limited or lower than expected.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16"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Cooler than Normal Summers and Warmer than Normal Winters May Depress Our Sales.</w:t>
      </w:r>
    </w:p>
    <w:p>
      <w:pPr>
        <w:spacing w:after="0" w:line="221" w:lineRule="exact"/>
        <w:rPr>
          <w:sz w:val="20"/>
          <w:szCs w:val="20"/>
          <w:color w:val="auto"/>
        </w:rPr>
      </w:pPr>
    </w:p>
    <w:p>
      <w:pPr>
        <w:jc w:val="both"/>
        <w:ind w:firstLine="221"/>
        <w:spacing w:after="0" w:line="356" w:lineRule="auto"/>
        <w:rPr>
          <w:sz w:val="20"/>
          <w:szCs w:val="20"/>
          <w:color w:val="auto"/>
        </w:rPr>
      </w:pPr>
      <w:r>
        <w:rPr>
          <w:rFonts w:ascii="Arial" w:cs="Arial" w:eastAsia="Arial" w:hAnsi="Arial"/>
          <w:sz w:val="15"/>
          <w:szCs w:val="15"/>
          <w:color w:val="auto"/>
        </w:rPr>
        <w:t>Demand for our products and for our services is seasonal and strongly affected by the weather. Cooler than normal summers depress our sales of replacement air conditioning and refrigeration products and services. Similarly, warmer than normal winters have the same effect on our heating products and services.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Legislation or Government Regulations or Policies Could Have an Adverse Effect on Our Results of Operations.</w:t>
      </w:r>
    </w:p>
    <w:p>
      <w:pPr>
        <w:spacing w:after="0" w:line="221" w:lineRule="exact"/>
        <w:rPr>
          <w:sz w:val="20"/>
          <w:szCs w:val="20"/>
          <w:color w:val="auto"/>
        </w:rPr>
      </w:pPr>
    </w:p>
    <w:p>
      <w:pPr>
        <w:jc w:val="both"/>
        <w:ind w:firstLine="234"/>
        <w:spacing w:after="0" w:line="279" w:lineRule="auto"/>
        <w:rPr>
          <w:sz w:val="20"/>
          <w:szCs w:val="20"/>
          <w:color w:val="auto"/>
        </w:rPr>
      </w:pPr>
      <w:r>
        <w:rPr>
          <w:rFonts w:ascii="Arial" w:cs="Arial" w:eastAsia="Arial" w:hAnsi="Arial"/>
          <w:sz w:val="16"/>
          <w:szCs w:val="16"/>
          <w:color w:val="auto"/>
        </w:rPr>
        <w:t>The sales, gross margins and profitability for each of our segments could be directly impacted by changes in legislation or government regulations or policies. Specifically, changes in environmental and energy efficiency standards and regulations, such as the recent amendments to the Montreal Protocol to phase down the use of hydrofluorocarbons, may particularly have a significant impact on the types of products that we are allowed to develop and sell, and the types of products that are developed and sold by our competitors. Our inability or delay in developing or marketing products that match customer demand and that meet applicable efficiency and environmental standards may negatively impact our results. The demand for our products and services could also be affected by the size and availability of tax incentives for purchasers of our products and services. Future legislation or regulations, including environmental matters, product certification, product liability, taxes, tax incentives and other matters, may impact the results of each of our operating segments and our consolidated results.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Changes in U.S. Trade Policy, Including the Imposition of Tariffs and the Resulting Consequences, Could Have an Adverse Effect on our Results of Operations.</w:t>
      </w:r>
    </w:p>
    <w:p>
      <w:pPr>
        <w:spacing w:after="0" w:line="159" w:lineRule="exact"/>
        <w:rPr>
          <w:sz w:val="20"/>
          <w:szCs w:val="20"/>
          <w:color w:val="auto"/>
        </w:rPr>
      </w:pPr>
    </w:p>
    <w:p>
      <w:pPr>
        <w:jc w:val="both"/>
        <w:ind w:firstLine="234"/>
        <w:spacing w:after="0" w:line="283" w:lineRule="auto"/>
        <w:rPr>
          <w:sz w:val="20"/>
          <w:szCs w:val="20"/>
          <w:color w:val="auto"/>
        </w:rPr>
      </w:pPr>
      <w:r>
        <w:rPr>
          <w:rFonts w:ascii="Arial" w:cs="Arial" w:eastAsia="Arial" w:hAnsi="Arial"/>
          <w:sz w:val="16"/>
          <w:szCs w:val="16"/>
          <w:color w:val="auto"/>
        </w:rPr>
        <w:t>The U.S. government has made changes in U.S. trade policy over the past several years. These changes include renegotiating and terminating certain existing bilateral or multi-lateral trade agreements, such as the North American Free Trade Agreement, and initiating tariffs on certain foreign goods from a variety of countries and regions, most notably China. These changes in U.S. trade policy have resulted in, and may continue to result in, one or more foreign governments adopting responsive trade policies that make it more difficult or costly for us to do business in or import our products or components from those countries. The sales, gross margins and profitability for each of our segments could be directly impacted by changes in tariffs and trade agreements.</w:t>
      </w:r>
    </w:p>
    <w:p>
      <w:pPr>
        <w:spacing w:after="0" w:line="165" w:lineRule="exact"/>
        <w:rPr>
          <w:sz w:val="20"/>
          <w:szCs w:val="20"/>
          <w:color w:val="auto"/>
        </w:rPr>
      </w:pPr>
    </w:p>
    <w:p>
      <w:pPr>
        <w:jc w:val="both"/>
        <w:ind w:firstLine="234"/>
        <w:spacing w:after="0" w:line="283" w:lineRule="auto"/>
        <w:rPr>
          <w:sz w:val="20"/>
          <w:szCs w:val="20"/>
          <w:color w:val="auto"/>
        </w:rPr>
      </w:pPr>
      <w:r>
        <w:rPr>
          <w:rFonts w:ascii="Arial" w:cs="Arial" w:eastAsia="Arial" w:hAnsi="Arial"/>
          <w:sz w:val="16"/>
          <w:szCs w:val="16"/>
          <w:color w:val="auto"/>
        </w:rPr>
        <w:t>We cannot predict the extent to which the U.S. or other countries will impose new or additional quotas, duties, tariffs, taxes or other similar restrictions upon the import or export of our products in the future, nor can we predict future trade policy or the terms of any renegotiated trade agreements and their impact on our business. The continuing adoption or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have a material adverse effect on our business, operating results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Global General Business, Economic and Market Conditions Could Adversely Affect Our Financial Performance and Limit our Access to the Capital Markets.</w:t>
      </w:r>
    </w:p>
    <w:p>
      <w:pPr>
        <w:spacing w:after="0" w:line="244" w:lineRule="exact"/>
        <w:rPr>
          <w:sz w:val="20"/>
          <w:szCs w:val="20"/>
          <w:color w:val="auto"/>
        </w:rPr>
      </w:pPr>
    </w:p>
    <w:p>
      <w:pPr>
        <w:jc w:val="both"/>
        <w:ind w:firstLine="234"/>
        <w:spacing w:after="0" w:line="261" w:lineRule="auto"/>
        <w:rPr>
          <w:sz w:val="20"/>
          <w:szCs w:val="20"/>
          <w:color w:val="auto"/>
        </w:rPr>
      </w:pPr>
      <w:r>
        <w:rPr>
          <w:rFonts w:ascii="Arial" w:cs="Arial" w:eastAsia="Arial" w:hAnsi="Arial"/>
          <w:sz w:val="17"/>
          <w:szCs w:val="17"/>
          <w:color w:val="auto"/>
        </w:rPr>
        <w:t>Future disruptions in U.S. or global financial and credit markets or increases in the costs of capital might have an adverse impact on our business. The tightening, unavailability or increased costs of credit adversely affects the ability of our customers to obtain financing for significant purchases and operations, which could result in a decrease in sales of our products and services and may impact the ability of our customers to make payments to us. Similarly, tightening of credit may adversely affect our supplier base and increase the potential for one or more of our suppliers to experience financial distress or bankruptcy. Our business may also be adversely affected by future decreases in the general level of economic activity and increases in borrowing costs, which may cause our customers to cancel, decrease or delay their purchases of our products and services.</w:t>
      </w:r>
    </w:p>
    <w:p>
      <w:pPr>
        <w:spacing w:after="0" w:line="183" w:lineRule="exact"/>
        <w:rPr>
          <w:sz w:val="20"/>
          <w:szCs w:val="20"/>
          <w:color w:val="auto"/>
        </w:rPr>
      </w:pPr>
    </w:p>
    <w:p>
      <w:pPr>
        <w:jc w:val="both"/>
        <w:ind w:firstLine="234"/>
        <w:spacing w:after="0" w:line="281" w:lineRule="auto"/>
        <w:rPr>
          <w:sz w:val="20"/>
          <w:szCs w:val="20"/>
          <w:color w:val="auto"/>
        </w:rPr>
      </w:pPr>
      <w:r>
        <w:rPr>
          <w:rFonts w:ascii="Arial" w:cs="Arial" w:eastAsia="Arial" w:hAnsi="Arial"/>
          <w:sz w:val="16"/>
          <w:szCs w:val="16"/>
          <w:color w:val="auto"/>
        </w:rPr>
        <w:t>If financial markets were to deteriorate, or costs of capital were to increase significantly due to a lowering of our credit ratings, prevailing industry conditions, the volatility of the capital markets or other factors, we may be unable to obtain new financing on acceptable terms, or at all. A deterioration in our financial performance could also limit our future ability to access amounts currently available under our domestic credit facility. In addition, availability under our asset securitization agreement may be adversely impacted by credit quality and performance of our customer accounts receivable. The availability under our asset securitization agreement is based on the amount of accounts receivable that meet the eligibility criteria of the asset securitization agreement. If receivable losses increase or credit quality deteriorates, the amount of eligible receivables could decline and, in turn, lower the availability under the asset securitization.</w:t>
      </w:r>
    </w:p>
    <w:p>
      <w:pPr>
        <w:spacing w:after="0" w:line="166"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We cannot predict the likelihood, duration or severity of any future disruption in financial markets or any adverse economic conditions in the U.S. and other countries.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44"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Our International Operations Subject Us to Risks Including Foreign Currency Fluctuations, Regulations and Other Risks.</w:t>
      </w:r>
    </w:p>
    <w:p>
      <w:pPr>
        <w:spacing w:after="0" w:line="221" w:lineRule="exact"/>
        <w:rPr>
          <w:sz w:val="20"/>
          <w:szCs w:val="20"/>
          <w:color w:val="auto"/>
        </w:rPr>
      </w:pPr>
    </w:p>
    <w:p>
      <w:pPr>
        <w:jc w:val="both"/>
        <w:ind w:firstLine="234"/>
        <w:spacing w:after="0" w:line="281" w:lineRule="auto"/>
        <w:rPr>
          <w:sz w:val="20"/>
          <w:szCs w:val="20"/>
          <w:color w:val="auto"/>
        </w:rPr>
      </w:pPr>
      <w:r>
        <w:rPr>
          <w:rFonts w:ascii="Arial" w:cs="Arial" w:eastAsia="Arial" w:hAnsi="Arial"/>
          <w:sz w:val="16"/>
          <w:szCs w:val="16"/>
          <w:color w:val="auto"/>
        </w:rPr>
        <w:t>We earn revenue, pay expenses, own assets and incur liabilities in countries using currencies other than the U.S. dollar. Our Consolidated Financial Statements are presented in U.S. dollars and we translate revenue, income, expenses, assets and liabilities into U.S. dollars at exchange rates in effect during or at the end of each reporting period. Therefore, increases or decreases in the value of the U.S. dollar relative to other currencies may affect our net operating revenues, operating income and the value of balance sheet items denominated in foreign currencies. Because of the geographic diversity of our operations, weaknesses in some currencies might be offset by strengths in others over time. However, we cannot assure that fluctuations in foreign currency exchange rates, particularly the strengthening of the U.S. dollar against major currencies, would not materially affect our financial results.</w:t>
      </w:r>
    </w:p>
    <w:p>
      <w:pPr>
        <w:spacing w:after="0" w:line="166" w:lineRule="exact"/>
        <w:rPr>
          <w:sz w:val="20"/>
          <w:szCs w:val="20"/>
          <w:color w:val="auto"/>
        </w:rPr>
      </w:pPr>
    </w:p>
    <w:p>
      <w:pPr>
        <w:jc w:val="both"/>
        <w:ind w:firstLine="234"/>
        <w:spacing w:after="0" w:line="279" w:lineRule="auto"/>
        <w:rPr>
          <w:sz w:val="20"/>
          <w:szCs w:val="20"/>
          <w:color w:val="auto"/>
        </w:rPr>
      </w:pPr>
      <w:r>
        <w:rPr>
          <w:rFonts w:ascii="Arial" w:cs="Arial" w:eastAsia="Arial" w:hAnsi="Arial"/>
          <w:sz w:val="16"/>
          <w:szCs w:val="16"/>
          <w:color w:val="auto"/>
        </w:rPr>
        <w:t>In addition to the currency exchange risks inherent in operating in foreign countries, our international sales and operations, including purchases of raw materials from international suppliers, are subject to risks associated with local government laws, regulations and policies (including those related to tariffs and trade barriers, investments, taxation, exchange controls, employment regulations and changes in laws and regulations). Our international sales and operations are also sensitive to changes in foreign national priorities, including government budgets, as well as to geopolitical and economic instability. International transactions may involve increased financial and legal risks due to differing legal systems and customs in foreign countries, as well as compliance with anti-corruption laws such as the U.S. Foreign Corrupt Practices Act and the U.K. Bribery Act. The ability to manage these risks could be difficult and may limit our operations and make the manufacture and sale of our products internationally more difficult, which could negatively affect our business and results of operations.</w:t>
      </w:r>
    </w:p>
    <w:p>
      <w:pPr>
        <w:spacing w:after="0" w:line="170" w:lineRule="exact"/>
        <w:rPr>
          <w:sz w:val="20"/>
          <w:szCs w:val="20"/>
          <w:color w:val="auto"/>
        </w:rPr>
      </w:pPr>
    </w:p>
    <w:p>
      <w:pPr>
        <w:jc w:val="both"/>
        <w:ind w:firstLine="234"/>
        <w:spacing w:after="0" w:line="279" w:lineRule="auto"/>
        <w:rPr>
          <w:sz w:val="20"/>
          <w:szCs w:val="20"/>
          <w:color w:val="auto"/>
        </w:rPr>
      </w:pPr>
      <w:r>
        <w:rPr>
          <w:rFonts w:ascii="Arial" w:cs="Arial" w:eastAsia="Arial" w:hAnsi="Arial"/>
          <w:sz w:val="16"/>
          <w:szCs w:val="16"/>
          <w:color w:val="auto"/>
        </w:rPr>
        <w:t>Conflicts, wars, natural disasters, infectious disease outbreaks or terrorist acts could also cause significant damage or disruption to our operations, employees, facilities, systems, suppliers, supply chain, distributors, resellers or customers in the United States and internationally for extended periods of time and could also affect demand for our products. For example, in December 2019, a strain of coronavirus surfaced in Wuhan, China. Lennox has two small offices in Shanghai and Shenzhen, China with 30 employees devoted to supply chain, engineering, and trade compliance matters. We also source components from approximately 24 suppliers located throughout China. At the time of this filing, the outbreak has been largely concentrated in China, although cases have been confirmed in other countries. The extent to which the coronavirus impacts our results will depend on future developments, which are highly uncertain and unpredictable, including new information concerning the severity of the coronavirus and the actions to contain or treat its impact, among others.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sales outside of the United States comprised 13.2% of our net sales in 2019.</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Ability to Meet Customer Demand may be Limited by Our Single-Location Production Facilities, Reliance on Certain Key Suppliers and Unanticipated Significant Shifts in Customer Demand.</w:t>
      </w:r>
    </w:p>
    <w:p>
      <w:pPr>
        <w:spacing w:after="0" w:line="159"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We manufacture many of our products at single-location production facilities, and we rely on certain suppliers who also may concentrate production in single locations. Any significant interruptions in production at one or more of our facilities, or at a facility of one of our suppliers, could negatively impact our ability to deliver our products to our customers. We experienced such an event in July 2018, when our manufacturing facility in Marshalltown, Iowa was severely damaged by a tornado. See Item 7. “Management’s Discussion and Analysis of Financial Condition and Results of Operations - Business Overview - Marshalltown Tornado.”</w:t>
      </w:r>
    </w:p>
    <w:p>
      <w:pPr>
        <w:spacing w:after="0" w:line="179"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Further, even with all of our facilities running at full production, we could potentially be unable to fully meet demand during an unanticipated period of exceptionally high demand. Our inability to meet our customers’ demand for our products could have a material adverse effect on our business, financial condition and results of operations.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Price Volatility for Commodities and Components We Purchase or Significant Supply Interruptions Could Have an Adverse Effect on Our Cash Flow or Results of Operations.</w:t>
      </w:r>
    </w:p>
    <w:p>
      <w:pPr>
        <w:spacing w:after="0" w:line="159" w:lineRule="exact"/>
        <w:rPr>
          <w:sz w:val="20"/>
          <w:szCs w:val="20"/>
          <w:color w:val="auto"/>
        </w:rPr>
      </w:pPr>
    </w:p>
    <w:p>
      <w:pPr>
        <w:jc w:val="both"/>
        <w:ind w:firstLine="234"/>
        <w:spacing w:after="0" w:line="260" w:lineRule="auto"/>
        <w:rPr>
          <w:sz w:val="20"/>
          <w:szCs w:val="20"/>
          <w:color w:val="auto"/>
        </w:rPr>
      </w:pPr>
      <w:r>
        <w:rPr>
          <w:rFonts w:ascii="Arial" w:cs="Arial" w:eastAsia="Arial" w:hAnsi="Arial"/>
          <w:sz w:val="17"/>
          <w:szCs w:val="17"/>
          <w:color w:val="auto"/>
        </w:rPr>
        <w:t>We depend on raw materials, such as steel, copper and aluminum, and components purchased from third parties to manufacture our products. Some of these third-party suppliers are located outside of the United States. We generally concentrate purchases for a given raw material or component with a small number of suppliers. If a supplier is unable or unwilling to meet our supply requirements, including suffering any disruptions at its facilities or in its supply chain, we could experience supply interruptions or cost increases, either of which could have an adverse effect on our results of operations. Similarly, suppliers of components that we purchase for use in our products may be affected by rising material costs and pass these increased costs on to us. Although we regularly pre-purchase a portion of our raw materials at fixed prices each year to hedge against price increases, an increase in raw materials prices not covered by our fixed price arrangements could significantly increase our cost of goods sold and negatively impact our margins if we are unable to effectively pass such price increases on to our customers. Alternatively, if we increase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544" w:right="2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prices in response to increases in the prices or quantities of raw materials or components or if we encounter significant supply interruptions, our competitive position could be adversely affected, which may result in depressed sales and profitability.</w:t>
      </w:r>
    </w:p>
    <w:p>
      <w:pPr>
        <w:spacing w:after="0" w:line="159"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In addition, we use derivatives to hedge price risk associated with forecasted purchases of certain raw materials. Our hedged prices could result in paying higher or lower prices for commodities as compared to the market prices for those commodities when purchased.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Costs as a Result of Claims Which Could Have an Adverse Effect on Our Results of Operations.</w:t>
      </w:r>
    </w:p>
    <w:p>
      <w:pPr>
        <w:spacing w:after="0" w:line="221" w:lineRule="exact"/>
        <w:rPr>
          <w:sz w:val="20"/>
          <w:szCs w:val="20"/>
          <w:color w:val="auto"/>
        </w:rPr>
      </w:pPr>
    </w:p>
    <w:p>
      <w:pPr>
        <w:jc w:val="both"/>
        <w:ind w:firstLine="221"/>
        <w:spacing w:after="0" w:line="266" w:lineRule="auto"/>
        <w:rPr>
          <w:sz w:val="20"/>
          <w:szCs w:val="20"/>
          <w:color w:val="auto"/>
        </w:rPr>
      </w:pPr>
      <w:r>
        <w:rPr>
          <w:rFonts w:ascii="Arial" w:cs="Arial" w:eastAsia="Arial" w:hAnsi="Arial"/>
          <w:sz w:val="17"/>
          <w:szCs w:val="17"/>
          <w:color w:val="auto"/>
        </w:rPr>
        <w:t>The development, manufacture, sale and use of our products involve warranty, intellectual property infringement, product liability claim and other risks. In some cases, we may incur liability claims for the installation and service of our products. Our product liability insurance policies have limits that, if exceeded, may result in substantial costs that would have an adverse effect on our results of operations. In addition, warranty claims are not covered by our product liability insurance and certain product liability claims may also not be covered by our product liability insurance.</w:t>
      </w:r>
    </w:p>
    <w:p>
      <w:pPr>
        <w:spacing w:after="0" w:line="175" w:lineRule="exact"/>
        <w:rPr>
          <w:sz w:val="20"/>
          <w:szCs w:val="20"/>
          <w:color w:val="auto"/>
        </w:rPr>
      </w:pPr>
    </w:p>
    <w:p>
      <w:pPr>
        <w:jc w:val="both"/>
        <w:ind w:firstLine="221"/>
        <w:spacing w:after="0" w:line="263" w:lineRule="auto"/>
        <w:rPr>
          <w:sz w:val="20"/>
          <w:szCs w:val="20"/>
          <w:color w:val="auto"/>
        </w:rPr>
      </w:pPr>
      <w:r>
        <w:rPr>
          <w:rFonts w:ascii="Arial" w:cs="Arial" w:eastAsia="Arial" w:hAnsi="Arial"/>
          <w:sz w:val="17"/>
          <w:szCs w:val="17"/>
          <w:color w:val="auto"/>
        </w:rPr>
        <w:t>For some of our HVAC products, we provide warranty terms ranging from one to 20 years to customers for certain components such as compressors or heat exchangers. For certain limited products, we provided lifetime warranties. Warranties of such extended lengths pose a risk to us as actual future costs may exceed our current estimates of those costs. Warranty expense is recorded on the date that revenue is recognized and requires significant assumptions about what costs will be incurred in the future. We may be required to record material adjustments to accruals and expense in the future if actual costs for these warranties are different from our assumptions.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Successfully Execute our Business Strategy, Our Results of Operations Could be Adversely Impacted</w:t>
      </w:r>
    </w:p>
    <w:p>
      <w:pPr>
        <w:spacing w:after="0" w:line="22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Our future success depends on our continued investment in research and new product development as well as our ability to commercialize new HVACR technological advances in domestic and global markets. If we are unable to continue to timely and successfully develop and market new products, achieve technological advances or extend our business model and technological advances into international markets, our business and results of operations could be adversely impacted.</w:t>
      </w:r>
    </w:p>
    <w:p>
      <w:pPr>
        <w:spacing w:after="0" w:line="175" w:lineRule="exact"/>
        <w:rPr>
          <w:sz w:val="20"/>
          <w:szCs w:val="20"/>
          <w:color w:val="auto"/>
        </w:rPr>
      </w:pPr>
    </w:p>
    <w:p>
      <w:pPr>
        <w:jc w:val="both"/>
        <w:ind w:firstLine="234"/>
        <w:spacing w:after="0" w:line="303" w:lineRule="auto"/>
        <w:rPr>
          <w:sz w:val="20"/>
          <w:szCs w:val="20"/>
          <w:color w:val="auto"/>
        </w:rPr>
      </w:pPr>
      <w:r>
        <w:rPr>
          <w:rFonts w:ascii="Arial" w:cs="Arial" w:eastAsia="Arial" w:hAnsi="Arial"/>
          <w:sz w:val="15"/>
          <w:szCs w:val="15"/>
          <w:color w:val="auto"/>
        </w:rPr>
        <w:t>We are engaged in various manufacturing rationalization actions designed to achieve our strategic priorities of manufacturing, sourcing and distribution excellence and of lowering our cost structure. For example, we are continuing to reorganize our North American distribution network in order to better serve our customers’ needs by deploying parts and equipment inventory closer to them and are expanding our sourcing activities outside of the U.S. We also continue to rationalize and reorganize various support and administrative functions in order to reduce ongoing selling and administrative expenses. If we cannot successfully implement such distribution and restructuring strategies or other cost savings plans, we may not achieve our expected cost savings in the time anticipated, or at all. In such case, our results of operations and profitability may be negatively impacted, making us less competitive and potentially causing us to lose market share.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Security Breaches and Other Disruptions or Misuse of Information Systems We Rely Upon Could Affect Our Ability to Conduct Our Business Effectively.</w:t>
      </w:r>
    </w:p>
    <w:p>
      <w:pPr>
        <w:spacing w:after="0" w:line="244" w:lineRule="exact"/>
        <w:rPr>
          <w:sz w:val="20"/>
          <w:szCs w:val="20"/>
          <w:color w:val="auto"/>
        </w:rPr>
      </w:pPr>
    </w:p>
    <w:p>
      <w:pPr>
        <w:jc w:val="both"/>
        <w:ind w:firstLine="234"/>
        <w:spacing w:after="0" w:line="259" w:lineRule="auto"/>
        <w:rPr>
          <w:sz w:val="20"/>
          <w:szCs w:val="20"/>
          <w:color w:val="auto"/>
        </w:rPr>
      </w:pPr>
      <w:r>
        <w:rPr>
          <w:rFonts w:ascii="Arial" w:cs="Arial" w:eastAsia="Arial" w:hAnsi="Arial"/>
          <w:sz w:val="17"/>
          <w:szCs w:val="17"/>
          <w:color w:val="auto"/>
        </w:rPr>
        <w:t>Our information systems and those of our business partners are important to our business activities. We also outsource various information systems, including data management, to third-party service providers. Despite our security measures as well as those of our business partners and third-party service providers, the information systems we rely upon may be vulnerable to interruption or damage from computer hackings, computer viruses, worms or other destructive or disruptive software, process breakdowns, denial of service attacks, malicious social engineering or other malicious activities, or any combination thereof. Attempts have been made to attack our information systems, but no material harm has resulted. While we have implemented controls and taken other preventative actions to strengthen these systems against future attacks, we can give no assurance that these controls and preventative actions will be effective. Any breach of data security could result in a disruption of our services or improper disclosure of personal data or confidential information, which could harm our reputation, require us to expend resources to remedy such a security breach or defend against further attacks or subject us to liability under laws that protect personal data, resulting in increased operating costs or loss of revenue.</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Not be Able to Successfully Integrate and Operate Businesses that We May Acquire nor Realize the Anticipated Benefits of Strategic Relationships We May Form.</w:t>
      </w:r>
    </w:p>
    <w:p>
      <w:pPr>
        <w:spacing w:after="0" w:line="159"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From time to time, we may seek to complement or expand our businesses through strategic acquisitions, joint ventures and strategic relationships. The success of these transactions will depend, in part, on our ability to timely identify those relationships, negotiate and close the transactions and then integrate, manage and operate those businesses profitably. If we are unable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544" w:right="2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7"/>
          <w:szCs w:val="17"/>
          <w:color w:val="auto"/>
        </w:rPr>
        <w:t>successfully do those things, we may not realize the anticipated benefits associated with such transactions, which could adversely affect our business and results of operations.</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Because a Significant Percentage of Our Workforce is Unionized in Certain Manufacturing Facilities, We Face Risks of Work Stoppages and Other Labor Relations Problems.</w:t>
      </w:r>
    </w:p>
    <w:p>
      <w:pPr>
        <w:spacing w:after="0" w:line="159"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As of February 7, 2020, approximately 27% of our workforce, including international locations, was unionized. The results of future negotiations with these unions and the effects of any production interruptions or labor stoppages could have a material adverse effect on our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Litigation and Tax, Environmental and Other Regulations that Could Have an Adverse Effect on Our Results of Operations.</w:t>
      </w:r>
    </w:p>
    <w:p>
      <w:pPr>
        <w:spacing w:after="0" w:line="221" w:lineRule="exact"/>
        <w:rPr>
          <w:sz w:val="20"/>
          <w:szCs w:val="20"/>
          <w:color w:val="auto"/>
        </w:rPr>
      </w:pPr>
    </w:p>
    <w:p>
      <w:pPr>
        <w:jc w:val="both"/>
        <w:ind w:firstLine="234"/>
        <w:spacing w:after="0" w:line="301" w:lineRule="auto"/>
        <w:rPr>
          <w:sz w:val="20"/>
          <w:szCs w:val="20"/>
          <w:color w:val="auto"/>
        </w:rPr>
      </w:pPr>
      <w:r>
        <w:rPr>
          <w:rFonts w:ascii="Arial" w:cs="Arial" w:eastAsia="Arial" w:hAnsi="Arial"/>
          <w:sz w:val="15"/>
          <w:szCs w:val="15"/>
          <w:color w:val="auto"/>
        </w:rPr>
        <w:t>We are involved in various claims and lawsuits incidental to our business, including those involving product liability, labor relations, alleged exposure to asbestos-containing materials and environmental matters, some of which claim significant damages. Estimates related to our claims and lawsuits, including estimates for asbestos-related claims and related insurance recoveries, involve numerous uncertainties. Given the inherent uncertainty of litigation and estimates, we cannot be certain that existing claims or litigation or any future adverse legal developments will not have a material adverse impact on our financial condition. In addition, we are subject to extensive and changing federal, state and local laws and regulations designed to protect the environment. These laws and regulations could impose liability for remediation costs and civil or criminal penalties in cases of non-compliance. Compliance with environmental laws increases our costs of doing business. Because these laws are subject to frequent change, we are unable to predict the future costs resulting from environmental compliance.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Capital Markets Could Necessitate Increased Cash Contributions by Us to Our Pension Plans to Maintain Required Levels of Funding.</w:t>
      </w:r>
    </w:p>
    <w:p>
      <w:pPr>
        <w:spacing w:after="0" w:line="233"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Volatility in the capital markets may have a significant impact on the funding status of our defined benefit pension plans. If the performance of the capital markets depresses the value of our defined benefit pension plan assets or increases the liabilities, we would be required to make additional contributions to the pension plans. The amount of contributions we may be required to make to our pension plans in the future is uncertain and could be significant, which may have a material adverse effect on our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Results of Operations May Suffer if We Cannot Continue to License or Enforce the Intellectual Property Rights on Which Our Businesses Depend or if Third Parties Assert That We Violate Their Intellectual Property Rights.</w:t>
      </w:r>
    </w:p>
    <w:p>
      <w:pPr>
        <w:spacing w:after="0" w:line="159" w:lineRule="exact"/>
        <w:rPr>
          <w:sz w:val="20"/>
          <w:szCs w:val="20"/>
          <w:color w:val="auto"/>
        </w:rPr>
      </w:pPr>
    </w:p>
    <w:p>
      <w:pPr>
        <w:jc w:val="both"/>
        <w:ind w:firstLine="221"/>
        <w:spacing w:after="0" w:line="323" w:lineRule="auto"/>
        <w:rPr>
          <w:sz w:val="20"/>
          <w:szCs w:val="20"/>
          <w:color w:val="auto"/>
        </w:rPr>
      </w:pPr>
      <w:r>
        <w:rPr>
          <w:rFonts w:ascii="Arial" w:cs="Arial" w:eastAsia="Arial" w:hAnsi="Arial"/>
          <w:sz w:val="15"/>
          <w:szCs w:val="15"/>
          <w:color w:val="auto"/>
        </w:rPr>
        <w:t>We rely upon patent, copyright, trademark and trade secret laws and agreements to establish and maintain intellectual property rights in the products we sell. Our intellectual property rights could be challenged, invalidated, infringed, circumvented, or be insufficient to permit us to take advantage of current market trends or to otherwise provide competitive advantages. Further, the laws of certain countries do not protect proprietary rights to the same extent as the laws of the United States.</w:t>
      </w:r>
    </w:p>
    <w:p>
      <w:pPr>
        <w:spacing w:after="0" w:line="137" w:lineRule="exact"/>
        <w:rPr>
          <w:sz w:val="20"/>
          <w:szCs w:val="20"/>
          <w:color w:val="auto"/>
        </w:rPr>
      </w:pPr>
    </w:p>
    <w:p>
      <w:pPr>
        <w:jc w:val="both"/>
        <w:ind w:firstLine="221"/>
        <w:spacing w:after="0" w:line="263" w:lineRule="auto"/>
        <w:rPr>
          <w:sz w:val="20"/>
          <w:szCs w:val="20"/>
          <w:color w:val="auto"/>
        </w:rPr>
      </w:pPr>
      <w:r>
        <w:rPr>
          <w:rFonts w:ascii="Arial" w:cs="Arial" w:eastAsia="Arial" w:hAnsi="Arial"/>
          <w:sz w:val="17"/>
          <w:szCs w:val="17"/>
          <w:color w:val="auto"/>
        </w:rPr>
        <w:t>Third parties may also claim that we are infringing upon their intellectual property rights. If we do not license infringed intellectual property or if we are required to substitute similar technology from another source, our operations could be adversely affected. Even if we believe that intellectual property claims are without merit, they can be time consuming, require significant resources and be costly to defend. Claims of intellectual property infringement also might require us to redesign affected products, pay costly damage awards, or face injunction prohibiting us from manufacturing, importing, marketing or selling certain of our products. Even if we have agreements to indemnify us, indemnifying parties may be unable or unwilling to do so.</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Any Future Determination that a Significant Impairment of the Value of Our Goodwill Intangible Asset Occurred Could Have an Adverse Effect on Our Results of Operations.</w:t>
      </w:r>
    </w:p>
    <w:p>
      <w:pPr>
        <w:spacing w:after="0" w:line="159"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As of December 31, 2019, we had goodwill of $186.5 million on our Consolidated Balance Sheet. Any future determination that an impairment of the value of goodwill occurred would require a write-down of the impaired portion of goodwill to fair value and would reduce our assets and stockholders’ equity and could have a material adverse effect on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544"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227"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The following chart lists our principal domestic and international manufacturing, distribution and office facilities as of December 31, 2019 and indicates the business segment that uses such facilities, the approximate size of such facilities and whether such facilities are owned or leased. Also included in the chart are large warehouses that hold significant inventory balances.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Approx. Sq. Ft. (In</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75"/>
        </w:trPr>
        <w:tc>
          <w:tcPr>
            <w:tcW w:w="16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Location</w:t>
            </w:r>
          </w:p>
        </w:tc>
        <w:tc>
          <w:tcPr>
            <w:tcW w:w="1900" w:type="dxa"/>
            <w:vAlign w:val="bottom"/>
          </w:tcPr>
          <w:p>
            <w:pPr>
              <w:spacing w:after="0"/>
              <w:rPr>
                <w:sz w:val="15"/>
                <w:szCs w:val="15"/>
                <w:color w:val="auto"/>
              </w:rPr>
            </w:pPr>
          </w:p>
        </w:tc>
        <w:tc>
          <w:tcPr>
            <w:tcW w:w="17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Segment</w:t>
            </w:r>
          </w:p>
        </w:tc>
        <w:tc>
          <w:tcPr>
            <w:tcW w:w="1020" w:type="dxa"/>
            <w:vAlign w:val="bottom"/>
          </w:tcPr>
          <w:p>
            <w:pPr>
              <w:spacing w:after="0"/>
              <w:rPr>
                <w:sz w:val="15"/>
                <w:szCs w:val="15"/>
                <w:color w:val="auto"/>
              </w:rPr>
            </w:pPr>
          </w:p>
        </w:tc>
        <w:tc>
          <w:tcPr>
            <w:tcW w:w="2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Type or Use of Facility</w:t>
            </w:r>
          </w:p>
        </w:tc>
        <w:tc>
          <w:tcPr>
            <w:tcW w:w="1200" w:type="dxa"/>
            <w:vAlign w:val="bottom"/>
            <w:gridSpan w:val="3"/>
          </w:tcPr>
          <w:p>
            <w:pPr>
              <w:jc w:val="center"/>
              <w:ind w:left="262"/>
              <w:spacing w:after="0" w:line="175" w:lineRule="exact"/>
              <w:rPr>
                <w:sz w:val="20"/>
                <w:szCs w:val="20"/>
                <w:color w:val="auto"/>
              </w:rPr>
            </w:pPr>
            <w:r>
              <w:rPr>
                <w:rFonts w:ascii="Arial" w:cs="Arial" w:eastAsia="Arial" w:hAnsi="Arial"/>
                <w:sz w:val="16"/>
                <w:szCs w:val="16"/>
                <w:b w:val="1"/>
                <w:bCs w:val="1"/>
                <w:color w:val="auto"/>
                <w:w w:val="85"/>
              </w:rPr>
              <w:t>thousands)</w:t>
            </w:r>
          </w:p>
        </w:tc>
        <w:tc>
          <w:tcPr>
            <w:tcW w:w="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Owned/Leased</w:t>
            </w:r>
          </w:p>
        </w:tc>
      </w:tr>
      <w:tr>
        <w:trPr>
          <w:trHeight w:val="45"/>
        </w:trPr>
        <w:tc>
          <w:tcPr>
            <w:tcW w:w="4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Marshalltown, IA</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Residential Heating &amp; Cooling</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Manufacturing &amp; Distribution</w:t>
            </w:r>
          </w:p>
        </w:tc>
        <w:tc>
          <w:tcPr>
            <w:tcW w:w="1140" w:type="dxa"/>
            <w:vAlign w:val="bottom"/>
            <w:tcBorders>
              <w:bottom w:val="single" w:sz="8" w:color="CCEEFF"/>
            </w:tcBorders>
            <w:gridSpan w:val="2"/>
            <w:shd w:val="clear" w:color="auto" w:fill="CCEEFF"/>
          </w:tcPr>
          <w:p>
            <w:pPr>
              <w:jc w:val="center"/>
              <w:ind w:left="322"/>
              <w:spacing w:after="0"/>
              <w:rPr>
                <w:sz w:val="20"/>
                <w:szCs w:val="20"/>
                <w:color w:val="auto"/>
              </w:rPr>
            </w:pPr>
            <w:r>
              <w:rPr>
                <w:rFonts w:ascii="Arial" w:cs="Arial" w:eastAsia="Arial" w:hAnsi="Arial"/>
                <w:sz w:val="16"/>
                <w:szCs w:val="16"/>
                <w:color w:val="auto"/>
                <w:w w:val="84"/>
              </w:rPr>
              <w:t>1,000</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Owned &amp; Leased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Orangeburg, SC</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Residential Heating &amp; Cooling</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Manufacturing &amp; 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750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 &amp; Leased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Saltillo, Mexico</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Residential Heating &amp; Cooling</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Manufacturing &amp; Distribution</w:t>
            </w:r>
          </w:p>
        </w:tc>
        <w:tc>
          <w:tcPr>
            <w:tcW w:w="1140" w:type="dxa"/>
            <w:vAlign w:val="bottom"/>
            <w:tcBorders>
              <w:bottom w:val="single" w:sz="8" w:color="CCEEFF"/>
            </w:tcBorders>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638</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Grenada, MS</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Residential Heating &amp; Cooling</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Manufacturing &amp; 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395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 &amp; Leased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Romeoville, IL</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Residential Heating &amp; Cooling</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Distribution &amp; Office</w:t>
            </w:r>
          </w:p>
        </w:tc>
        <w:tc>
          <w:tcPr>
            <w:tcW w:w="1140" w:type="dxa"/>
            <w:vAlign w:val="bottom"/>
            <w:tcBorders>
              <w:bottom w:val="single" w:sz="8" w:color="CCEEFF"/>
            </w:tcBorders>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697</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McDonough, GA</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Residential Heating &amp; Cooling</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254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Grove City, OH</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Residential Heating &amp; Cooling</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tcBorders>
              <w:bottom w:val="single" w:sz="8" w:color="CCEEFF"/>
            </w:tcBorders>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279</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Pittston, PA</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Residential Heating &amp; Cooling</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144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Concord, NC</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Residential Heating &amp; Cooling</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tcBorders>
              <w:bottom w:val="single" w:sz="8" w:color="CCEEFF"/>
            </w:tcBorders>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123</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Blythewood, SC</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Residential Heating &amp; Cooling</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147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Eastvale, CA</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tcBorders>
              <w:bottom w:val="single" w:sz="8" w:color="CCEEFF"/>
            </w:tcBorders>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377</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Carrollton, TX</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252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Brampton, Canada</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tcBorders>
              <w:bottom w:val="single" w:sz="8" w:color="CCEEFF"/>
            </w:tcBorders>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251</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Houston, TX</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204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Orlando, FL</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tcBorders>
              <w:bottom w:val="single" w:sz="8" w:color="CCEEFF"/>
            </w:tcBorders>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173</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Middletown, PA</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166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Lenexa, KS</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tcBorders>
              <w:bottom w:val="single" w:sz="8" w:color="CCEEFF"/>
            </w:tcBorders>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147</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East Fife, WA</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22"/>
              <w:spacing w:after="0"/>
              <w:rPr>
                <w:sz w:val="20"/>
                <w:szCs w:val="20"/>
                <w:color w:val="auto"/>
              </w:rPr>
            </w:pPr>
            <w:r>
              <w:rPr>
                <w:rFonts w:ascii="Arial" w:cs="Arial" w:eastAsia="Arial" w:hAnsi="Arial"/>
                <w:sz w:val="16"/>
                <w:szCs w:val="16"/>
                <w:color w:val="auto"/>
                <w:w w:val="82"/>
              </w:rPr>
              <w:t>112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Calgary, Canada</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tcBorders>
              <w:bottom w:val="single" w:sz="8" w:color="CCEEFF"/>
            </w:tcBorders>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145</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Stuttgart, AR</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Commercial Heating &amp; Cooling</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Manufacturing</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750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Dallas, TX</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Commercial Heating &amp; Cooling</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tcBorders>
              <w:bottom w:val="single" w:sz="8" w:color="CCEEFF"/>
            </w:tcBorders>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227</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Leased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Jessup, PA</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Commercial Heating &amp; Cooling</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Leased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Longvic, France</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Refrigeration</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Manufacturing</w:t>
            </w:r>
          </w:p>
        </w:tc>
        <w:tc>
          <w:tcPr>
            <w:tcW w:w="1140" w:type="dxa"/>
            <w:vAlign w:val="bottom"/>
            <w:tcBorders>
              <w:bottom w:val="single" w:sz="8" w:color="CCEEFF"/>
            </w:tcBorders>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142</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Longvic, France</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Refrigeration</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133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Burgos, Spain</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Refrigeration</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Manufacturing</w:t>
            </w:r>
          </w:p>
        </w:tc>
        <w:tc>
          <w:tcPr>
            <w:tcW w:w="1140" w:type="dxa"/>
            <w:vAlign w:val="bottom"/>
            <w:tcBorders>
              <w:bottom w:val="single" w:sz="8" w:color="CCEEFF"/>
            </w:tcBorders>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140</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Mions, France</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Refrigeration</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Research &amp; Development</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7"/>
        </w:trPr>
        <w:tc>
          <w:tcPr>
            <w:tcW w:w="1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Genas, France</w:t>
            </w:r>
          </w:p>
        </w:tc>
        <w:tc>
          <w:tcPr>
            <w:tcW w:w="3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Refrigeration</w:t>
            </w: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w w:val="97"/>
              </w:rPr>
              <w:t>Manufacturing, Distribution &amp; Offices</w:t>
            </w:r>
          </w:p>
        </w:tc>
        <w:tc>
          <w:tcPr>
            <w:tcW w:w="1140" w:type="dxa"/>
            <w:vAlign w:val="bottom"/>
            <w:tcBorders>
              <w:bottom w:val="single" w:sz="8" w:color="CCEEFF"/>
            </w:tcBorders>
            <w:gridSpan w:val="2"/>
            <w:shd w:val="clear" w:color="auto" w:fill="CCEEFF"/>
          </w:tcPr>
          <w:p>
            <w:pPr>
              <w:jc w:val="center"/>
              <w:ind w:left="322"/>
              <w:spacing w:after="0"/>
              <w:rPr>
                <w:sz w:val="20"/>
                <w:szCs w:val="20"/>
                <w:color w:val="auto"/>
              </w:rPr>
            </w:pPr>
            <w:r>
              <w:rPr>
                <w:rFonts w:ascii="Arial" w:cs="Arial" w:eastAsia="Arial" w:hAnsi="Arial"/>
                <w:sz w:val="16"/>
                <w:szCs w:val="16"/>
                <w:color w:val="auto"/>
                <w:w w:val="82"/>
              </w:rPr>
              <w:t>111</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Tifton, GA</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Refrigeration</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Manufacturing &amp; 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738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 &amp; Leased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11"/>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Stone Mountain, GA</w:t>
            </w:r>
          </w:p>
        </w:tc>
        <w:tc>
          <w:tcPr>
            <w:tcW w:w="36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Refrigeration</w:t>
            </w:r>
          </w:p>
        </w:tc>
        <w:tc>
          <w:tcPr>
            <w:tcW w:w="306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Manufacturing &amp; Business Unit</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139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211"/>
        </w:trPr>
        <w:tc>
          <w:tcPr>
            <w:tcW w:w="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Headquarters</w:t>
            </w: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r>
      <w:tr>
        <w:trPr>
          <w:trHeight w:val="215"/>
        </w:trPr>
        <w:tc>
          <w:tcPr>
            <w:tcW w:w="1600" w:type="dxa"/>
            <w:vAlign w:val="bottom"/>
            <w:gridSpan w:val="3"/>
          </w:tcPr>
          <w:p>
            <w:pPr>
              <w:ind w:left="40"/>
              <w:spacing w:after="0"/>
              <w:rPr>
                <w:sz w:val="20"/>
                <w:szCs w:val="20"/>
                <w:color w:val="auto"/>
              </w:rPr>
            </w:pPr>
            <w:r>
              <w:rPr>
                <w:rFonts w:ascii="Arial" w:cs="Arial" w:eastAsia="Arial" w:hAnsi="Arial"/>
                <w:sz w:val="16"/>
                <w:szCs w:val="16"/>
                <w:color w:val="auto"/>
              </w:rPr>
              <w:t>Richardson, TX</w:t>
            </w:r>
          </w:p>
        </w:tc>
        <w:tc>
          <w:tcPr>
            <w:tcW w:w="3660" w:type="dxa"/>
            <w:vAlign w:val="bottom"/>
            <w:gridSpan w:val="3"/>
          </w:tcPr>
          <w:p>
            <w:pPr>
              <w:ind w:left="260"/>
              <w:spacing w:after="0"/>
              <w:rPr>
                <w:sz w:val="20"/>
                <w:szCs w:val="20"/>
                <w:color w:val="auto"/>
              </w:rPr>
            </w:pPr>
            <w:r>
              <w:rPr>
                <w:rFonts w:ascii="Arial" w:cs="Arial" w:eastAsia="Arial" w:hAnsi="Arial"/>
                <w:sz w:val="16"/>
                <w:szCs w:val="16"/>
                <w:color w:val="auto"/>
              </w:rPr>
              <w:t>Corporate and other</w:t>
            </w:r>
          </w:p>
        </w:tc>
        <w:tc>
          <w:tcPr>
            <w:tcW w:w="3060" w:type="dxa"/>
            <w:vAlign w:val="bottom"/>
            <w:gridSpan w:val="3"/>
          </w:tcPr>
          <w:p>
            <w:pPr>
              <w:ind w:left="500"/>
              <w:spacing w:after="0"/>
              <w:rPr>
                <w:sz w:val="20"/>
                <w:szCs w:val="20"/>
                <w:color w:val="auto"/>
              </w:rPr>
            </w:pPr>
            <w:r>
              <w:rPr>
                <w:rFonts w:ascii="Arial" w:cs="Arial" w:eastAsia="Arial" w:hAnsi="Arial"/>
                <w:sz w:val="16"/>
                <w:szCs w:val="16"/>
                <w:color w:val="auto"/>
              </w:rPr>
              <w:t>Corporate Headquarters</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356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Owned &amp; Leased</w:t>
            </w:r>
          </w:p>
        </w:tc>
      </w:tr>
      <w:tr>
        <w:trPr>
          <w:trHeight w:val="32"/>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15"/>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Carrollton, TX</w:t>
            </w:r>
          </w:p>
        </w:tc>
        <w:tc>
          <w:tcPr>
            <w:tcW w:w="36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Corporate and other</w:t>
            </w:r>
          </w:p>
        </w:tc>
        <w:tc>
          <w:tcPr>
            <w:tcW w:w="306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Research &amp; Development</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294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Owned</w:t>
            </w:r>
          </w:p>
        </w:tc>
      </w:tr>
      <w:tr>
        <w:trPr>
          <w:trHeight w:val="32"/>
        </w:trPr>
        <w:tc>
          <w:tcPr>
            <w:tcW w:w="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In addition to the properties described above, we lease numerous facilities in the U.S. and worldwide for use as sales offices, service offices, district and regional warehouses, and Lennox Stores. We routinely evaluate our facilities to ensure adequate capacity, effective cost structure, and consistency with our business strategy. We believe that our properties are in good condition, suitable and adequate for their present requirements and that our principal manufacturing plants are generally adequate to meet our production needs.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227"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538"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cash flows. For more information, see Note 5 in the Notes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 applicable.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w:t>
      </w:r>
    </w:p>
    <w:p>
      <w:pPr>
        <w:spacing w:after="0" w:line="249" w:lineRule="exact"/>
        <w:rPr>
          <w:sz w:val="20"/>
          <w:szCs w:val="20"/>
          <w:color w:val="auto"/>
        </w:rPr>
      </w:pPr>
    </w:p>
    <w:p>
      <w:pPr>
        <w:ind w:left="20" w:right="2800"/>
        <w:spacing w:after="0" w:line="515"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r>
        <w:rPr>
          <w:rFonts w:ascii="Arial" w:cs="Arial" w:eastAsia="Arial" w:hAnsi="Arial"/>
          <w:sz w:val="17"/>
          <w:szCs w:val="17"/>
          <w:b w:val="1"/>
          <w:bCs w:val="1"/>
          <w:color w:val="auto"/>
        </w:rPr>
        <w:t xml:space="preserve"> Market Information for Common Stock</w:t>
      </w:r>
    </w:p>
    <w:p>
      <w:pPr>
        <w:ind w:left="240"/>
        <w:spacing w:after="0"/>
        <w:rPr>
          <w:sz w:val="20"/>
          <w:szCs w:val="20"/>
          <w:color w:val="auto"/>
        </w:rPr>
      </w:pPr>
      <w:r>
        <w:rPr>
          <w:rFonts w:ascii="Arial" w:cs="Arial" w:eastAsia="Arial" w:hAnsi="Arial"/>
          <w:sz w:val="17"/>
          <w:szCs w:val="17"/>
          <w:color w:val="auto"/>
        </w:rPr>
        <w:t>Our common stock is listed for trading on the New York Stock Exchange under the symbol “LII.”</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Common Stock</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the close of business on February 7, 2020, approximately 594 holders of record held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Total Stockholder Return</w:t>
      </w:r>
    </w:p>
    <w:p>
      <w:pPr>
        <w:spacing w:after="0" w:line="227"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The following graph compares the cumulative total returns of LII’s common stock with the cumulative total returns of the Standards &amp; Poor’s Midcap 400 Index, a broad index of mid-size U.S. companies of which the Company is a part, and with a peer group of U.S. industrial manufacturing and service companies in the HVACR businesses. The graph assumes that $100 was invested on December 31, 2014, with dividends reinvested. Our peer group includes AAON, Inc., Ingersoll-Rand plc, Comfort Systems USA, Inc., United Technologies Corporation, Johnson Controls Inc., and Watsco, Inc. Peer group returns are weighted by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5639435" cy="296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39435" cy="296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This performance graph and other information furnished under this Comparison of Total Stockholder Return section shall not be deemed to be “soliciting material” or to be “filed” with the Securities and Exchange Commission or subject to Regulation 14A or 14C, or to the liabilities of Section 18 of the Exchange Act.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544"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Our Purchases of Company Equity Securities</w:t>
      </w:r>
    </w:p>
    <w:p>
      <w:pPr>
        <w:spacing w:after="0" w:line="227" w:lineRule="exact"/>
        <w:rPr>
          <w:sz w:val="20"/>
          <w:szCs w:val="20"/>
          <w:color w:val="auto"/>
        </w:rPr>
      </w:pPr>
    </w:p>
    <w:p>
      <w:pPr>
        <w:jc w:val="both"/>
        <w:ind w:firstLine="234"/>
        <w:spacing w:after="0" w:line="323" w:lineRule="auto"/>
        <w:rPr>
          <w:sz w:val="20"/>
          <w:szCs w:val="20"/>
          <w:color w:val="auto"/>
        </w:rPr>
      </w:pPr>
      <w:r>
        <w:rPr>
          <w:rFonts w:ascii="Arial" w:cs="Arial" w:eastAsia="Arial" w:hAnsi="Arial"/>
          <w:sz w:val="15"/>
          <w:szCs w:val="15"/>
          <w:color w:val="auto"/>
        </w:rPr>
        <w:t>Our Board of Directors has authorized a total of $3 billion to repurchase shares of our common stock (collectively referred to as the “Share Repurchase Plans”), including an incremental $500 million share repurchase authorization in December 2019. The Share Repurchase Plans authorize open market repurchase transactions and do not have a stated expiration date. As of December 31, 2019, $546 million is available to repurchase shares under the Share Repurchase Plans.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the fourth quarter of 2019, we purchased shares of our common stock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Approximate Dollar</w:t>
            </w:r>
          </w:p>
        </w:tc>
      </w:tr>
      <w:tr>
        <w:trPr>
          <w:trHeight w:val="195"/>
        </w:trPr>
        <w:tc>
          <w:tcPr>
            <w:tcW w:w="4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7"/>
              </w:rPr>
              <w:t>Value of Shares that</w:t>
            </w:r>
          </w:p>
        </w:tc>
      </w:tr>
      <w:tr>
        <w:trPr>
          <w:trHeight w:val="195"/>
        </w:trPr>
        <w:tc>
          <w:tcPr>
            <w:tcW w:w="4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5"/>
              </w:rPr>
              <w:t>Shares Purchased As</w:t>
            </w:r>
          </w:p>
        </w:tc>
        <w:tc>
          <w:tcPr>
            <w:tcW w:w="2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6"/>
              </w:rPr>
              <w:t>may yet be Purchased</w:t>
            </w:r>
          </w:p>
        </w:tc>
      </w:tr>
      <w:tr>
        <w:trPr>
          <w:trHeight w:val="195"/>
        </w:trPr>
        <w:tc>
          <w:tcPr>
            <w:tcW w:w="4240" w:type="dxa"/>
            <w:vAlign w:val="bottom"/>
          </w:tcPr>
          <w:p>
            <w:pPr>
              <w:spacing w:after="0"/>
              <w:rPr>
                <w:sz w:val="16"/>
                <w:szCs w:val="16"/>
                <w:color w:val="auto"/>
              </w:rPr>
            </w:pPr>
          </w:p>
        </w:tc>
        <w:tc>
          <w:tcPr>
            <w:tcW w:w="1620" w:type="dxa"/>
            <w:vAlign w:val="bottom"/>
          </w:tcPr>
          <w:p>
            <w:pPr>
              <w:jc w:val="right"/>
              <w:ind w:right="316"/>
              <w:spacing w:after="0"/>
              <w:rPr>
                <w:sz w:val="20"/>
                <w:szCs w:val="20"/>
                <w:color w:val="auto"/>
              </w:rPr>
            </w:pPr>
            <w:r>
              <w:rPr>
                <w:rFonts w:ascii="Arial" w:cs="Arial" w:eastAsia="Arial" w:hAnsi="Arial"/>
                <w:sz w:val="16"/>
                <w:szCs w:val="16"/>
                <w:b w:val="1"/>
                <w:bCs w:val="1"/>
                <w:color w:val="auto"/>
              </w:rPr>
              <w:t>Total Shares</w:t>
            </w:r>
          </w:p>
        </w:tc>
        <w:tc>
          <w:tcPr>
            <w:tcW w:w="220" w:type="dxa"/>
            <w:vAlign w:val="bottom"/>
          </w:tcPr>
          <w:p>
            <w:pPr>
              <w:spacing w:after="0"/>
              <w:rPr>
                <w:sz w:val="16"/>
                <w:szCs w:val="16"/>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Average Price Paid per</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Part of Publicly</w:t>
            </w:r>
          </w:p>
        </w:tc>
        <w:tc>
          <w:tcPr>
            <w:tcW w:w="2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8"/>
              </w:rPr>
              <w:t>Under the Plans</w:t>
            </w:r>
          </w:p>
        </w:tc>
      </w:tr>
      <w:tr>
        <w:trPr>
          <w:trHeight w:val="235"/>
        </w:trPr>
        <w:tc>
          <w:tcPr>
            <w:tcW w:w="424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0"/>
                <w:szCs w:val="20"/>
                <w:b w:val="1"/>
                <w:bCs w:val="1"/>
                <w:color w:val="auto"/>
                <w:vertAlign w:val="superscript"/>
              </w:rPr>
              <w:t>(1)</w:t>
            </w:r>
          </w:p>
        </w:tc>
        <w:tc>
          <w:tcPr>
            <w:tcW w:w="2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Share (including fees)</w:t>
            </w:r>
          </w:p>
        </w:tc>
        <w:tc>
          <w:tcPr>
            <w:tcW w:w="2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Announced Plans</w:t>
            </w:r>
          </w:p>
        </w:tc>
        <w:tc>
          <w:tcPr>
            <w:tcW w:w="24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 xml:space="preserve">(in millions) </w:t>
            </w:r>
            <w:r>
              <w:rPr>
                <w:rFonts w:ascii="Arial" w:cs="Arial" w:eastAsia="Arial" w:hAnsi="Arial"/>
                <w:sz w:val="20"/>
                <w:szCs w:val="20"/>
                <w:b w:val="1"/>
                <w:bCs w:val="1"/>
                <w:color w:val="auto"/>
                <w:w w:val="86"/>
                <w:vertAlign w:val="superscript"/>
              </w:rPr>
              <w:t>(2)</w:t>
            </w:r>
          </w:p>
        </w:tc>
      </w:tr>
      <w:tr>
        <w:trPr>
          <w:trHeight w:val="23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October 1 through October 31</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6,012</w:t>
            </w:r>
          </w:p>
        </w:tc>
        <w:tc>
          <w:tcPr>
            <w:tcW w:w="8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243.91</w:t>
            </w: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46.0</w:t>
            </w:r>
          </w:p>
        </w:tc>
      </w:tr>
      <w:tr>
        <w:trPr>
          <w:trHeight w:val="234"/>
        </w:trPr>
        <w:tc>
          <w:tcPr>
            <w:tcW w:w="4240" w:type="dxa"/>
            <w:vAlign w:val="bottom"/>
          </w:tcPr>
          <w:p>
            <w:pPr>
              <w:ind w:left="40"/>
              <w:spacing w:after="0"/>
              <w:rPr>
                <w:sz w:val="20"/>
                <w:szCs w:val="20"/>
                <w:color w:val="auto"/>
              </w:rPr>
            </w:pPr>
            <w:r>
              <w:rPr>
                <w:rFonts w:ascii="Arial" w:cs="Arial" w:eastAsia="Arial" w:hAnsi="Arial"/>
                <w:sz w:val="17"/>
                <w:szCs w:val="17"/>
                <w:color w:val="auto"/>
              </w:rPr>
              <w:t>November 1 through November 30</w:t>
            </w:r>
          </w:p>
        </w:tc>
        <w:tc>
          <w:tcPr>
            <w:tcW w:w="1620" w:type="dxa"/>
            <w:vAlign w:val="bottom"/>
          </w:tcPr>
          <w:p>
            <w:pPr>
              <w:jc w:val="right"/>
              <w:ind w:right="36"/>
              <w:spacing w:after="0"/>
              <w:rPr>
                <w:sz w:val="20"/>
                <w:szCs w:val="20"/>
                <w:color w:val="auto"/>
              </w:rPr>
            </w:pPr>
            <w:r>
              <w:rPr>
                <w:rFonts w:ascii="Arial" w:cs="Arial" w:eastAsia="Arial" w:hAnsi="Arial"/>
                <w:sz w:val="17"/>
                <w:szCs w:val="17"/>
                <w:color w:val="auto"/>
              </w:rPr>
              <w:t>3,910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251.04</w:t>
            </w:r>
          </w:p>
        </w:tc>
        <w:tc>
          <w:tcPr>
            <w:tcW w:w="220" w:type="dxa"/>
            <w:vAlign w:val="bottom"/>
          </w:tcPr>
          <w:p>
            <w:pPr>
              <w:spacing w:after="0"/>
              <w:rPr>
                <w:sz w:val="20"/>
                <w:szCs w:val="20"/>
                <w:color w:val="auto"/>
              </w:rPr>
            </w:pPr>
          </w:p>
        </w:tc>
        <w:tc>
          <w:tcPr>
            <w:tcW w:w="1580" w:type="dxa"/>
            <w:vAlign w:val="bottom"/>
          </w:tcPr>
          <w:p>
            <w:pPr>
              <w:ind w:left="1320"/>
              <w:spacing w:after="0"/>
              <w:rPr>
                <w:sz w:val="20"/>
                <w:szCs w:val="20"/>
                <w:color w:val="auto"/>
              </w:rPr>
            </w:pPr>
            <w:r>
              <w:rPr>
                <w:rFonts w:ascii="Arial" w:cs="Arial" w:eastAsia="Arial" w:hAnsi="Arial"/>
                <w:sz w:val="17"/>
                <w:szCs w:val="17"/>
                <w:color w:val="auto"/>
              </w:rPr>
              <w:t>—</w:t>
            </w:r>
          </w:p>
        </w:tc>
        <w:tc>
          <w:tcPr>
            <w:tcW w:w="1920" w:type="dxa"/>
            <w:vAlign w:val="bottom"/>
            <w:gridSpan w:val="2"/>
          </w:tcPr>
          <w:p>
            <w:pPr>
              <w:jc w:val="right"/>
              <w:ind w:right="22"/>
              <w:spacing w:after="0"/>
              <w:rPr>
                <w:sz w:val="20"/>
                <w:szCs w:val="20"/>
                <w:color w:val="auto"/>
              </w:rPr>
            </w:pPr>
            <w:r>
              <w:rPr>
                <w:rFonts w:ascii="Arial" w:cs="Arial" w:eastAsia="Arial" w:hAnsi="Arial"/>
                <w:sz w:val="17"/>
                <w:szCs w:val="17"/>
                <w:color w:val="auto"/>
              </w:rPr>
              <w:t>46.0</w:t>
            </w:r>
          </w:p>
        </w:tc>
      </w:tr>
      <w:tr>
        <w:trPr>
          <w:trHeight w:val="26"/>
        </w:trPr>
        <w:tc>
          <w:tcPr>
            <w:tcW w:w="4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December 1 through December 31</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17,781</w:t>
            </w: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260.39</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546.0</w:t>
            </w:r>
          </w:p>
        </w:tc>
      </w:tr>
      <w:tr>
        <w:trPr>
          <w:trHeight w:val="227"/>
        </w:trPr>
        <w:tc>
          <w:tcPr>
            <w:tcW w:w="4240" w:type="dxa"/>
            <w:vAlign w:val="bottom"/>
          </w:tcPr>
          <w:p>
            <w:pPr>
              <w:spacing w:after="0"/>
              <w:rPr>
                <w:sz w:val="19"/>
                <w:szCs w:val="19"/>
                <w:color w:val="auto"/>
              </w:rPr>
            </w:pPr>
          </w:p>
        </w:tc>
        <w:tc>
          <w:tcPr>
            <w:tcW w:w="16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27,703</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Borders>
              <w:top w:val="single" w:sz="8" w:color="auto"/>
            </w:tcBorders>
          </w:tcPr>
          <w:p>
            <w:pPr>
              <w:ind w:left="1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6"/>
        </w:trPr>
        <w:tc>
          <w:tcPr>
            <w:tcW w:w="42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05" w:lineRule="exact"/>
        <w:rPr>
          <w:sz w:val="20"/>
          <w:szCs w:val="20"/>
          <w:color w:val="auto"/>
        </w:rPr>
      </w:pPr>
    </w:p>
    <w:p>
      <w:pPr>
        <w:ind w:left="400" w:hanging="161"/>
        <w:spacing w:after="0" w:line="218" w:lineRule="auto"/>
        <w:tabs>
          <w:tab w:leader="none" w:pos="443"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Includes the surrender of 27,703 shares of common stock to LII to satisfy employee tax-withholding obligations in connection with the exercise of vested stock appreciation rights and the vesting of restricted stock units.</w:t>
      </w:r>
    </w:p>
    <w:p>
      <w:pPr>
        <w:spacing w:after="0" w:line="40" w:lineRule="exact"/>
        <w:rPr>
          <w:rFonts w:ascii="Arial" w:cs="Arial" w:eastAsia="Arial" w:hAnsi="Arial"/>
          <w:sz w:val="24"/>
          <w:szCs w:val="24"/>
          <w:color w:val="auto"/>
          <w:vertAlign w:val="superscript"/>
        </w:rPr>
      </w:pPr>
    </w:p>
    <w:p>
      <w:pPr>
        <w:jc w:val="both"/>
        <w:ind w:left="400" w:hanging="161"/>
        <w:spacing w:after="0" w:line="229" w:lineRule="auto"/>
        <w:tabs>
          <w:tab w:leader="none" w:pos="455"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After $100.0 million, $150.0 million and $150.0 million share repurchases from stock market transactions during the first, second and third quarters, respectively, which were executed pursuant to previously announced Share Repurchase Plans. See Note 6 in the Notes to the Consolidated Financial Statements for further details.</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selected financial data for each of the five years ended December 31, 2019 to 2015 (in millions,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gridSpan w:val="8"/>
          </w:tcPr>
          <w:p>
            <w:pPr>
              <w:ind w:left="360"/>
              <w:spacing w:after="0"/>
              <w:rPr>
                <w:sz w:val="20"/>
                <w:szCs w:val="20"/>
                <w:color w:val="auto"/>
              </w:rPr>
            </w:pPr>
            <w:r>
              <w:rPr>
                <w:rFonts w:ascii="Arial" w:cs="Arial" w:eastAsia="Arial" w:hAnsi="Arial"/>
                <w:sz w:val="16"/>
                <w:szCs w:val="16"/>
                <w:b w:val="1"/>
                <w:bCs w:val="1"/>
                <w:color w:val="auto"/>
              </w:rPr>
              <w:t>For the Years Ended December 31,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2"/>
        </w:trPr>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1"/>
        </w:trPr>
        <w:tc>
          <w:tcPr>
            <w:tcW w:w="5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94"/>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94"/>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2015</w:t>
            </w:r>
          </w:p>
        </w:tc>
      </w:tr>
      <w:tr>
        <w:trPr>
          <w:trHeight w:val="32"/>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Statements of Operations Data:</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34"/>
        </w:trPr>
        <w:tc>
          <w:tcPr>
            <w:tcW w:w="5380" w:type="dxa"/>
            <w:vAlign w:val="bottom"/>
          </w:tcPr>
          <w:p>
            <w:pPr>
              <w:ind w:left="40"/>
              <w:spacing w:after="0"/>
              <w:rPr>
                <w:sz w:val="20"/>
                <w:szCs w:val="20"/>
                <w:color w:val="auto"/>
              </w:rPr>
            </w:pPr>
            <w:r>
              <w:rPr>
                <w:rFonts w:ascii="Arial" w:cs="Arial" w:eastAsia="Arial" w:hAnsi="Arial"/>
                <w:sz w:val="17"/>
                <w:szCs w:val="17"/>
                <w:color w:val="auto"/>
              </w:rPr>
              <w:t>Net Sales</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3,807.2</w:t>
            </w:r>
          </w:p>
        </w:tc>
        <w:tc>
          <w:tcPr>
            <w:tcW w:w="24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3,883.9</w:t>
            </w:r>
          </w:p>
        </w:tc>
        <w:tc>
          <w:tcPr>
            <w:tcW w:w="22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3,839.6</w:t>
            </w:r>
          </w:p>
        </w:tc>
        <w:tc>
          <w:tcPr>
            <w:tcW w:w="24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3,641.6</w:t>
            </w:r>
          </w:p>
        </w:tc>
        <w:tc>
          <w:tcPr>
            <w:tcW w:w="220" w:type="dxa"/>
            <w:vAlign w:val="bottom"/>
          </w:tcPr>
          <w:p>
            <w:pPr>
              <w:spacing w:after="0"/>
              <w:rPr>
                <w:sz w:val="20"/>
                <w:szCs w:val="20"/>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3,467.4</w:t>
            </w:r>
          </w:p>
        </w:tc>
      </w:tr>
      <w:tr>
        <w:trPr>
          <w:trHeight w:val="26"/>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656.9</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509.9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494.5</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429.4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305.4</w:t>
            </w:r>
          </w:p>
        </w:tc>
      </w:tr>
      <w:tr>
        <w:trPr>
          <w:trHeight w:val="234"/>
        </w:trPr>
        <w:tc>
          <w:tcPr>
            <w:tcW w:w="5380" w:type="dxa"/>
            <w:vAlign w:val="bottom"/>
          </w:tcPr>
          <w:p>
            <w:pPr>
              <w:ind w:left="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408.8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360.3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307.1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278.6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187.2</w:t>
            </w:r>
          </w:p>
        </w:tc>
      </w:tr>
      <w:tr>
        <w:trPr>
          <w:trHeight w:val="26"/>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408.7</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359.0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305.7</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277.8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186.6</w:t>
            </w:r>
          </w:p>
        </w:tc>
      </w:tr>
      <w:tr>
        <w:trPr>
          <w:trHeight w:val="234"/>
        </w:trPr>
        <w:tc>
          <w:tcPr>
            <w:tcW w:w="5380" w:type="dxa"/>
            <w:vAlign w:val="bottom"/>
          </w:tcPr>
          <w:p>
            <w:pPr>
              <w:ind w:left="40"/>
              <w:spacing w:after="0"/>
              <w:rPr>
                <w:sz w:val="20"/>
                <w:szCs w:val="20"/>
                <w:color w:val="auto"/>
              </w:rPr>
            </w:pPr>
            <w:r>
              <w:rPr>
                <w:rFonts w:ascii="Arial" w:cs="Arial" w:eastAsia="Arial" w:hAnsi="Arial"/>
                <w:sz w:val="17"/>
                <w:szCs w:val="17"/>
                <w:color w:val="auto"/>
              </w:rPr>
              <w:t>Basic Earnings Per Share From Continuing Operations</w:t>
            </w:r>
          </w:p>
        </w:tc>
        <w:tc>
          <w:tcPr>
            <w:tcW w:w="24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10.49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8.87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7.28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6.41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4.17</w:t>
            </w:r>
          </w:p>
        </w:tc>
      </w:tr>
      <w:tr>
        <w:trPr>
          <w:trHeight w:val="26"/>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Diluted Earnings Per Share From Continuing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10.38</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8.77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7.17</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6.34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4.11</w:t>
            </w:r>
          </w:p>
        </w:tc>
      </w:tr>
      <w:tr>
        <w:trPr>
          <w:trHeight w:val="234"/>
        </w:trPr>
        <w:tc>
          <w:tcPr>
            <w:tcW w:w="5380" w:type="dxa"/>
            <w:vAlign w:val="bottom"/>
          </w:tcPr>
          <w:p>
            <w:pPr>
              <w:ind w:left="40"/>
              <w:spacing w:after="0"/>
              <w:rPr>
                <w:sz w:val="20"/>
                <w:szCs w:val="20"/>
                <w:color w:val="auto"/>
              </w:rPr>
            </w:pPr>
            <w:r>
              <w:rPr>
                <w:rFonts w:ascii="Arial" w:cs="Arial" w:eastAsia="Arial" w:hAnsi="Arial"/>
                <w:sz w:val="17"/>
                <w:szCs w:val="17"/>
                <w:color w:val="auto"/>
              </w:rPr>
              <w:t>Cash Dividends Declared Per Share</w:t>
            </w:r>
          </w:p>
        </w:tc>
        <w:tc>
          <w:tcPr>
            <w:tcW w:w="24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2.95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2.43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1.96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1.65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1.38</w:t>
            </w:r>
          </w:p>
        </w:tc>
      </w:tr>
      <w:tr>
        <w:trPr>
          <w:trHeight w:val="26"/>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8"/>
        </w:trPr>
        <w:tc>
          <w:tcPr>
            <w:tcW w:w="5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4"/>
        </w:trPr>
        <w:tc>
          <w:tcPr>
            <w:tcW w:w="5380" w:type="dxa"/>
            <w:vAlign w:val="bottom"/>
          </w:tcPr>
          <w:p>
            <w:pPr>
              <w:ind w:left="40"/>
              <w:spacing w:after="0"/>
              <w:rPr>
                <w:sz w:val="20"/>
                <w:szCs w:val="20"/>
                <w:color w:val="auto"/>
              </w:rPr>
            </w:pPr>
            <w:r>
              <w:rPr>
                <w:rFonts w:ascii="Arial" w:cs="Arial" w:eastAsia="Arial" w:hAnsi="Arial"/>
                <w:sz w:val="17"/>
                <w:szCs w:val="17"/>
                <w:b w:val="1"/>
                <w:bCs w:val="1"/>
                <w:color w:val="auto"/>
              </w:rPr>
              <w:t>Other Data:</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6"/>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Capital Expenditures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105.6</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95.2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98.3</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84.3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69.9</w:t>
            </w:r>
          </w:p>
        </w:tc>
      </w:tr>
      <w:tr>
        <w:trPr>
          <w:trHeight w:val="234"/>
        </w:trPr>
        <w:tc>
          <w:tcPr>
            <w:tcW w:w="5380" w:type="dxa"/>
            <w:vAlign w:val="bottom"/>
          </w:tcPr>
          <w:p>
            <w:pPr>
              <w:ind w:left="40"/>
              <w:spacing w:after="0"/>
              <w:rPr>
                <w:sz w:val="20"/>
                <w:szCs w:val="20"/>
                <w:color w:val="auto"/>
              </w:rPr>
            </w:pPr>
            <w:r>
              <w:rPr>
                <w:rFonts w:ascii="Arial" w:cs="Arial" w:eastAsia="Arial" w:hAnsi="Arial"/>
                <w:sz w:val="17"/>
                <w:szCs w:val="17"/>
                <w:color w:val="auto"/>
              </w:rPr>
              <w:t>Research and Development Expenses</w:t>
            </w:r>
          </w:p>
        </w:tc>
        <w:tc>
          <w:tcPr>
            <w:tcW w:w="24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69.9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72.2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73.6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64.6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62.3</w:t>
            </w:r>
          </w:p>
        </w:tc>
      </w:tr>
      <w:tr>
        <w:trPr>
          <w:trHeight w:val="26"/>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1"/>
        </w:trPr>
        <w:tc>
          <w:tcPr>
            <w:tcW w:w="5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4"/>
        </w:trPr>
        <w:tc>
          <w:tcPr>
            <w:tcW w:w="5380" w:type="dxa"/>
            <w:vAlign w:val="bottom"/>
          </w:tcPr>
          <w:p>
            <w:pPr>
              <w:ind w:left="40"/>
              <w:spacing w:after="0"/>
              <w:rPr>
                <w:sz w:val="20"/>
                <w:szCs w:val="20"/>
                <w:color w:val="auto"/>
              </w:rPr>
            </w:pPr>
            <w:r>
              <w:rPr>
                <w:rFonts w:ascii="Arial" w:cs="Arial" w:eastAsia="Arial" w:hAnsi="Arial"/>
                <w:sz w:val="17"/>
                <w:szCs w:val="17"/>
                <w:b w:val="1"/>
                <w:bCs w:val="1"/>
                <w:color w:val="auto"/>
              </w:rPr>
              <w:t>Balance Sheet Data at Period End:</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6"/>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2,034.9</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1,817.2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1,891.5</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1,760.3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1,677.4</w:t>
            </w:r>
          </w:p>
        </w:tc>
      </w:tr>
      <w:tr>
        <w:trPr>
          <w:trHeight w:val="234"/>
        </w:trPr>
        <w:tc>
          <w:tcPr>
            <w:tcW w:w="5380" w:type="dxa"/>
            <w:vAlign w:val="bottom"/>
          </w:tcPr>
          <w:p>
            <w:pPr>
              <w:ind w:left="40"/>
              <w:spacing w:after="0"/>
              <w:rPr>
                <w:sz w:val="20"/>
                <w:szCs w:val="20"/>
                <w:color w:val="auto"/>
              </w:rPr>
            </w:pPr>
            <w:r>
              <w:rPr>
                <w:rFonts w:ascii="Arial" w:cs="Arial" w:eastAsia="Arial" w:hAnsi="Arial"/>
                <w:sz w:val="17"/>
                <w:szCs w:val="17"/>
                <w:color w:val="auto"/>
              </w:rPr>
              <w:t>Total Debt</w:t>
            </w:r>
          </w:p>
        </w:tc>
        <w:tc>
          <w:tcPr>
            <w:tcW w:w="24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1,171.2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1,041.3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1,004.0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868.2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741.1</w:t>
            </w:r>
          </w:p>
        </w:tc>
      </w:tr>
      <w:tr>
        <w:trPr>
          <w:trHeight w:val="26"/>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4"/>
        </w:trPr>
        <w:tc>
          <w:tcPr>
            <w:tcW w:w="5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Stockholders’ (Deficit) Equity</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50.1</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38.0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101.6</w:t>
            </w:r>
          </w:p>
        </w:tc>
      </w:tr>
      <w:tr>
        <w:trPr>
          <w:trHeight w:val="26"/>
        </w:trPr>
        <w:tc>
          <w:tcPr>
            <w:tcW w:w="5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Information in the table above is not necessarily indicative of results of future operations. To understand the factors that may affect comparability, the financial data should be read in conjunction with Item 7, “Management’s Discussion and Analysis of Financial Condition and Results of Operations,” and the Consolidated Financial Statements and the related Notes to the Consolidated Financial Statements in Item 8, “Other Financial Statement Details,” of this Annual Report on Form 10-K.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38"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ind w:firstLine="221"/>
        <w:spacing w:after="0" w:line="286" w:lineRule="auto"/>
        <w:rPr>
          <w:sz w:val="20"/>
          <w:szCs w:val="20"/>
          <w:color w:val="auto"/>
        </w:rPr>
      </w:pPr>
      <w:r>
        <w:rPr>
          <w:rFonts w:ascii="Arial" w:cs="Arial" w:eastAsia="Arial" w:hAnsi="Arial"/>
          <w:sz w:val="17"/>
          <w:szCs w:val="17"/>
          <w:color w:val="auto"/>
        </w:rPr>
        <w:t>The following discussion should be read in conjunction with the other sections of this report, including the Consolidated Financial Statements and related Notes to the Consolidated Financial Statements in Item 8, “Other Financial Statement Details,” of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27"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We operate in three reportable business segments of the heating, ventilation, air conditioning and refrigeration (“HVACR”) industry. Our reportable segments are Residential Heating &amp; Cooling, Commercial Heating &amp; Cooling, and Refrigeration. For more detailed information regarding our reportable segments, see Note 3 in the Notes to the Consolidated Financial Statements.</w:t>
      </w:r>
    </w:p>
    <w:p>
      <w:pPr>
        <w:spacing w:after="0" w:line="171" w:lineRule="exact"/>
        <w:rPr>
          <w:sz w:val="20"/>
          <w:szCs w:val="20"/>
          <w:color w:val="auto"/>
        </w:rPr>
      </w:pPr>
    </w:p>
    <w:p>
      <w:pPr>
        <w:jc w:val="both"/>
        <w:ind w:firstLine="221"/>
        <w:spacing w:after="0" w:line="279" w:lineRule="auto"/>
        <w:rPr>
          <w:sz w:val="20"/>
          <w:szCs w:val="20"/>
          <w:color w:val="auto"/>
        </w:rPr>
      </w:pPr>
      <w:r>
        <w:rPr>
          <w:rFonts w:ascii="Arial" w:cs="Arial" w:eastAsia="Arial" w:hAnsi="Arial"/>
          <w:sz w:val="16"/>
          <w:szCs w:val="16"/>
          <w:color w:val="auto"/>
        </w:rPr>
        <w:t>We sell our products and services through a combination of direct sales, distributors and company-owned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170" w:lineRule="exact"/>
        <w:rPr>
          <w:sz w:val="20"/>
          <w:szCs w:val="20"/>
          <w:color w:val="auto"/>
        </w:rPr>
      </w:pPr>
    </w:p>
    <w:p>
      <w:pPr>
        <w:jc w:val="both"/>
        <w:ind w:firstLine="221"/>
        <w:spacing w:after="0" w:line="263" w:lineRule="auto"/>
        <w:rPr>
          <w:sz w:val="20"/>
          <w:szCs w:val="20"/>
          <w:color w:val="auto"/>
        </w:rPr>
      </w:pPr>
      <w:r>
        <w:rPr>
          <w:rFonts w:ascii="Arial" w:cs="Arial" w:eastAsia="Arial" w:hAnsi="Arial"/>
          <w:sz w:val="17"/>
          <w:szCs w:val="17"/>
          <w:color w:val="auto"/>
        </w:rPr>
        <w:t>The principal elements of cost of goods sold are components, raw materials, factory overhead, labor, estimated costs of warranty expense and freight and distribution costs. The principal raw materials used in our manufacturing processes are steel, copper and aluminum. In recent years, pricing volatility for these commodities and related components has impacted us and the HVACR industry in general. We seek to mitigate the impact of commodity price volatility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Marshalltown Tornado</w:t>
      </w:r>
    </w:p>
    <w:p>
      <w:pPr>
        <w:spacing w:after="0" w:line="22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On July 19, 2018, our manufacturing facility in Marshalltown, Iowa was damaged by a tornado. Insurance covered the repair or replacement of our assets that suffered damage or loss and, in 2018 and 2019, we worked closely with our insurance carriers and claims adjusters to ascertain the amount of insurance recoveries due to us as a result of the damage and loss we suffered. Our insurance policies also provided business interruption coverage, including lost profits, and reimbursement for other expenses and costs that were incurred relating to the damages and losses suffered.</w:t>
      </w:r>
    </w:p>
    <w:p>
      <w:pPr>
        <w:spacing w:after="0" w:line="175"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For the year ended December 31, 2019, we incurred expenses of $64 million related to damages caused by the tornado, which included site clean-up and demolition, factory inefficiencies, freight to move product to other warehouses, professional fees, and sales and marketing promotional costs.</w:t>
      </w:r>
    </w:p>
    <w:p>
      <w:pPr>
        <w:spacing w:after="0" w:line="159" w:lineRule="exact"/>
        <w:rPr>
          <w:sz w:val="20"/>
          <w:szCs w:val="20"/>
          <w:color w:val="auto"/>
        </w:rPr>
      </w:pPr>
    </w:p>
    <w:p>
      <w:pPr>
        <w:jc w:val="both"/>
        <w:ind w:firstLine="234"/>
        <w:spacing w:after="0" w:line="283" w:lineRule="auto"/>
        <w:rPr>
          <w:sz w:val="20"/>
          <w:szCs w:val="20"/>
          <w:color w:val="auto"/>
        </w:rPr>
      </w:pPr>
      <w:r>
        <w:rPr>
          <w:rFonts w:ascii="Arial" w:cs="Arial" w:eastAsia="Arial" w:hAnsi="Arial"/>
          <w:sz w:val="16"/>
          <w:szCs w:val="16"/>
          <w:color w:val="auto"/>
        </w:rPr>
        <w:t>In December 2019, we reached a final settlement with our insurance carriers for the losses we suffered from the tornado. The settlement allowed for total cumulative insurance recoveries of $367.5 million, of which $243 million was received for the year ended December 31, 2019. We allocated the first $64 million of insurance recoveries received in 2019 to cover our expenses, we allocated $80 million for capital expenditures related to rebuilding costs, and the remaining $99 million of insurance recoveries represents amounts for lost profits. These amounts are included in Gain from insurance recoveries, net of losses incurred in the Consolidated Statements of Operations. See Note 5 in the Notes to the Consolidated Financial Statements for additional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Highlights</w:t>
      </w:r>
    </w:p>
    <w:p>
      <w:pPr>
        <w:spacing w:after="0" w:line="227" w:lineRule="exact"/>
        <w:rPr>
          <w:sz w:val="20"/>
          <w:szCs w:val="20"/>
          <w:color w:val="auto"/>
        </w:rPr>
      </w:pPr>
    </w:p>
    <w:p>
      <w:pPr>
        <w:jc w:val="both"/>
        <w:ind w:left="620" w:hanging="303"/>
        <w:spacing w:after="0" w:line="271"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sales decreased $77 million, or 2.0%, to $3,807 million in 2019 from $3,884 million in 2018. Sales growth in our Residential Heating &amp; Cooling and Commercial Heating &amp; Cooling segments was offset by a sales decline in our Refrigeration segment due to the sale of our Australia, Asia, and South America businesses in 2018, and the sale of our Kysor Warren business in the first quarter of 2019.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954" w:right="239" w:bottom="1440" w:gutter="0" w:footer="0" w:header="0"/>
        </w:sectPr>
      </w:pPr>
    </w:p>
    <w:bookmarkStart w:id="18" w:name="page19"/>
    <w:bookmarkEnd w:id="18"/>
    <w:p>
      <w:pPr>
        <w:jc w:val="both"/>
        <w:ind w:left="620" w:hanging="303"/>
        <w:spacing w:after="0" w:line="271"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income in 2019 was $657 million compared to $510 million in 2018. The increase was primarily due to increased sales in our Residential Heating &amp; Cooling and Commercial Heating &amp; Cooling segments, sourcing and engineering-led cost reductions, and a larger gain from insurance proceeds received related to the Marshalltown tornado.</w:t>
      </w:r>
    </w:p>
    <w:p>
      <w:pPr>
        <w:spacing w:after="0" w:line="14" w:lineRule="exact"/>
        <w:rPr>
          <w:rFonts w:ascii="Arial" w:cs="Arial" w:eastAsia="Arial" w:hAnsi="Arial"/>
          <w:sz w:val="17"/>
          <w:szCs w:val="17"/>
          <w:color w:val="auto"/>
        </w:rPr>
      </w:pPr>
    </w:p>
    <w:p>
      <w:pPr>
        <w:ind w:left="620" w:hanging="303"/>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 income in 2019 increased to $409 million from $359 million in 2018.</w:t>
      </w:r>
    </w:p>
    <w:p>
      <w:pPr>
        <w:spacing w:after="0" w:line="64" w:lineRule="exact"/>
        <w:rPr>
          <w:rFonts w:ascii="Arial" w:cs="Arial" w:eastAsia="Arial" w:hAnsi="Arial"/>
          <w:sz w:val="17"/>
          <w:szCs w:val="17"/>
          <w:color w:val="auto"/>
        </w:rPr>
      </w:pPr>
    </w:p>
    <w:p>
      <w:pPr>
        <w:ind w:left="620" w:hanging="303"/>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Diluted earnings per share from continuing operations were $10.38 per share in 2019 compared to $8.77 per share in 2018.</w:t>
      </w:r>
    </w:p>
    <w:p>
      <w:pPr>
        <w:spacing w:after="0" w:line="64" w:lineRule="exact"/>
        <w:rPr>
          <w:rFonts w:ascii="Arial" w:cs="Arial" w:eastAsia="Arial" w:hAnsi="Arial"/>
          <w:sz w:val="17"/>
          <w:szCs w:val="17"/>
          <w:color w:val="auto"/>
        </w:rPr>
      </w:pPr>
    </w:p>
    <w:p>
      <w:pPr>
        <w:ind w:left="620" w:hanging="303"/>
        <w:spacing w:after="0" w:line="286"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generated $396 million of cash flow from operating activities in 2019 compared to $496 million in 2018. The decrease was primarily due to an increase in working capital.</w:t>
      </w:r>
    </w:p>
    <w:p>
      <w:pPr>
        <w:spacing w:after="0" w:line="2" w:lineRule="exact"/>
        <w:rPr>
          <w:rFonts w:ascii="Arial" w:cs="Arial" w:eastAsia="Arial" w:hAnsi="Arial"/>
          <w:sz w:val="17"/>
          <w:szCs w:val="17"/>
          <w:color w:val="auto"/>
        </w:rPr>
      </w:pPr>
    </w:p>
    <w:p>
      <w:pPr>
        <w:ind w:left="620" w:hanging="303"/>
        <w:spacing w:after="0" w:line="286"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2019, we returned $111 million to shareholders through dividend payments and we used $400 million to purchase 1.5 million shares of stock under our Share Repurchase Plans. We also received $44 million in net proceeds from the sale of our Kysor Warren business.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Results</w:t>
      </w:r>
    </w:p>
    <w:p>
      <w:pPr>
        <w:spacing w:after="0" w:line="227" w:lineRule="exact"/>
        <w:rPr>
          <w:sz w:val="20"/>
          <w:szCs w:val="20"/>
          <w:color w:val="auto"/>
        </w:rPr>
      </w:pPr>
    </w:p>
    <w:p>
      <w:pPr>
        <w:jc w:val="both"/>
        <w:ind w:firstLine="221"/>
        <w:spacing w:after="0" w:line="263" w:lineRule="auto"/>
        <w:rPr>
          <w:sz w:val="20"/>
          <w:szCs w:val="20"/>
          <w:color w:val="auto"/>
        </w:rPr>
      </w:pPr>
      <w:r>
        <w:rPr>
          <w:rFonts w:ascii="Arial" w:cs="Arial" w:eastAsia="Arial" w:hAnsi="Arial"/>
          <w:sz w:val="17"/>
          <w:szCs w:val="17"/>
          <w:color w:val="auto"/>
        </w:rPr>
        <w:t>Despite the impact of the tornado at our Marshalltown facility, the Residential Heating &amp; Cooling segment performed well in 2019, with a 3% increase in net sales and a $65 million increase in segment profit compared to 2018, including the insurance proceeds received for lost profits in 2019. Our Commercial Heating &amp; Cooling segment also performed well in 2019 with a 5% increase in net sales and an $8 million increase in segment profit compared to 2018. This segment’s results were driven by higher volumes and price and mix gains. Sales in our Refrigeration segment decreased 25% and segment profit decreased $7 million compared to 2018 mostly due to the sale of our Australia, Asia, South America, and Kysor Warren businesses.</w:t>
      </w:r>
    </w:p>
    <w:p>
      <w:pPr>
        <w:spacing w:after="0" w:line="179"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On a consolidated basis, our gross profit margins decreased to 28.4% in 2019 due primarily to unfavorable commodities, factory inefficiencies, and higher freight and distribution costs. These declines were partially offset by favorable price and mix, sourcing and engineering-led cost reductions across our business, and the divestiture of our Kysor Warren business which had lower margins.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a summary of our financial results, including information presented as a percentage of net sales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gridSpan w:val="9"/>
          </w:tcPr>
          <w:p>
            <w:pPr>
              <w:jc w:val="right"/>
              <w:ind w:right="13"/>
              <w:spacing w:after="0"/>
              <w:rPr>
                <w:sz w:val="20"/>
                <w:szCs w:val="20"/>
                <w:color w:val="auto"/>
              </w:rPr>
            </w:pPr>
            <w:r>
              <w:rPr>
                <w:rFonts w:ascii="Arial" w:cs="Arial" w:eastAsia="Arial" w:hAnsi="Arial"/>
                <w:sz w:val="16"/>
                <w:szCs w:val="16"/>
                <w:b w:val="1"/>
                <w:bCs w:val="1"/>
                <w:color w:val="auto"/>
              </w:rPr>
              <w:t>For the Years Ended December 31,</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2"/>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r>
      <w:tr>
        <w:trPr>
          <w:trHeight w:val="221"/>
        </w:trPr>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gridSpan w:val="3"/>
          </w:tcPr>
          <w:p>
            <w:pPr>
              <w:jc w:val="right"/>
              <w:ind w:right="756"/>
              <w:spacing w:after="0"/>
              <w:rPr>
                <w:sz w:val="20"/>
                <w:szCs w:val="20"/>
                <w:color w:val="auto"/>
              </w:rPr>
            </w:pPr>
            <w:r>
              <w:rPr>
                <w:rFonts w:ascii="Arial" w:cs="Arial" w:eastAsia="Arial" w:hAnsi="Arial"/>
                <w:sz w:val="16"/>
                <w:szCs w:val="16"/>
                <w:b w:val="1"/>
                <w:bCs w:val="1"/>
                <w:color w:val="auto"/>
                <w:w w:val="84"/>
              </w:rPr>
              <w:t>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gridSpan w:val="3"/>
          </w:tcPr>
          <w:p>
            <w:pPr>
              <w:jc w:val="right"/>
              <w:ind w:right="755"/>
              <w:spacing w:after="0"/>
              <w:rPr>
                <w:sz w:val="20"/>
                <w:szCs w:val="20"/>
                <w:color w:val="auto"/>
              </w:rPr>
            </w:pPr>
            <w:r>
              <w:rPr>
                <w:rFonts w:ascii="Arial" w:cs="Arial" w:eastAsia="Arial" w:hAnsi="Arial"/>
                <w:sz w:val="16"/>
                <w:szCs w:val="16"/>
                <w:b w:val="1"/>
                <w:bCs w:val="1"/>
                <w:color w:val="auto"/>
                <w:w w:val="84"/>
              </w:rPr>
              <w:t>2017</w:t>
            </w:r>
          </w:p>
        </w:tc>
      </w:tr>
      <w:tr>
        <w:trPr>
          <w:trHeight w:val="32"/>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w w:val="95"/>
              </w:rPr>
              <w:t>Dollars</w:t>
            </w: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Percent</w:t>
            </w:r>
          </w:p>
        </w:tc>
        <w:tc>
          <w:tcPr>
            <w:tcW w:w="16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6"/>
                <w:szCs w:val="16"/>
                <w:b w:val="1"/>
                <w:bCs w:val="1"/>
                <w:color w:val="auto"/>
                <w:w w:val="95"/>
              </w:rPr>
              <w:t>Dollars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16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6"/>
                <w:szCs w:val="16"/>
                <w:b w:val="1"/>
                <w:bCs w:val="1"/>
                <w:color w:val="auto"/>
                <w:w w:val="95"/>
              </w:rPr>
              <w:t>Dollars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6"/>
                <w:szCs w:val="16"/>
                <w:b w:val="1"/>
                <w:bCs w:val="1"/>
                <w:color w:val="auto"/>
              </w:rPr>
              <w:t>Percent</w:t>
            </w:r>
          </w:p>
        </w:tc>
      </w:tr>
      <w:tr>
        <w:trPr>
          <w:trHeight w:val="32"/>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3,807.2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3,883.9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3,839.6</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34"/>
        </w:trPr>
        <w:tc>
          <w:tcPr>
            <w:tcW w:w="5160" w:type="dxa"/>
            <w:vAlign w:val="bottom"/>
          </w:tcPr>
          <w:p>
            <w:pPr>
              <w:ind w:left="40"/>
              <w:spacing w:after="0"/>
              <w:rPr>
                <w:sz w:val="20"/>
                <w:szCs w:val="20"/>
                <w:color w:val="auto"/>
              </w:rPr>
            </w:pPr>
            <w:r>
              <w:rPr>
                <w:rFonts w:ascii="Arial" w:cs="Arial" w:eastAsia="Arial" w:hAnsi="Arial"/>
                <w:sz w:val="17"/>
                <w:szCs w:val="17"/>
                <w:color w:val="auto"/>
              </w:rPr>
              <w:t>Cost of goods sold</w:t>
            </w: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2,727.4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71.6 %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2,772.7</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71.4 %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2,714.4</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70.7 %</w:t>
            </w:r>
          </w:p>
        </w:tc>
      </w:tr>
      <w:tr>
        <w:trPr>
          <w:trHeight w:val="26"/>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1,079.8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28.4 %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1,111.2</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28.6 %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1,125.2</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29.3 %</w:t>
            </w:r>
          </w:p>
        </w:tc>
      </w:tr>
      <w:tr>
        <w:trPr>
          <w:trHeight w:val="234"/>
        </w:trPr>
        <w:tc>
          <w:tcPr>
            <w:tcW w:w="516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585.9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608.2</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15.7 %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637.7</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16.6 %</w:t>
            </w:r>
          </w:p>
        </w:tc>
      </w:tr>
      <w:tr>
        <w:trPr>
          <w:trHeight w:val="26"/>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Losses (gains) and other expenses, net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0.2 %</w:t>
            </w:r>
          </w:p>
        </w:tc>
      </w:tr>
      <w:tr>
        <w:trPr>
          <w:trHeight w:val="234"/>
        </w:trPr>
        <w:tc>
          <w:tcPr>
            <w:tcW w:w="516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0.1 %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0.1 %</w:t>
            </w:r>
          </w:p>
        </w:tc>
      </w:tr>
      <w:tr>
        <w:trPr>
          <w:trHeight w:val="26"/>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(gain), net on sale of businesses and related property</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34"/>
        </w:trPr>
        <w:tc>
          <w:tcPr>
            <w:tcW w:w="5160" w:type="dxa"/>
            <w:vAlign w:val="bottom"/>
          </w:tcPr>
          <w:p>
            <w:pPr>
              <w:ind w:left="40"/>
              <w:spacing w:after="0"/>
              <w:rPr>
                <w:sz w:val="20"/>
                <w:szCs w:val="20"/>
                <w:color w:val="auto"/>
              </w:rPr>
            </w:pPr>
            <w:r>
              <w:rPr>
                <w:rFonts w:ascii="Arial" w:cs="Arial" w:eastAsia="Arial" w:hAnsi="Arial"/>
                <w:sz w:val="17"/>
                <w:szCs w:val="17"/>
                <w:color w:val="auto"/>
              </w:rPr>
              <w:t>Gain from insurance recoveries, net of losses incurred</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(38.3)</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6"/>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equity method investments</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87"/>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656.9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17.3 %</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509.9</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13.1 %</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494.5</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12.9 %</w:t>
            </w:r>
          </w:p>
        </w:tc>
      </w:tr>
      <w:tr>
        <w:trPr>
          <w:trHeight w:val="23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from discontinued operations</w:t>
            </w: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9"/>
        </w:trPr>
        <w:tc>
          <w:tcPr>
            <w:tcW w:w="516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408.7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10.7 %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359.0</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9.2 %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305.7</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8.0 %</w:t>
            </w: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2019 Compared to Year Ended December 31, 2018 - Consolidated Results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Sales</w:t>
      </w:r>
    </w:p>
    <w:p>
      <w:pPr>
        <w:spacing w:after="0" w:line="221" w:lineRule="exact"/>
        <w:rPr>
          <w:sz w:val="20"/>
          <w:szCs w:val="20"/>
          <w:color w:val="auto"/>
        </w:rPr>
      </w:pPr>
    </w:p>
    <w:p>
      <w:pPr>
        <w:jc w:val="both"/>
        <w:ind w:firstLine="221"/>
        <w:spacing w:after="0" w:line="266" w:lineRule="auto"/>
        <w:rPr>
          <w:sz w:val="20"/>
          <w:szCs w:val="20"/>
          <w:color w:val="auto"/>
        </w:rPr>
      </w:pPr>
      <w:r>
        <w:rPr>
          <w:rFonts w:ascii="Arial" w:cs="Arial" w:eastAsia="Arial" w:hAnsi="Arial"/>
          <w:sz w:val="17"/>
          <w:szCs w:val="17"/>
          <w:color w:val="auto"/>
        </w:rPr>
        <w:t>Net sales decreased 2.0% in 2019 compared to 2018, driven by a 5% decline related to the divestitures of our Australia, Asia, South America, and Kysor Warren businesses, partially offset by 1% volume growth and 2% from favorable price and mix combined. The increase in volume was primarily due to market growth in our Residential Heating &amp; Cooling and Commercial Heating &amp; Cooling segments, and the favorable price and mix combined was attributable to all three of our business segments.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544"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i w:val="1"/>
          <w:iCs w:val="1"/>
          <w:color w:val="auto"/>
        </w:rPr>
        <w:t>Gross Profit</w:t>
      </w:r>
    </w:p>
    <w:p>
      <w:pPr>
        <w:spacing w:after="0" w:line="221" w:lineRule="exact"/>
        <w:rPr>
          <w:sz w:val="20"/>
          <w:szCs w:val="20"/>
          <w:color w:val="auto"/>
        </w:rPr>
      </w:pPr>
    </w:p>
    <w:p>
      <w:pPr>
        <w:jc w:val="both"/>
        <w:ind w:firstLine="221"/>
        <w:spacing w:after="0" w:line="266" w:lineRule="auto"/>
        <w:rPr>
          <w:sz w:val="20"/>
          <w:szCs w:val="20"/>
          <w:color w:val="auto"/>
        </w:rPr>
      </w:pPr>
      <w:r>
        <w:rPr>
          <w:rFonts w:ascii="Arial" w:cs="Arial" w:eastAsia="Arial" w:hAnsi="Arial"/>
          <w:sz w:val="17"/>
          <w:szCs w:val="17"/>
          <w:color w:val="auto"/>
        </w:rPr>
        <w:t>Gross profit margins for 2019 decreased 20 basis points (“bps”) to 28.4% compared to 28.6% in 2018. We saw margin decreases of 30 bps from higher commodity costs, 80 bps from higher freight and distribution costs, 70 bps from lower factory productivity, and 50 bps from other product costs. These decreases were offset by increases of 100 bps from favorable price and mix, 50 bps from sourcing and engineering-led cost reductions, and 60 bps from our divested Australia, Asia, South America, and Kysor Warren businesses which collectively had lower margins.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SG&amp;A expenses decreased by $22 million in 2019 compared to 2018. As a percentage of net sales, SG&amp;A expenses decreased 30 bps from 15.7% to 15.4% in the same periods. SG&amp;A decreased primarily due to the sale of our divested Australia, Asia, South America, and Kysor Warren businesses.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Losses (Gains) and Other Expenses, Net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Losses (gains) and other expenses, net for 2019 and 2018 included the following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51700" cy="165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161" w:lineRule="exact"/>
        <w:rPr>
          <w:sz w:val="20"/>
          <w:szCs w:val="20"/>
          <w:color w:val="auto"/>
        </w:rPr>
      </w:pPr>
    </w:p>
    <w:p>
      <w:pPr>
        <w:ind w:left="9080"/>
        <w:spacing w:after="0"/>
        <w:rPr>
          <w:sz w:val="20"/>
          <w:szCs w:val="20"/>
          <w:color w:val="auto"/>
        </w:rPr>
      </w:pPr>
      <w:r>
        <w:rPr>
          <w:rFonts w:ascii="Arial" w:cs="Arial" w:eastAsia="Arial" w:hAnsi="Arial"/>
          <w:sz w:val="13"/>
          <w:szCs w:val="13"/>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5732780</wp:posOffset>
            </wp:positionH>
            <wp:positionV relativeFrom="paragraph">
              <wp:posOffset>54610</wp:posOffset>
            </wp:positionV>
            <wp:extent cx="1521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r>
      <w:tr>
        <w:trPr>
          <w:trHeight w:val="32"/>
        </w:trPr>
        <w:tc>
          <w:tcPr>
            <w:tcW w:w="9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Realized losses (gains), net on settled futures contracts</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Foreign currency exchange (gains) losses, net</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7"/>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1.7</w:t>
            </w:r>
          </w:p>
        </w:tc>
      </w:tr>
      <w:tr>
        <w:trPr>
          <w:trHeight w:val="26"/>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(Gains) losses on disposal of fixed assets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0.7</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Other operating (gains) losses</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7"/>
              </w:rPr>
              <w:t>(1.7)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6"/>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Change in unrealized (gains) losses, net of unsettled futures contracts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Asbestos-related litigation</w:t>
            </w:r>
          </w:p>
        </w:tc>
        <w:tc>
          <w:tcPr>
            <w:tcW w:w="760" w:type="dxa"/>
            <w:vAlign w:val="bottom"/>
          </w:tcPr>
          <w:p>
            <w:pPr>
              <w:spacing w:after="0"/>
              <w:rPr>
                <w:sz w:val="20"/>
                <w:szCs w:val="20"/>
                <w:color w:val="auto"/>
              </w:rPr>
            </w:pPr>
          </w:p>
        </w:tc>
        <w:tc>
          <w:tcPr>
            <w:tcW w:w="400" w:type="dxa"/>
            <w:vAlign w:val="bottom"/>
          </w:tcPr>
          <w:p>
            <w:pPr>
              <w:jc w:val="right"/>
              <w:ind w:right="13"/>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4.0</w:t>
            </w:r>
          </w:p>
        </w:tc>
      </w:tr>
      <w:tr>
        <w:trPr>
          <w:trHeight w:val="26"/>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Special legal contingency charges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Environmental liabilities</w:t>
            </w:r>
          </w:p>
        </w:tc>
        <w:tc>
          <w:tcPr>
            <w:tcW w:w="760" w:type="dxa"/>
            <w:vAlign w:val="bottom"/>
          </w:tcPr>
          <w:p>
            <w:pPr>
              <w:spacing w:after="0"/>
              <w:rPr>
                <w:sz w:val="20"/>
                <w:szCs w:val="20"/>
                <w:color w:val="auto"/>
              </w:rPr>
            </w:pPr>
          </w:p>
        </w:tc>
        <w:tc>
          <w:tcPr>
            <w:tcW w:w="400" w:type="dxa"/>
            <w:vAlign w:val="bottom"/>
          </w:tcPr>
          <w:p>
            <w:pPr>
              <w:jc w:val="right"/>
              <w:ind w:right="13"/>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2.2</w:t>
            </w:r>
          </w:p>
        </w:tc>
      </w:tr>
      <w:tr>
        <w:trPr>
          <w:trHeight w:val="26"/>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items, net</w:t>
            </w:r>
          </w:p>
        </w:tc>
        <w:tc>
          <w:tcPr>
            <w:tcW w:w="7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w:t>
            </w:r>
          </w:p>
        </w:tc>
      </w:tr>
      <w:tr>
        <w:trPr>
          <w:trHeight w:val="247"/>
        </w:trPr>
        <w:tc>
          <w:tcPr>
            <w:tcW w:w="9020" w:type="dxa"/>
            <w:vAlign w:val="bottom"/>
          </w:tcPr>
          <w:p>
            <w:pPr>
              <w:ind w:left="260"/>
              <w:spacing w:after="0"/>
              <w:rPr>
                <w:sz w:val="20"/>
                <w:szCs w:val="20"/>
                <w:color w:val="auto"/>
              </w:rPr>
            </w:pPr>
            <w:r>
              <w:rPr>
                <w:rFonts w:ascii="Arial" w:cs="Arial" w:eastAsia="Arial" w:hAnsi="Arial"/>
                <w:sz w:val="17"/>
                <w:szCs w:val="17"/>
                <w:color w:val="auto"/>
              </w:rPr>
              <w:t>Losses (gains) and other expenses, net</w:t>
            </w: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13.4</w:t>
            </w:r>
          </w:p>
        </w:tc>
      </w:tr>
      <w:tr>
        <w:trPr>
          <w:trHeight w:val="20"/>
        </w:trPr>
        <w:tc>
          <w:tcPr>
            <w:tcW w:w="9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The realized losses on settled futures contracts in 2019 were attributable to changes in commodity prices relative to our settled futures contract prices, as commodity prices have decreased in 2019 relative to 2018. Additionally, the change in unrealized (gains) losses, net on unsettled futures contracts was due to higher commodity prices relative to the unsettled futures contract prices. For more information on our derivatives, see Note 10 in the Notes to the Consolidated Financial Statements.</w:t>
      </w:r>
    </w:p>
    <w:p>
      <w:pPr>
        <w:spacing w:after="0" w:line="175" w:lineRule="exact"/>
        <w:rPr>
          <w:sz w:val="20"/>
          <w:szCs w:val="20"/>
          <w:color w:val="auto"/>
        </w:rPr>
      </w:pPr>
    </w:p>
    <w:p>
      <w:pPr>
        <w:jc w:val="both"/>
        <w:ind w:firstLine="234"/>
        <w:spacing w:after="0" w:line="287" w:lineRule="auto"/>
        <w:rPr>
          <w:sz w:val="20"/>
          <w:szCs w:val="20"/>
          <w:color w:val="auto"/>
        </w:rPr>
      </w:pPr>
      <w:r>
        <w:rPr>
          <w:rFonts w:ascii="Arial" w:cs="Arial" w:eastAsia="Arial" w:hAnsi="Arial"/>
          <w:sz w:val="16"/>
          <w:szCs w:val="16"/>
          <w:color w:val="auto"/>
        </w:rPr>
        <w:t>Foreign currency exchange gains increased in 2019 primarily due to strengthening in foreign exchange rates in our primary markets. The special legal contingency charges in 2019 relate to outstanding legal settlements. The asbestos-related litigation relates to known and estimated future asbestos matters. The environmental liabilities relate to estimated remediation costs for contamination at some of our facilities. Refer to Note 5 in the Notes to the Consolidated Financial Statements for more information on litigation, including the asbestos-related litigation, and the environmental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Charges</w:t>
      </w:r>
    </w:p>
    <w:p>
      <w:pPr>
        <w:spacing w:after="0" w:line="221" w:lineRule="exact"/>
        <w:rPr>
          <w:sz w:val="20"/>
          <w:szCs w:val="20"/>
          <w:color w:val="auto"/>
        </w:rPr>
      </w:pPr>
    </w:p>
    <w:p>
      <w:pPr>
        <w:jc w:val="both"/>
        <w:ind w:firstLine="234"/>
        <w:spacing w:after="0" w:line="287" w:lineRule="auto"/>
        <w:rPr>
          <w:sz w:val="20"/>
          <w:szCs w:val="20"/>
          <w:color w:val="auto"/>
        </w:rPr>
      </w:pPr>
      <w:r>
        <w:rPr>
          <w:rFonts w:ascii="Arial" w:cs="Arial" w:eastAsia="Arial" w:hAnsi="Arial"/>
          <w:sz w:val="16"/>
          <w:szCs w:val="16"/>
          <w:color w:val="auto"/>
        </w:rPr>
        <w:t>Restructuring charges were $10.3 million in 2019 compared to $3.0 million in 2018. The charges in 2019 related primarily to activities in the Residential Heating &amp; Cooling segment to close certain Lennox Stores and reduce management and support staff, and activities in the Commercial Heating &amp; Cooling segments to re-align resources and its product portfolio. The charges in 2018 were primarily for projects to realign resources and enhance manufacturing and distribution capabilities. For more information on our restructuring activities, see Note 8 in the Notes to the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221" w:lineRule="exact"/>
        <w:rPr>
          <w:sz w:val="20"/>
          <w:szCs w:val="20"/>
          <w:color w:val="auto"/>
        </w:rPr>
      </w:pPr>
    </w:p>
    <w:p>
      <w:pPr>
        <w:jc w:val="both"/>
        <w:ind w:firstLine="234"/>
        <w:spacing w:after="0" w:line="319" w:lineRule="auto"/>
        <w:rPr>
          <w:sz w:val="20"/>
          <w:szCs w:val="20"/>
          <w:color w:val="auto"/>
        </w:rPr>
      </w:pPr>
      <w:r>
        <w:rPr>
          <w:rFonts w:ascii="Arial" w:cs="Arial" w:eastAsia="Arial" w:hAnsi="Arial"/>
          <w:sz w:val="16"/>
          <w:szCs w:val="16"/>
          <w:color w:val="auto"/>
        </w:rPr>
        <w:t>We performed a qualitative impairment analysis and noted no indicators of goodwill impairment for the year ended December 31, 2019. We did not record any goodwill impairments in 2018 or 2019. Refer to Note 10 in the Notes to the Consolidated Financial Statements for more information on goodwill.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752"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i w:val="1"/>
          <w:iCs w:val="1"/>
          <w:color w:val="auto"/>
        </w:rPr>
        <w:t>Asset Impairments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did not have any impairments of assets related to continuing operations in 2019 or 2018.</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Settlement</w:t>
      </w:r>
    </w:p>
    <w:p>
      <w:pPr>
        <w:spacing w:after="0" w:line="22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In the second and fourth quarters of 2019, we entered into agreements to purchase group annuity contracts and transfer certain pension assets and related pension benefit obligations to Pacific Life Insurance Company. We recognized $99.2 million of pension settlement charges related to these transactions. We did not have significant pension buyout activity in 2018. Refer to Note 11 in the Notes to the Consolidated Financial Statements for more information on pensions and employee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from Equity Method Investments</w:t>
      </w:r>
    </w:p>
    <w:p>
      <w:pPr>
        <w:spacing w:after="0" w:line="221" w:lineRule="exact"/>
        <w:rPr>
          <w:sz w:val="20"/>
          <w:szCs w:val="20"/>
          <w:color w:val="auto"/>
        </w:rPr>
      </w:pPr>
    </w:p>
    <w:p>
      <w:pPr>
        <w:jc w:val="both"/>
        <w:ind w:firstLine="234"/>
        <w:spacing w:after="0" w:line="319" w:lineRule="auto"/>
        <w:rPr>
          <w:sz w:val="20"/>
          <w:szCs w:val="20"/>
          <w:color w:val="auto"/>
        </w:rPr>
      </w:pPr>
      <w:r>
        <w:rPr>
          <w:rFonts w:ascii="Arial" w:cs="Arial" w:eastAsia="Arial" w:hAnsi="Arial"/>
          <w:sz w:val="16"/>
          <w:szCs w:val="16"/>
          <w:color w:val="auto"/>
        </w:rPr>
        <w:t>Investments over which we do not exercise control but have significant influence are accounted for using the equity method of accounting. Income from equity method investments was $13 million in 2019 compared to $12 million in 2018. The increase is due to improved operating performance at the joint ventures.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interest expense of $48 million in 2019 increased from $38 million in 2018 primarily due to an increase in our average borrowings.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2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The income tax provision was $99 million in 2019 compared to $108 million in 2018, and the effective tax rate was 19.5% in 2019 compared to 23.0% in 2018. The 2019 and 2018 effective tax rates differ from the statutory rate of 21% primarily due to state and foreign taxes. Refer to Note 13 in the Notes to the Consolidated Financial Statements for more information on pensions and employee benefit plans. We expect our effective tax rate will be between 21% and 22% in future years, excluding the impact of excess tax benefits.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from Discontinued Operations</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There were no significant losses from discontinued operations in 2019. The $1 million of pre-tax income in 2018 primarily related to changes in retained product liabilities and general liabilities for the Service Experts business sold in 2013 and the Hearth business sold in 2012.</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2019 Compared to Year Ended December 31, 2018 - Results by Segment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Residential Heating &amp; Cooling</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our Residential Heating &amp; Cooling segment’s net sales and profit for 2019 and 2018 (dollars in millions):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For the Years Ended December 31,</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2"/>
        </w:trPr>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21"/>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7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240" w:type="dxa"/>
            <w:vAlign w:val="bottom"/>
          </w:tcPr>
          <w:p>
            <w:pPr>
              <w:jc w:val="right"/>
              <w:ind w:right="196"/>
              <w:spacing w:after="0"/>
              <w:rPr>
                <w:sz w:val="20"/>
                <w:szCs w:val="20"/>
                <w:color w:val="auto"/>
              </w:rPr>
            </w:pPr>
            <w:r>
              <w:rPr>
                <w:rFonts w:ascii="Arial" w:cs="Arial" w:eastAsia="Arial" w:hAnsi="Arial"/>
                <w:sz w:val="16"/>
                <w:szCs w:val="16"/>
                <w:b w:val="1"/>
                <w:bCs w:val="1"/>
                <w:color w:val="auto"/>
              </w:rPr>
              <w:t>% Change</w:t>
            </w:r>
          </w:p>
        </w:tc>
      </w:tr>
      <w:tr>
        <w:trPr>
          <w:trHeight w:val="32"/>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2,291.1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2,225.0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66.1</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34"/>
        </w:trPr>
        <w:tc>
          <w:tcPr>
            <w:tcW w:w="5560" w:type="dxa"/>
            <w:vAlign w:val="bottom"/>
          </w:tcPr>
          <w:p>
            <w:pPr>
              <w:ind w:left="20"/>
              <w:spacing w:after="0"/>
              <w:rPr>
                <w:sz w:val="20"/>
                <w:szCs w:val="20"/>
                <w:color w:val="auto"/>
              </w:rPr>
            </w:pPr>
            <w:r>
              <w:rPr>
                <w:rFonts w:ascii="Arial" w:cs="Arial" w:eastAsia="Arial" w:hAnsi="Arial"/>
                <w:sz w:val="17"/>
                <w:szCs w:val="17"/>
                <w:color w:val="auto"/>
              </w:rPr>
              <w:t>Profit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464.6</w:t>
            </w:r>
          </w:p>
        </w:tc>
        <w:tc>
          <w:tcPr>
            <w:tcW w:w="12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399.4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65.2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16.3%</w:t>
            </w:r>
          </w:p>
        </w:tc>
      </w:tr>
      <w:tr>
        <w:trPr>
          <w:trHeight w:val="26"/>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4"/>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of net sales</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6"/>
        </w:trPr>
        <w:tc>
          <w:tcPr>
            <w:tcW w:w="5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Residential Heating &amp; Cooling net sales increased 3% in 2019 compared to 2018. Sales volume increased 1% and price and mix combined increased 2%.</w:t>
      </w:r>
    </w:p>
    <w:p>
      <w:pPr>
        <w:spacing w:after="0" w:line="233"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Segment profit in 2019 increased $65 million compared to 2018 due to an incremental $72 million of insurance proceeds for lost profits related to the Marshalltown tornado, $53 million of favorable price, $14 million of sourcing and engineer-led cost reductions, $8 million of lower warranty costs, and $2 million of higher sales volume. Partially offsetting these increases is $28 million of higher freight and distribution expense, $16 million from lower factory efficiency, $12 million of higher SG&amp;A, $11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752"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million of unfavorable mix, $10 million of higher other product costs, $6 million of higher commodities, and $1 million of unfavorable foreign exchange rates.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Heating &amp; Cooling</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our Commercial Heating &amp; Cooling segment’s net sales and profit for 2019 and 2018 (dollars in millions):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For the Years Ended December 31,</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2"/>
        </w:trPr>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21"/>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7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240" w:type="dxa"/>
            <w:vAlign w:val="bottom"/>
          </w:tcPr>
          <w:p>
            <w:pPr>
              <w:jc w:val="right"/>
              <w:ind w:right="196"/>
              <w:spacing w:after="0"/>
              <w:rPr>
                <w:sz w:val="20"/>
                <w:szCs w:val="20"/>
                <w:color w:val="auto"/>
              </w:rPr>
            </w:pPr>
            <w:r>
              <w:rPr>
                <w:rFonts w:ascii="Arial" w:cs="Arial" w:eastAsia="Arial" w:hAnsi="Arial"/>
                <w:sz w:val="16"/>
                <w:szCs w:val="16"/>
                <w:b w:val="1"/>
                <w:bCs w:val="1"/>
                <w:color w:val="auto"/>
              </w:rPr>
              <w:t>% Change</w:t>
            </w:r>
          </w:p>
        </w:tc>
      </w:tr>
      <w:tr>
        <w:trPr>
          <w:trHeight w:val="32"/>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947.4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900.7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46.7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34"/>
        </w:trPr>
        <w:tc>
          <w:tcPr>
            <w:tcW w:w="5560" w:type="dxa"/>
            <w:vAlign w:val="bottom"/>
          </w:tcPr>
          <w:p>
            <w:pPr>
              <w:ind w:left="20"/>
              <w:spacing w:after="0"/>
              <w:rPr>
                <w:sz w:val="20"/>
                <w:szCs w:val="20"/>
                <w:color w:val="auto"/>
              </w:rPr>
            </w:pPr>
            <w:r>
              <w:rPr>
                <w:rFonts w:ascii="Arial" w:cs="Arial" w:eastAsia="Arial" w:hAnsi="Arial"/>
                <w:sz w:val="17"/>
                <w:szCs w:val="17"/>
                <w:color w:val="auto"/>
              </w:rPr>
              <w:t>Profit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165.4</w:t>
            </w:r>
          </w:p>
        </w:tc>
        <w:tc>
          <w:tcPr>
            <w:tcW w:w="12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157.5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6"/>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4"/>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of net sales</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6"/>
        </w:trPr>
        <w:tc>
          <w:tcPr>
            <w:tcW w:w="5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Commercial Heating &amp; Cooling net sales increased 5% in 2019 compared to 2018. Sales volume increased 2% and price and mix combined increased 3%.</w:t>
      </w:r>
    </w:p>
    <w:p>
      <w:pPr>
        <w:spacing w:after="0" w:line="233" w:lineRule="exact"/>
        <w:rPr>
          <w:sz w:val="20"/>
          <w:szCs w:val="20"/>
          <w:color w:val="auto"/>
        </w:rPr>
      </w:pPr>
    </w:p>
    <w:p>
      <w:pPr>
        <w:jc w:val="both"/>
        <w:ind w:firstLine="221"/>
        <w:spacing w:after="0" w:line="266" w:lineRule="auto"/>
        <w:rPr>
          <w:sz w:val="20"/>
          <w:szCs w:val="20"/>
          <w:color w:val="auto"/>
        </w:rPr>
      </w:pPr>
      <w:r>
        <w:rPr>
          <w:rFonts w:ascii="Arial" w:cs="Arial" w:eastAsia="Arial" w:hAnsi="Arial"/>
          <w:sz w:val="17"/>
          <w:szCs w:val="17"/>
          <w:color w:val="auto"/>
        </w:rPr>
        <w:t>Segment profit in 2019 increased $8 million compared to 2018 due to $23 million of higher price and mix combined, $7 million of higher sales volume, and $6 million from sourcing and engineering-led cost reductions. Partially offsetting these increases was $7 million of lower factory efficiency, $6 million of higher warranty and other product costs, $5 million of higher commodities, $4 million of higher freight and distribution expense, $3 million of higher SG&amp;A expense, and $3 million of higher tariffs on Chinese imports.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Refrigeration</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our Refrigeration segment’s net sales and profit for 2019 and 2018 (dollars in millions):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For the Years Ended December 31,</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2"/>
        </w:trPr>
        <w:tc>
          <w:tcPr>
            <w:tcW w:w="5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21"/>
        </w:trPr>
        <w:tc>
          <w:tcPr>
            <w:tcW w:w="5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9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Difference</w:t>
            </w:r>
          </w:p>
        </w:tc>
        <w:tc>
          <w:tcPr>
            <w:tcW w:w="1300" w:type="dxa"/>
            <w:vAlign w:val="bottom"/>
          </w:tcPr>
          <w:p>
            <w:pPr>
              <w:jc w:val="right"/>
              <w:ind w:right="216"/>
              <w:spacing w:after="0"/>
              <w:rPr>
                <w:sz w:val="20"/>
                <w:szCs w:val="20"/>
                <w:color w:val="auto"/>
              </w:rPr>
            </w:pPr>
            <w:r>
              <w:rPr>
                <w:rFonts w:ascii="Arial" w:cs="Arial" w:eastAsia="Arial" w:hAnsi="Arial"/>
                <w:sz w:val="16"/>
                <w:szCs w:val="16"/>
                <w:b w:val="1"/>
                <w:bCs w:val="1"/>
                <w:color w:val="auto"/>
              </w:rPr>
              <w:t>% Change</w:t>
            </w:r>
          </w:p>
        </w:tc>
      </w:tr>
      <w:tr>
        <w:trPr>
          <w:trHeight w:val="32"/>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568.7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758.2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w:t>
            </w:r>
          </w:p>
        </w:tc>
      </w:tr>
      <w:tr>
        <w:trPr>
          <w:trHeight w:val="234"/>
        </w:trPr>
        <w:tc>
          <w:tcPr>
            <w:tcW w:w="5500" w:type="dxa"/>
            <w:vAlign w:val="bottom"/>
          </w:tcPr>
          <w:p>
            <w:pPr>
              <w:ind w:left="20"/>
              <w:spacing w:after="0"/>
              <w:rPr>
                <w:sz w:val="20"/>
                <w:szCs w:val="20"/>
                <w:color w:val="auto"/>
              </w:rPr>
            </w:pPr>
            <w:r>
              <w:rPr>
                <w:rFonts w:ascii="Arial" w:cs="Arial" w:eastAsia="Arial" w:hAnsi="Arial"/>
                <w:sz w:val="17"/>
                <w:szCs w:val="17"/>
                <w:color w:val="auto"/>
              </w:rPr>
              <w:t>Profit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61.3</w:t>
            </w:r>
          </w:p>
        </w:tc>
        <w:tc>
          <w:tcPr>
            <w:tcW w:w="100" w:type="dxa"/>
            <w:vAlign w:val="bottom"/>
          </w:tcPr>
          <w:p>
            <w:pPr>
              <w:spacing w:after="0"/>
              <w:rPr>
                <w:sz w:val="20"/>
                <w:szCs w:val="20"/>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68.1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6"/>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4"/>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of net sales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6"/>
        </w:trPr>
        <w:tc>
          <w:tcPr>
            <w:tcW w:w="5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ind w:firstLine="221"/>
        <w:spacing w:after="0" w:line="286" w:lineRule="auto"/>
        <w:rPr>
          <w:sz w:val="20"/>
          <w:szCs w:val="20"/>
          <w:color w:val="auto"/>
        </w:rPr>
      </w:pPr>
      <w:r>
        <w:rPr>
          <w:rFonts w:ascii="Arial" w:cs="Arial" w:eastAsia="Arial" w:hAnsi="Arial"/>
          <w:sz w:val="17"/>
          <w:szCs w:val="17"/>
          <w:color w:val="auto"/>
        </w:rPr>
        <w:t>Net sales decreased 25% in 2019 compared to 2018. The loss of sales from the divested Australia, Asia, South America and Kysor Warren businesses contributed 24% and unfavorable foreign currency exchange rates contributed 2%, partially offset by 1% favorable price and mix combined.</w:t>
      </w:r>
    </w:p>
    <w:p>
      <w:pPr>
        <w:spacing w:after="0" w:line="159" w:lineRule="exact"/>
        <w:rPr>
          <w:sz w:val="20"/>
          <w:szCs w:val="20"/>
          <w:color w:val="auto"/>
        </w:rPr>
      </w:pPr>
    </w:p>
    <w:p>
      <w:pPr>
        <w:jc w:val="both"/>
        <w:ind w:firstLine="221"/>
        <w:spacing w:after="0" w:line="287" w:lineRule="auto"/>
        <w:rPr>
          <w:sz w:val="20"/>
          <w:szCs w:val="20"/>
          <w:color w:val="auto"/>
        </w:rPr>
      </w:pPr>
      <w:r>
        <w:rPr>
          <w:rFonts w:ascii="Arial" w:cs="Arial" w:eastAsia="Arial" w:hAnsi="Arial"/>
          <w:sz w:val="16"/>
          <w:szCs w:val="16"/>
          <w:color w:val="auto"/>
        </w:rPr>
        <w:t>Segment profit in 2019 decreased $7 million compared to 2018 due to $5 million of lower factory efficiency, $2 million of higher commodities, $3 million of lower sales of refrigerant allocations in Europe, $3 million of higher warranty and other product costs, $3 million of higher SG&amp;A expenses, $1 million unfavorable foreign currency exchange rates, and $1 million of higher tariffs on Chinese imports. Partially offsetting these decreases was $4 million from higher price and mix combined, $5 million of sourcing and engineering-led cost reductions, and $2 million of higher profit due to the divestiture of Kysor Warren.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and Other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Corporate and other expenses decreased by $2 million in 2019 compared to 2018 primarily due to lower short-term and long-term incentive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2018 Compared to Year Ended December 31, 2017 - Consolidated Results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Sales</w:t>
      </w:r>
    </w:p>
    <w:p>
      <w:pPr>
        <w:spacing w:after="0" w:line="221" w:lineRule="exact"/>
        <w:rPr>
          <w:sz w:val="20"/>
          <w:szCs w:val="20"/>
          <w:color w:val="auto"/>
        </w:rPr>
      </w:pPr>
    </w:p>
    <w:p>
      <w:pPr>
        <w:jc w:val="both"/>
        <w:ind w:firstLine="221"/>
        <w:spacing w:after="0" w:line="286" w:lineRule="auto"/>
        <w:rPr>
          <w:sz w:val="20"/>
          <w:szCs w:val="20"/>
          <w:color w:val="auto"/>
        </w:rPr>
      </w:pPr>
      <w:r>
        <w:rPr>
          <w:rFonts w:ascii="Arial" w:cs="Arial" w:eastAsia="Arial" w:hAnsi="Arial"/>
          <w:sz w:val="17"/>
          <w:szCs w:val="17"/>
          <w:color w:val="auto"/>
        </w:rPr>
        <w:t>Net sales increased 1.2% in 2018 compared to 2017, primarily driven by volume and price increases. The increase in volume was primarily due to market growth in our Residential Heating and Cooling and Commercial Heating and Cooling segments.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544"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These increases were partially offset by the impact due to the sale of our Australia, Asia and South America businesses in our Refrigeration segment.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221"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Gross profit margins for 2018 decreased 70 basis points (“bps”) to 28.6% compared to 29.3% in 2017. We saw margin decreases of 120 bps from higher commodity costs, 100 bps from higher freight and distribution costs, and 50 bps from other product costs. These decreases were offset by increases of 130 bps from favorable price and mix and 70 bps from sourcing and engineering-led cost reductions.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SG&amp;A expenses decreased by $30 million in 2018 compared to 2017. As a percentage of net sales, SG&amp;A expenses decreased 90 bps from 16.6% to 15.7% in the same periods. SG&amp;A decreased primarily due to the sale of our divested businesses in Australia, Asia and South America.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Losses (Gains) and Other Expenses, Net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Losses (gains) and other expenses, net for 2018 and 2017 included the following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231140</wp:posOffset>
            </wp:positionV>
            <wp:extent cx="7251700" cy="165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369" w:lineRule="exact"/>
        <w:rPr>
          <w:sz w:val="20"/>
          <w:szCs w:val="20"/>
          <w:color w:val="auto"/>
        </w:rPr>
      </w:pPr>
    </w:p>
    <w:p>
      <w:pPr>
        <w:ind w:left="9080"/>
        <w:spacing w:after="0"/>
        <w:rPr>
          <w:sz w:val="20"/>
          <w:szCs w:val="20"/>
          <w:color w:val="auto"/>
        </w:rPr>
      </w:pPr>
      <w:r>
        <w:rPr>
          <w:rFonts w:ascii="Arial" w:cs="Arial" w:eastAsia="Arial" w:hAnsi="Arial"/>
          <w:sz w:val="13"/>
          <w:szCs w:val="13"/>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5732780</wp:posOffset>
            </wp:positionH>
            <wp:positionV relativeFrom="paragraph">
              <wp:posOffset>54610</wp:posOffset>
            </wp:positionV>
            <wp:extent cx="1521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r>
      <w:tr>
        <w:trPr>
          <w:trHeight w:val="32"/>
        </w:trPr>
        <w:tc>
          <w:tcPr>
            <w:tcW w:w="9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Realized gains, net on settled futures contracts</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Foreign currency exchange losses (gains), net</w:t>
            </w:r>
          </w:p>
        </w:tc>
        <w:tc>
          <w:tcPr>
            <w:tcW w:w="760" w:type="dxa"/>
            <w:vAlign w:val="bottom"/>
          </w:tcPr>
          <w:p>
            <w:pPr>
              <w:spacing w:after="0"/>
              <w:rPr>
                <w:sz w:val="20"/>
                <w:szCs w:val="20"/>
                <w:color w:val="auto"/>
              </w:rPr>
            </w:pPr>
          </w:p>
        </w:tc>
        <w:tc>
          <w:tcPr>
            <w:tcW w:w="400" w:type="dxa"/>
            <w:vAlign w:val="bottom"/>
          </w:tcPr>
          <w:p>
            <w:pPr>
              <w:jc w:val="right"/>
              <w:ind w:right="13"/>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6"/>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Losses on disposal of fixed assets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0.2</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Change in unrealized losses, net of unsettled futures contracts</w:t>
            </w:r>
          </w:p>
        </w:tc>
        <w:tc>
          <w:tcPr>
            <w:tcW w:w="760" w:type="dxa"/>
            <w:vAlign w:val="bottom"/>
          </w:tcPr>
          <w:p>
            <w:pPr>
              <w:spacing w:after="0"/>
              <w:rPr>
                <w:sz w:val="20"/>
                <w:szCs w:val="20"/>
                <w:color w:val="auto"/>
              </w:rPr>
            </w:pPr>
          </w:p>
        </w:tc>
        <w:tc>
          <w:tcPr>
            <w:tcW w:w="400" w:type="dxa"/>
            <w:vAlign w:val="bottom"/>
          </w:tcPr>
          <w:p>
            <w:pPr>
              <w:jc w:val="right"/>
              <w:ind w:right="13"/>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0.9</w:t>
            </w:r>
          </w:p>
        </w:tc>
      </w:tr>
      <w:tr>
        <w:trPr>
          <w:trHeight w:val="26"/>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Asbestos-related litigation</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3.5</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Special legal contingency charges</w:t>
            </w:r>
          </w:p>
        </w:tc>
        <w:tc>
          <w:tcPr>
            <w:tcW w:w="760" w:type="dxa"/>
            <w:vAlign w:val="bottom"/>
          </w:tcPr>
          <w:p>
            <w:pPr>
              <w:spacing w:after="0"/>
              <w:rPr>
                <w:sz w:val="20"/>
                <w:szCs w:val="20"/>
                <w:color w:val="auto"/>
              </w:rPr>
            </w:pPr>
          </w:p>
        </w:tc>
        <w:tc>
          <w:tcPr>
            <w:tcW w:w="400" w:type="dxa"/>
            <w:vAlign w:val="bottom"/>
          </w:tcPr>
          <w:p>
            <w:pPr>
              <w:jc w:val="right"/>
              <w:ind w:right="13"/>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3.7</w:t>
            </w:r>
          </w:p>
        </w:tc>
      </w:tr>
      <w:tr>
        <w:trPr>
          <w:trHeight w:val="26"/>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Environmental liabilities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Contractor tax payments</w:t>
            </w:r>
          </w:p>
        </w:tc>
        <w:tc>
          <w:tcPr>
            <w:tcW w:w="7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0.1</w:t>
            </w:r>
          </w:p>
        </w:tc>
      </w:tr>
      <w:tr>
        <w:trPr>
          <w:trHeight w:val="26"/>
        </w:trPr>
        <w:tc>
          <w:tcPr>
            <w:tcW w:w="9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items, net</w:t>
            </w:r>
          </w:p>
        </w:tc>
        <w:tc>
          <w:tcPr>
            <w:tcW w:w="7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47"/>
        </w:trPr>
        <w:tc>
          <w:tcPr>
            <w:tcW w:w="9020" w:type="dxa"/>
            <w:vAlign w:val="bottom"/>
          </w:tcPr>
          <w:p>
            <w:pPr>
              <w:ind w:left="260"/>
              <w:spacing w:after="0"/>
              <w:rPr>
                <w:sz w:val="20"/>
                <w:szCs w:val="20"/>
                <w:color w:val="auto"/>
              </w:rPr>
            </w:pPr>
            <w:r>
              <w:rPr>
                <w:rFonts w:ascii="Arial" w:cs="Arial" w:eastAsia="Arial" w:hAnsi="Arial"/>
                <w:sz w:val="17"/>
                <w:szCs w:val="17"/>
                <w:color w:val="auto"/>
              </w:rPr>
              <w:t>Losses (gains) and other expenses, net</w:t>
            </w: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13.4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7.1</w:t>
            </w:r>
          </w:p>
        </w:tc>
      </w:tr>
      <w:tr>
        <w:trPr>
          <w:trHeight w:val="20"/>
        </w:trPr>
        <w:tc>
          <w:tcPr>
            <w:tcW w:w="9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The realized gains on settled futures contracts in 2018 were attributable to changes in commodity prices relative to our settled futures contract prices, as commodity prices have increased in 2018 relative to 2017. Additionally, the change in unrealized losses, net on unsettled futures contracts was due to lower commodity prices relative to the unsettled futures contract prices. For more information on our derivatives, see Note 10 in the Notes to the Consolidated Financial Statements.</w:t>
      </w:r>
    </w:p>
    <w:p>
      <w:pPr>
        <w:spacing w:after="0" w:line="175" w:lineRule="exact"/>
        <w:rPr>
          <w:sz w:val="20"/>
          <w:szCs w:val="20"/>
          <w:color w:val="auto"/>
        </w:rPr>
      </w:pPr>
    </w:p>
    <w:p>
      <w:pPr>
        <w:jc w:val="both"/>
        <w:ind w:firstLine="234"/>
        <w:spacing w:after="0" w:line="312" w:lineRule="auto"/>
        <w:rPr>
          <w:sz w:val="20"/>
          <w:szCs w:val="20"/>
          <w:color w:val="auto"/>
        </w:rPr>
      </w:pPr>
      <w:r>
        <w:rPr>
          <w:rFonts w:ascii="Arial" w:cs="Arial" w:eastAsia="Arial" w:hAnsi="Arial"/>
          <w:sz w:val="15"/>
          <w:szCs w:val="15"/>
          <w:color w:val="auto"/>
        </w:rPr>
        <w:t>Foreign currency exchange losses increased in 2018 primarily due to weakening in foreign exchange rates in our primary markets. The special legal contingency charges decreased primarily due to lower legal costs associated with outstanding legal settlements. The asbestos-related litigation relates to known and estimated future asbestos matters. The environmental liabilities relate to estimated remediation costs for contamination at some of our facilities. Refer to Note 5 in the Notes to the Consolidated Financial Statements for more information on litigation, including the asbestos-related litigation, and the environmental liabilities.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Charges</w:t>
      </w:r>
    </w:p>
    <w:p>
      <w:pPr>
        <w:spacing w:after="0" w:line="22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Restructuring charges were $3.0 million in 2018 compared to $3.2 million in 2017. The charges in 2018 and 2017 were primarily for projects to realign resources and enhance manufacturing and distribution capabilities. For more information on our restructuring activities, see Note 8 in the Notes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22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We performed a qualitative impairment analysis and noted no indicators of goodwill impairment for the year ended December 31, 2018. In 2018, we wrote off $11.5 million of goodwill as a part of the completed sales of our Australia, Asia and South America businesses (discussed further in Note 7 of the Notes to the Consolidated Financial Statements). Also, we did not record 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44"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goodwill impairments in 2017. Refer to Note 10 in the Notes to the Consolidated Financial Statements for more information on goodwill.</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Impairment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did not have any impairments of assets related to continuing operations in 2018 or 2017.</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Settlement</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We did not have significant pension buyout activity in 2018 or 2017. Refer to Note 11 in the Notes to the Consolidated Financial Statements for more information on pensions and employee benefit plans.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from Equity Method Investments</w:t>
      </w:r>
    </w:p>
    <w:p>
      <w:pPr>
        <w:spacing w:after="0" w:line="22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Investments over which we do not exercise control but have significant influence are accounted for using the equity method of accounting. Income from equity method investments was $12 million in 2018 compared to $18 million in 2017. The decrease is because the joint ventures have experienced increased costs related to commodities and components and have not passed these increased costs on through price increases.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interest expense of $38 million in 2018 increased from $31 million in 2017 primarily due to an increase in our average borrowings and rising interest rates.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2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The income tax provision was $108 million in 2018 compared to $157 million in 2017, and the effective tax rate was 23% in 2018 compared to 34% in 2017. The 2018 effective tax rate differs from the statutory rate of 21% primarily due to state and foreign taxes. The 2017 effective tax rate was negatively impacted by changes in U.S. tax legislation that reduced the value of our deferred tax assets by $31.8 million, partially offset by the benefit from the impact of excess tax benefits related to stock-based compensation of $23.6 million. Refer to Note 13 in the Notes to the Consolidated Financial Statements for more information on the impact of recent changes in tax legislation.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from Discontinued Operations</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The $1 million of pre-tax income incurred in 2018 and $2 million of pre-tax losses in 2017 primarily relate to changes in retained product liabilities and general liabilities for the Service Experts business sold in 2013 and the Hearth business sold in 2012.</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2018 Compared to Year Ended December 31, 2017 - Results by Segment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Residential Heating &amp; Cooling</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our Residential Heating &amp; Cooling segment’s net sales and profit for 2018 and 2017 (dollars in millions):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For the Years Ended December 31,</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2"/>
        </w:trPr>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21"/>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77"/>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240" w:type="dxa"/>
            <w:vAlign w:val="bottom"/>
          </w:tcPr>
          <w:p>
            <w:pPr>
              <w:jc w:val="right"/>
              <w:ind w:right="196"/>
              <w:spacing w:after="0"/>
              <w:rPr>
                <w:sz w:val="20"/>
                <w:szCs w:val="20"/>
                <w:color w:val="auto"/>
              </w:rPr>
            </w:pPr>
            <w:r>
              <w:rPr>
                <w:rFonts w:ascii="Arial" w:cs="Arial" w:eastAsia="Arial" w:hAnsi="Arial"/>
                <w:sz w:val="16"/>
                <w:szCs w:val="16"/>
                <w:b w:val="1"/>
                <w:bCs w:val="1"/>
                <w:color w:val="auto"/>
              </w:rPr>
              <w:t>% Change</w:t>
            </w:r>
          </w:p>
        </w:tc>
      </w:tr>
      <w:tr>
        <w:trPr>
          <w:trHeight w:val="32"/>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2,225.0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2,140.4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84.6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34"/>
        </w:trPr>
        <w:tc>
          <w:tcPr>
            <w:tcW w:w="5560" w:type="dxa"/>
            <w:vAlign w:val="bottom"/>
          </w:tcPr>
          <w:p>
            <w:pPr>
              <w:ind w:left="20"/>
              <w:spacing w:after="0"/>
              <w:rPr>
                <w:sz w:val="20"/>
                <w:szCs w:val="20"/>
                <w:color w:val="auto"/>
              </w:rPr>
            </w:pPr>
            <w:r>
              <w:rPr>
                <w:rFonts w:ascii="Arial" w:cs="Arial" w:eastAsia="Arial" w:hAnsi="Arial"/>
                <w:sz w:val="17"/>
                <w:szCs w:val="17"/>
                <w:color w:val="auto"/>
              </w:rPr>
              <w:t>Profit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399.4</w:t>
            </w:r>
          </w:p>
        </w:tc>
        <w:tc>
          <w:tcPr>
            <w:tcW w:w="12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373.9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25.5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6"/>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4"/>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of net sales</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6"/>
        </w:trPr>
        <w:tc>
          <w:tcPr>
            <w:tcW w:w="5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Residential Heating &amp; Cooling net sales increased 4% in 2018 compared to 2017. Sales volume increased 2% and price and mix combined increased 2%.</w:t>
      </w:r>
    </w:p>
    <w:p>
      <w:pPr>
        <w:spacing w:after="0" w:line="233" w:lineRule="exact"/>
        <w:rPr>
          <w:sz w:val="20"/>
          <w:szCs w:val="20"/>
          <w:color w:val="auto"/>
        </w:rPr>
      </w:pPr>
    </w:p>
    <w:p>
      <w:pPr>
        <w:ind w:firstLine="221"/>
        <w:spacing w:after="0" w:line="286" w:lineRule="auto"/>
        <w:rPr>
          <w:sz w:val="20"/>
          <w:szCs w:val="20"/>
          <w:color w:val="auto"/>
        </w:rPr>
      </w:pPr>
      <w:r>
        <w:rPr>
          <w:rFonts w:ascii="Arial" w:cs="Arial" w:eastAsia="Arial" w:hAnsi="Arial"/>
          <w:sz w:val="17"/>
          <w:szCs w:val="17"/>
          <w:color w:val="auto"/>
        </w:rPr>
        <w:t>Segment profit in 2018 increased $26 million due to $52 million of combined price and mix, $27 million of insurance proceeds for the third quarter 2018 lost profits from the Marshalltown tornado, $14 million from higher sales volume, $12 million from</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544" w:right="2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7"/>
          <w:szCs w:val="17"/>
          <w:color w:val="auto"/>
        </w:rPr>
        <w:t>sourcing and engineering-led cost reductions, and $5 million of higher factory productivity. Partially offsetting these increases is $35 million of higher commodity costs, $32 million of higher freight and distribution expenses, $9 million of higher other product costs, $4 million from lower equity method income, $3 million from unfavorable foreign exchange rates, and $1 million from higher SG&amp;A.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Heating &amp; Cooling</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our Commercial Heating &amp; Cooling segment’s net sales and profit for 2018 and 2017 (dollars in millions):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For the Years Ended December 31,</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2"/>
        </w:trPr>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21"/>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77"/>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240" w:type="dxa"/>
            <w:vAlign w:val="bottom"/>
          </w:tcPr>
          <w:p>
            <w:pPr>
              <w:jc w:val="right"/>
              <w:ind w:right="196"/>
              <w:spacing w:after="0"/>
              <w:rPr>
                <w:sz w:val="20"/>
                <w:szCs w:val="20"/>
                <w:color w:val="auto"/>
              </w:rPr>
            </w:pPr>
            <w:r>
              <w:rPr>
                <w:rFonts w:ascii="Arial" w:cs="Arial" w:eastAsia="Arial" w:hAnsi="Arial"/>
                <w:sz w:val="16"/>
                <w:szCs w:val="16"/>
                <w:b w:val="1"/>
                <w:bCs w:val="1"/>
                <w:color w:val="auto"/>
              </w:rPr>
              <w:t>% Change</w:t>
            </w:r>
          </w:p>
        </w:tc>
      </w:tr>
      <w:tr>
        <w:trPr>
          <w:trHeight w:val="32"/>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900.7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819.5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81.2</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34"/>
        </w:trPr>
        <w:tc>
          <w:tcPr>
            <w:tcW w:w="5560" w:type="dxa"/>
            <w:vAlign w:val="bottom"/>
          </w:tcPr>
          <w:p>
            <w:pPr>
              <w:ind w:left="20"/>
              <w:spacing w:after="0"/>
              <w:rPr>
                <w:sz w:val="20"/>
                <w:szCs w:val="20"/>
                <w:color w:val="auto"/>
              </w:rPr>
            </w:pPr>
            <w:r>
              <w:rPr>
                <w:rFonts w:ascii="Arial" w:cs="Arial" w:eastAsia="Arial" w:hAnsi="Arial"/>
                <w:sz w:val="17"/>
                <w:szCs w:val="17"/>
                <w:color w:val="auto"/>
              </w:rPr>
              <w:t>Profit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157.5</w:t>
            </w:r>
          </w:p>
        </w:tc>
        <w:tc>
          <w:tcPr>
            <w:tcW w:w="12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149.3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6"/>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4"/>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of net sales</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6"/>
        </w:trPr>
        <w:tc>
          <w:tcPr>
            <w:tcW w:w="5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Commercial Heating &amp; Cooling net sales increased 10% in 2018 compared to 2017. Sales volume increased 7% and price and mix combined increased 3%.</w:t>
      </w:r>
    </w:p>
    <w:p>
      <w:pPr>
        <w:spacing w:after="0" w:line="233" w:lineRule="exact"/>
        <w:rPr>
          <w:sz w:val="20"/>
          <w:szCs w:val="20"/>
          <w:color w:val="auto"/>
        </w:rPr>
      </w:pPr>
    </w:p>
    <w:p>
      <w:pPr>
        <w:jc w:val="both"/>
        <w:ind w:firstLine="221"/>
        <w:spacing w:after="0" w:line="295" w:lineRule="auto"/>
        <w:rPr>
          <w:sz w:val="20"/>
          <w:szCs w:val="20"/>
          <w:color w:val="auto"/>
        </w:rPr>
      </w:pPr>
      <w:r>
        <w:rPr>
          <w:rFonts w:ascii="Arial" w:cs="Arial" w:eastAsia="Arial" w:hAnsi="Arial"/>
          <w:sz w:val="16"/>
          <w:szCs w:val="16"/>
          <w:color w:val="auto"/>
        </w:rPr>
        <w:t>Segment profit in 2018 increased $8 million compared to 2017 due to $19 million from higher sales volume, $11 million of combined price and mix, and $5 million from sourcing and engineering-led cost reductions. Partially offsetting these increases is $9 million of higher commodity costs, $9 million of higher other product costs, $5 million of higher freight and distribution expense, $2 million of lower factory productivity, and $2 million of higher SG&amp;A expense.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Refrigeration</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our Refrigeration segment’s net sales and profit for 2018 and 2017 (dollars in millions):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For the Years Ended December 31,</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2"/>
        </w:trPr>
        <w:tc>
          <w:tcPr>
            <w:tcW w:w="5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21"/>
        </w:trPr>
        <w:tc>
          <w:tcPr>
            <w:tcW w:w="5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97"/>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Difference</w:t>
            </w:r>
          </w:p>
        </w:tc>
        <w:tc>
          <w:tcPr>
            <w:tcW w:w="1300" w:type="dxa"/>
            <w:vAlign w:val="bottom"/>
          </w:tcPr>
          <w:p>
            <w:pPr>
              <w:jc w:val="right"/>
              <w:ind w:right="216"/>
              <w:spacing w:after="0"/>
              <w:rPr>
                <w:sz w:val="20"/>
                <w:szCs w:val="20"/>
                <w:color w:val="auto"/>
              </w:rPr>
            </w:pPr>
            <w:r>
              <w:rPr>
                <w:rFonts w:ascii="Arial" w:cs="Arial" w:eastAsia="Arial" w:hAnsi="Arial"/>
                <w:sz w:val="16"/>
                <w:szCs w:val="16"/>
                <w:b w:val="1"/>
                <w:bCs w:val="1"/>
                <w:color w:val="auto"/>
              </w:rPr>
              <w:t>% Change</w:t>
            </w:r>
          </w:p>
        </w:tc>
      </w:tr>
      <w:tr>
        <w:trPr>
          <w:trHeight w:val="32"/>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758.2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879.7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34"/>
        </w:trPr>
        <w:tc>
          <w:tcPr>
            <w:tcW w:w="5500" w:type="dxa"/>
            <w:vAlign w:val="bottom"/>
          </w:tcPr>
          <w:p>
            <w:pPr>
              <w:ind w:left="20"/>
              <w:spacing w:after="0"/>
              <w:rPr>
                <w:sz w:val="20"/>
                <w:szCs w:val="20"/>
                <w:color w:val="auto"/>
              </w:rPr>
            </w:pPr>
            <w:r>
              <w:rPr>
                <w:rFonts w:ascii="Arial" w:cs="Arial" w:eastAsia="Arial" w:hAnsi="Arial"/>
                <w:sz w:val="17"/>
                <w:szCs w:val="17"/>
                <w:color w:val="auto"/>
              </w:rPr>
              <w:t>Profit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68.1</w:t>
            </w:r>
          </w:p>
        </w:tc>
        <w:tc>
          <w:tcPr>
            <w:tcW w:w="100" w:type="dxa"/>
            <w:vAlign w:val="bottom"/>
          </w:tcPr>
          <w:p>
            <w:pPr>
              <w:spacing w:after="0"/>
              <w:rPr>
                <w:sz w:val="20"/>
                <w:szCs w:val="20"/>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80.6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26"/>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4"/>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of net sales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6"/>
        </w:trPr>
        <w:tc>
          <w:tcPr>
            <w:tcW w:w="5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spacing w:after="0" w:line="356" w:lineRule="auto"/>
        <w:rPr>
          <w:sz w:val="20"/>
          <w:szCs w:val="20"/>
          <w:color w:val="auto"/>
        </w:rPr>
      </w:pPr>
      <w:r>
        <w:rPr>
          <w:rFonts w:ascii="Arial" w:cs="Arial" w:eastAsia="Arial" w:hAnsi="Arial"/>
          <w:sz w:val="15"/>
          <w:szCs w:val="15"/>
          <w:color w:val="auto"/>
        </w:rPr>
        <w:t>Net sales decreased 14% in 2018 compared to 2017. The loss of sales from the divested Australia, Asia and South America businesses contributed 13%, price and mix combined was 1% lower and sales volume was 1% lower. These were partially offset by an increase of 1% from favorable foreign currency exchange rates.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Segment profit in 2018 decreased $13 million compared to 2017 due to $6 million of higher commodity costs, $6 million of lower profit due to the divested Australia, Asia and South America businesses, $3 million from lower sales volume, $3 million of lower factory productivity, $2 million of higher freight and distribution expense and $2 million of lower equity method income. Partially offsetting these decreases was $6 million of sourcing and engineering-led cost reductions, $2 million from selling refrigerant allocations in Europe, and $1 million of lower SG&amp;A expense.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and Other</w:t>
      </w:r>
    </w:p>
    <w:p>
      <w:pPr>
        <w:spacing w:after="0" w:line="221" w:lineRule="exact"/>
        <w:rPr>
          <w:sz w:val="20"/>
          <w:szCs w:val="20"/>
          <w:color w:val="auto"/>
        </w:rPr>
      </w:pPr>
    </w:p>
    <w:p>
      <w:pPr>
        <w:jc w:val="both"/>
        <w:ind w:firstLine="234"/>
        <w:spacing w:after="0" w:line="319" w:lineRule="auto"/>
        <w:rPr>
          <w:sz w:val="20"/>
          <w:szCs w:val="20"/>
          <w:color w:val="auto"/>
        </w:rPr>
      </w:pPr>
      <w:r>
        <w:rPr>
          <w:rFonts w:ascii="Arial" w:cs="Arial" w:eastAsia="Arial" w:hAnsi="Arial"/>
          <w:sz w:val="16"/>
          <w:szCs w:val="16"/>
          <w:color w:val="auto"/>
        </w:rPr>
        <w:t>Corporate and other expenses decreased by $5 million in 2018 primarily due to $2 million of non-recurring discretionary expenses in 2017, $2 million of pension expense that was reclassified out of operating income due to a change in accounting rules, and $1 million of lower health and welfare expense.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544"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Accounting for Futures Contracts</w:t>
      </w:r>
    </w:p>
    <w:p>
      <w:pPr>
        <w:spacing w:after="0" w:line="227" w:lineRule="exact"/>
        <w:rPr>
          <w:sz w:val="20"/>
          <w:szCs w:val="20"/>
          <w:color w:val="auto"/>
        </w:rPr>
      </w:pPr>
    </w:p>
    <w:p>
      <w:pPr>
        <w:jc w:val="both"/>
        <w:ind w:firstLine="221"/>
        <w:spacing w:after="0" w:line="263" w:lineRule="auto"/>
        <w:rPr>
          <w:sz w:val="20"/>
          <w:szCs w:val="20"/>
          <w:color w:val="auto"/>
        </w:rPr>
      </w:pPr>
      <w:r>
        <w:rPr>
          <w:rFonts w:ascii="Arial" w:cs="Arial" w:eastAsia="Arial" w:hAnsi="Arial"/>
          <w:sz w:val="17"/>
          <w:szCs w:val="17"/>
          <w:color w:val="auto"/>
        </w:rPr>
        <w:t>Realized gains and losses on settled futures contracts are a component of segment profit (loss). Unrealized gains and losses on unsettled futures contracts are excluded from segment profit (loss) as they are subject to changes in fair value until their settlement date. Both realized and unrealized gains and losses on futures contracts are a component of Losses (gains) and other expenses, net in the accompanying Consolidated Statements of Operations. See Note 10 of the Notes to Consolidated Financial Statements for more information on our derivatives and Note 3 of the Notes to the Consolidated Financial Statements for more information on our segments and for a reconciliation of segment profit to operating income.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7" w:lineRule="exact"/>
        <w:rPr>
          <w:sz w:val="20"/>
          <w:szCs w:val="20"/>
          <w:color w:val="auto"/>
        </w:rPr>
      </w:pPr>
    </w:p>
    <w:p>
      <w:pPr>
        <w:jc w:val="both"/>
        <w:ind w:firstLine="234"/>
        <w:spacing w:after="0" w:line="319"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 of Cash Flows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our cash flow activity for the years ended December 31, 2019, 2018 and 2017 (in millions):</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35"/>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Arial" w:cs="Arial" w:eastAsia="Arial" w:hAnsi="Arial"/>
                <w:sz w:val="16"/>
                <w:szCs w:val="16"/>
                <w:b w:val="1"/>
                <w:bCs w:val="1"/>
                <w:color w:val="auto"/>
              </w:rPr>
              <w:t>2017</w:t>
            </w:r>
          </w:p>
        </w:tc>
      </w:tr>
      <w:tr>
        <w:trPr>
          <w:trHeight w:val="32"/>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396.1</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495.5</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325.1</w:t>
            </w:r>
          </w:p>
        </w:tc>
      </w:tr>
      <w:tr>
        <w:trPr>
          <w:trHeight w:val="234"/>
        </w:trPr>
        <w:tc>
          <w:tcPr>
            <w:tcW w:w="652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2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15.9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30.5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(98.1)</w:t>
            </w:r>
          </w:p>
        </w:tc>
      </w:tr>
      <w:tr>
        <w:trPr>
          <w:trHeight w:val="26"/>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4"/>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(423.4)</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(537.8)</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(218.3)</w:t>
            </w:r>
          </w:p>
        </w:tc>
      </w:tr>
      <w:tr>
        <w:trPr>
          <w:trHeight w:val="26"/>
        </w:trPr>
        <w:tc>
          <w:tcPr>
            <w:tcW w:w="6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jc w:val="both"/>
        <w:ind w:firstLine="234"/>
        <w:spacing w:after="0" w:line="335"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20"/>
          <w:szCs w:val="20"/>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decreased $99 million to $396 million in 2019 compared to $496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2018. The decrease was primarily attributable to an increase in working capital partially offset by an increase in net income.</w:t>
      </w:r>
    </w:p>
    <w:p>
      <w:pPr>
        <w:spacing w:after="0" w:line="122" w:lineRule="exact"/>
        <w:rPr>
          <w:sz w:val="20"/>
          <w:szCs w:val="20"/>
          <w:color w:val="auto"/>
        </w:rPr>
      </w:pPr>
    </w:p>
    <w:p>
      <w:pPr>
        <w:jc w:val="both"/>
        <w:ind w:firstLine="156"/>
        <w:spacing w:after="0" w:line="339" w:lineRule="auto"/>
        <w:rPr>
          <w:sz w:val="20"/>
          <w:szCs w:val="20"/>
          <w:color w:val="auto"/>
        </w:rPr>
      </w:pPr>
      <w:r>
        <w:rPr>
          <w:rFonts w:ascii="Arial" w:cs="Arial" w:eastAsia="Arial" w:hAnsi="Arial"/>
          <w:sz w:val="16"/>
          <w:szCs w:val="16"/>
          <w:i w:val="1"/>
          <w:iCs w:val="1"/>
          <w:color w:val="auto"/>
        </w:rPr>
        <w:t xml:space="preserve">Net Cash Provided by (Used in) Investing Activities </w:t>
      </w:r>
      <w:r>
        <w:rPr>
          <w:rFonts w:ascii="Arial" w:cs="Arial" w:eastAsia="Arial" w:hAnsi="Arial"/>
          <w:sz w:val="18"/>
          <w:szCs w:val="18"/>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expenditures were $106 million, $95 million and $98 million in 2019, 2018 and 2017,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expenditures in 2019 were primarily related to the reconstruction of the Marshalltown facility, expansion of our manufacturing capacity and equipment and investments in systems and software to support the overall enterprise. We received net proceeds of $44 million in 2019 from the sale of our Kysor Warren business, and we received $80 million of insurance proceeds to fund the capital expenditures for the reconstruction of our Marshalltown facility.</w:t>
      </w:r>
    </w:p>
    <w:p>
      <w:pPr>
        <w:spacing w:after="0" w:line="139" w:lineRule="exact"/>
        <w:rPr>
          <w:sz w:val="20"/>
          <w:szCs w:val="20"/>
          <w:color w:val="auto"/>
        </w:rPr>
      </w:pPr>
    </w:p>
    <w:p>
      <w:pPr>
        <w:jc w:val="both"/>
        <w:ind w:firstLine="234"/>
        <w:spacing w:after="0" w:line="310" w:lineRule="auto"/>
        <w:rPr>
          <w:sz w:val="20"/>
          <w:szCs w:val="20"/>
          <w:color w:val="auto"/>
        </w:rPr>
      </w:pPr>
      <w:r>
        <w:rPr>
          <w:rFonts w:ascii="Arial" w:cs="Arial" w:eastAsia="Arial" w:hAnsi="Arial"/>
          <w:sz w:val="17"/>
          <w:szCs w:val="17"/>
          <w:i w:val="1"/>
          <w:iCs w:val="1"/>
          <w:color w:val="auto"/>
        </w:rPr>
        <w:t xml:space="preserve">Net Cash Used in Financing Activities </w:t>
      </w:r>
      <w:r>
        <w:rPr>
          <w:rFonts w:ascii="Arial" w:cs="Arial" w:eastAsia="Arial" w:hAnsi="Arial"/>
          <w:sz w:val="20"/>
          <w:szCs w:val="20"/>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used in financing activities decreased to $423 million in 2019 from $538 million in 2018. The decrease is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due to lower share repurchases in 2019 and an increase in borrowings from our debt facilities. During 2019 we repurchased $400 million of shares compared to $450 million of shares in 2018. We also returned $111 million to shareholders through dividend payments. For additional information on share repurchases, refer to Note 6 in the Notes to the Consolidated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38"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i w:val="1"/>
          <w:iCs w:val="1"/>
          <w:color w:val="auto"/>
        </w:rPr>
        <w:t>Debt Position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details our lines of credit and financing arrangements as of December 31, 2019 (in millions):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7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88"/>
              </w:rPr>
              <w:t>Outstanding Borrowings</w:t>
            </w:r>
          </w:p>
        </w:tc>
      </w:tr>
      <w:tr>
        <w:trPr>
          <w:trHeight w:val="214"/>
        </w:trPr>
        <w:tc>
          <w:tcPr>
            <w:tcW w:w="972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Current maturities of long-term debt:</w:t>
            </w:r>
          </w:p>
        </w:tc>
        <w:tc>
          <w:tcPr>
            <w:tcW w:w="6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39"/>
        </w:trPr>
        <w:tc>
          <w:tcPr>
            <w:tcW w:w="9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0"/>
        </w:trPr>
        <w:tc>
          <w:tcPr>
            <w:tcW w:w="9720" w:type="dxa"/>
            <w:vAlign w:val="bottom"/>
            <w:shd w:val="clear" w:color="auto" w:fill="CCEEFF"/>
          </w:tcPr>
          <w:p>
            <w:pPr>
              <w:ind w:left="40"/>
              <w:spacing w:after="0" w:line="260" w:lineRule="exact"/>
              <w:rPr>
                <w:sz w:val="20"/>
                <w:szCs w:val="20"/>
                <w:color w:val="auto"/>
              </w:rPr>
            </w:pPr>
            <w:r>
              <w:rPr>
                <w:rFonts w:ascii="Arial" w:cs="Arial" w:eastAsia="Arial" w:hAnsi="Arial"/>
                <w:sz w:val="17"/>
                <w:szCs w:val="17"/>
                <w:color w:val="auto"/>
              </w:rPr>
              <w:t xml:space="preserve">Asset Securitization Program </w:t>
            </w:r>
            <w:r>
              <w:rPr>
                <w:rFonts w:ascii="Arial" w:cs="Arial" w:eastAsia="Arial" w:hAnsi="Arial"/>
                <w:sz w:val="24"/>
                <w:szCs w:val="24"/>
                <w:color w:val="auto"/>
                <w:vertAlign w:val="superscript"/>
              </w:rPr>
              <w:t>(1)</w:t>
            </w:r>
          </w:p>
        </w:tc>
        <w:tc>
          <w:tcPr>
            <w:tcW w:w="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285.0</w:t>
            </w:r>
          </w:p>
        </w:tc>
      </w:tr>
      <w:tr>
        <w:trPr>
          <w:trHeight w:val="234"/>
        </w:trPr>
        <w:tc>
          <w:tcPr>
            <w:tcW w:w="9720" w:type="dxa"/>
            <w:vAlign w:val="bottom"/>
          </w:tcPr>
          <w:p>
            <w:pPr>
              <w:ind w:left="40"/>
              <w:spacing w:after="0"/>
              <w:rPr>
                <w:sz w:val="20"/>
                <w:szCs w:val="20"/>
                <w:color w:val="auto"/>
              </w:rPr>
            </w:pPr>
            <w:r>
              <w:rPr>
                <w:rFonts w:ascii="Arial" w:cs="Arial" w:eastAsia="Arial" w:hAnsi="Arial"/>
                <w:sz w:val="17"/>
                <w:szCs w:val="17"/>
                <w:color w:val="auto"/>
              </w:rPr>
              <w:t>Capital lease obligations</w:t>
            </w:r>
          </w:p>
        </w:tc>
        <w:tc>
          <w:tcPr>
            <w:tcW w:w="6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7.8</w:t>
            </w:r>
          </w:p>
        </w:tc>
      </w:tr>
      <w:tr>
        <w:trPr>
          <w:trHeight w:val="26"/>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0"/>
        </w:trPr>
        <w:tc>
          <w:tcPr>
            <w:tcW w:w="9720" w:type="dxa"/>
            <w:vAlign w:val="bottom"/>
            <w:shd w:val="clear" w:color="auto" w:fill="CCEEFF"/>
          </w:tcPr>
          <w:p>
            <w:pPr>
              <w:ind w:left="40"/>
              <w:spacing w:after="0" w:line="260" w:lineRule="exact"/>
              <w:rPr>
                <w:sz w:val="20"/>
                <w:szCs w:val="20"/>
                <w:color w:val="auto"/>
              </w:rPr>
            </w:pPr>
            <w:r>
              <w:rPr>
                <w:rFonts w:ascii="Arial" w:cs="Arial" w:eastAsia="Arial" w:hAnsi="Arial"/>
                <w:sz w:val="17"/>
                <w:szCs w:val="17"/>
                <w:color w:val="auto"/>
              </w:rPr>
              <w:t xml:space="preserve">Domestic credit facility </w:t>
            </w:r>
            <w:r>
              <w:rPr>
                <w:rFonts w:ascii="Arial" w:cs="Arial" w:eastAsia="Arial" w:hAnsi="Arial"/>
                <w:sz w:val="24"/>
                <w:szCs w:val="24"/>
                <w:color w:val="auto"/>
                <w:vertAlign w:val="superscript"/>
              </w:rPr>
              <w:t>(2)</w:t>
            </w: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30.0</w:t>
            </w:r>
          </w:p>
        </w:tc>
      </w:tr>
      <w:tr>
        <w:trPr>
          <w:trHeight w:val="234"/>
        </w:trPr>
        <w:tc>
          <w:tcPr>
            <w:tcW w:w="9720" w:type="dxa"/>
            <w:vAlign w:val="bottom"/>
          </w:tcPr>
          <w:p>
            <w:pPr>
              <w:ind w:left="40"/>
              <w:spacing w:after="0"/>
              <w:rPr>
                <w:sz w:val="20"/>
                <w:szCs w:val="20"/>
                <w:color w:val="auto"/>
              </w:rPr>
            </w:pPr>
            <w:r>
              <w:rPr>
                <w:rFonts w:ascii="Arial" w:cs="Arial" w:eastAsia="Arial" w:hAnsi="Arial"/>
                <w:sz w:val="17"/>
                <w:szCs w:val="17"/>
                <w:color w:val="auto"/>
              </w:rPr>
              <w:t>Debt issuance costs</w:t>
            </w: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6"/>
        </w:trPr>
        <w:tc>
          <w:tcPr>
            <w:tcW w:w="9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3"/>
        </w:trPr>
        <w:tc>
          <w:tcPr>
            <w:tcW w:w="9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current maturities of long-term debt</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321.9</w:t>
            </w:r>
          </w:p>
        </w:tc>
      </w:tr>
      <w:tr>
        <w:trPr>
          <w:trHeight w:val="234"/>
        </w:trPr>
        <w:tc>
          <w:tcPr>
            <w:tcW w:w="972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Long-term debt:</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251700" cy="165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lease obligations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Domestic credit facility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251700" cy="165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Senior unsecured notes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251700" cy="173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700" cy="173355"/>
                    </a:xfrm>
                    <a:prstGeom prst="rect">
                      <a:avLst/>
                    </a:prstGeom>
                    <a:noFill/>
                  </pic:spPr>
                </pic:pic>
              </a:graphicData>
            </a:graphic>
          </wp:anchor>
        </w:drawing>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Total long-term debt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Total debt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276" w:hanging="1276"/>
        <w:spacing w:after="0"/>
        <w:tabs>
          <w:tab w:leader="none" w:pos="1276" w:val="left"/>
        </w:tabs>
        <w:numPr>
          <w:ilvl w:val="0"/>
          <w:numId w:val="7"/>
        </w:numPr>
        <w:rPr>
          <w:rFonts w:ascii="Arial" w:cs="Arial" w:eastAsia="Arial" w:hAnsi="Arial"/>
          <w:sz w:val="17"/>
          <w:szCs w:val="17"/>
          <w:color w:val="auto"/>
        </w:rPr>
      </w:pPr>
      <w:r>
        <w:rPr>
          <w:rFonts w:ascii="Arial" w:cs="Arial" w:eastAsia="Arial" w:hAnsi="Arial"/>
          <w:sz w:val="17"/>
          <w:szCs w:val="17"/>
          <w:color w:val="auto"/>
        </w:rPr>
        <w:t>25.9</w:t>
      </w:r>
    </w:p>
    <w:p>
      <w:pPr>
        <w:spacing w:after="0" w:line="64" w:lineRule="exact"/>
        <w:rPr>
          <w:rFonts w:ascii="Arial" w:cs="Arial" w:eastAsia="Arial" w:hAnsi="Arial"/>
          <w:sz w:val="17"/>
          <w:szCs w:val="17"/>
          <w:color w:val="auto"/>
        </w:rPr>
      </w:pPr>
    </w:p>
    <w:p>
      <w:pPr>
        <w:ind w:left="1176"/>
        <w:spacing w:after="0"/>
        <w:rPr>
          <w:rFonts w:ascii="Arial" w:cs="Arial" w:eastAsia="Arial" w:hAnsi="Arial"/>
          <w:sz w:val="17"/>
          <w:szCs w:val="17"/>
          <w:color w:val="auto"/>
        </w:rPr>
      </w:pPr>
      <w:r>
        <w:rPr>
          <w:rFonts w:ascii="Arial" w:cs="Arial" w:eastAsia="Arial" w:hAnsi="Arial"/>
          <w:sz w:val="17"/>
          <w:szCs w:val="17"/>
          <w:color w:val="auto"/>
        </w:rPr>
        <w:t>475.5</w:t>
      </w:r>
    </w:p>
    <w:p>
      <w:pPr>
        <w:spacing w:after="0" w:line="64" w:lineRule="exact"/>
        <w:rPr>
          <w:rFonts w:ascii="Arial" w:cs="Arial" w:eastAsia="Arial" w:hAnsi="Arial"/>
          <w:sz w:val="17"/>
          <w:szCs w:val="17"/>
          <w:color w:val="auto"/>
        </w:rPr>
      </w:pPr>
    </w:p>
    <w:p>
      <w:pPr>
        <w:ind w:left="1176"/>
        <w:spacing w:after="0"/>
        <w:rPr>
          <w:rFonts w:ascii="Arial" w:cs="Arial" w:eastAsia="Arial" w:hAnsi="Arial"/>
          <w:sz w:val="17"/>
          <w:szCs w:val="17"/>
          <w:color w:val="auto"/>
        </w:rPr>
      </w:pPr>
      <w:r>
        <w:rPr>
          <w:rFonts w:ascii="Arial" w:cs="Arial" w:eastAsia="Arial" w:hAnsi="Arial"/>
          <w:sz w:val="17"/>
          <w:szCs w:val="17"/>
          <w:color w:val="auto"/>
        </w:rPr>
        <w:t>350.0</w:t>
      </w:r>
    </w:p>
    <w:p>
      <w:pPr>
        <w:spacing w:after="0" w:line="64" w:lineRule="exact"/>
        <w:rPr>
          <w:rFonts w:ascii="Arial" w:cs="Arial" w:eastAsia="Arial" w:hAnsi="Arial"/>
          <w:sz w:val="17"/>
          <w:szCs w:val="17"/>
          <w:color w:val="auto"/>
        </w:rPr>
      </w:pPr>
    </w:p>
    <w:p>
      <w:pPr>
        <w:ind w:left="1296"/>
        <w:spacing w:after="0"/>
        <w:rPr>
          <w:rFonts w:ascii="Arial" w:cs="Arial" w:eastAsia="Arial" w:hAnsi="Arial"/>
          <w:sz w:val="17"/>
          <w:szCs w:val="17"/>
          <w:color w:val="auto"/>
        </w:rPr>
      </w:pPr>
      <w:r>
        <w:rPr>
          <w:rFonts w:ascii="Arial" w:cs="Arial" w:eastAsia="Arial" w:hAnsi="Arial"/>
          <w:sz w:val="16"/>
          <w:szCs w:val="16"/>
          <w:color w:val="auto"/>
        </w:rPr>
        <w:t>(2.1)</w:t>
      </w:r>
    </w:p>
    <w:p>
      <w:pPr>
        <w:spacing w:after="0" w:line="89" w:lineRule="exact"/>
        <w:rPr>
          <w:rFonts w:ascii="Arial" w:cs="Arial" w:eastAsia="Arial" w:hAnsi="Arial"/>
          <w:sz w:val="17"/>
          <w:szCs w:val="17"/>
          <w:color w:val="auto"/>
        </w:rPr>
      </w:pPr>
    </w:p>
    <w:p>
      <w:pPr>
        <w:ind w:left="1176"/>
        <w:spacing w:after="0"/>
        <w:rPr>
          <w:rFonts w:ascii="Arial" w:cs="Arial" w:eastAsia="Arial" w:hAnsi="Arial"/>
          <w:sz w:val="17"/>
          <w:szCs w:val="17"/>
          <w:color w:val="auto"/>
        </w:rPr>
      </w:pPr>
      <w:r>
        <w:rPr>
          <w:rFonts w:ascii="Arial" w:cs="Arial" w:eastAsia="Arial" w:hAnsi="Arial"/>
          <w:sz w:val="17"/>
          <w:szCs w:val="17"/>
          <w:color w:val="auto"/>
        </w:rPr>
        <w:t>849.3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32385</wp:posOffset>
            </wp:positionV>
            <wp:extent cx="1083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3310" cy="8255"/>
                    </a:xfrm>
                    <a:prstGeom prst="rect">
                      <a:avLst/>
                    </a:prstGeom>
                    <a:noFill/>
                  </pic:spPr>
                </pic:pic>
              </a:graphicData>
            </a:graphic>
          </wp:anchor>
        </w:drawing>
      </w:r>
    </w:p>
    <w:p>
      <w:pPr>
        <w:spacing w:after="0" w:line="58" w:lineRule="exact"/>
        <w:rPr>
          <w:sz w:val="20"/>
          <w:szCs w:val="20"/>
          <w:color w:val="auto"/>
        </w:rPr>
      </w:pPr>
    </w:p>
    <w:p>
      <w:pPr>
        <w:ind w:left="1056" w:hanging="1056"/>
        <w:spacing w:after="0"/>
        <w:tabs>
          <w:tab w:leader="none" w:pos="1056" w:val="left"/>
        </w:tabs>
        <w:numPr>
          <w:ilvl w:val="0"/>
          <w:numId w:val="8"/>
        </w:numPr>
        <w:rPr>
          <w:rFonts w:ascii="Arial" w:cs="Arial" w:eastAsia="Arial" w:hAnsi="Arial"/>
          <w:sz w:val="17"/>
          <w:szCs w:val="17"/>
          <w:color w:val="auto"/>
        </w:rPr>
      </w:pPr>
      <w:r>
        <w:rPr>
          <w:rFonts w:ascii="Arial" w:cs="Arial" w:eastAsia="Arial" w:hAnsi="Arial"/>
          <w:sz w:val="17"/>
          <w:szCs w:val="17"/>
          <w:color w:val="auto"/>
        </w:rPr>
        <w:t>1,171.2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32385</wp:posOffset>
            </wp:positionV>
            <wp:extent cx="1083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33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48895</wp:posOffset>
            </wp:positionV>
            <wp:extent cx="1083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3310" cy="825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9024" w:space="720"/>
            <w:col w:w="1676"/>
          </w:cols>
          <w:pgMar w:left="240" w:top="544" w:right="239" w:bottom="1440" w:gutter="0" w:footer="0" w:header="0"/>
          <w:type w:val="continuous"/>
        </w:sectPr>
      </w:pPr>
    </w:p>
    <w:p>
      <w:pPr>
        <w:jc w:val="both"/>
        <w:ind w:left="240" w:hanging="236"/>
        <w:spacing w:after="0" w:line="229" w:lineRule="auto"/>
        <w:tabs>
          <w:tab w:leader="none" w:pos="2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maximum securitization amount ranges from $250.0 million to $400.0 million, depending on the period. The maximum capacity of the Asset Securitization Program (“ASP”) is the lesser of the maximum securitization amount or 100% of the net pool balance less reserves, as defined under the ASP. Refer to Note 14 in the Notes to the Consolidated Financial Statements for more details.</w:t>
      </w:r>
    </w:p>
    <w:p>
      <w:pPr>
        <w:spacing w:after="0" w:line="40" w:lineRule="exact"/>
        <w:rPr>
          <w:rFonts w:ascii="Arial" w:cs="Arial" w:eastAsia="Arial" w:hAnsi="Arial"/>
          <w:sz w:val="24"/>
          <w:szCs w:val="24"/>
          <w:color w:val="auto"/>
          <w:vertAlign w:val="superscript"/>
        </w:rPr>
      </w:pPr>
    </w:p>
    <w:p>
      <w:pPr>
        <w:jc w:val="both"/>
        <w:ind w:left="240" w:hanging="236"/>
        <w:spacing w:after="0" w:line="235" w:lineRule="auto"/>
        <w:tabs>
          <w:tab w:leader="none" w:pos="2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available future borrowings on our domestic credit facility are $652 million after being reduced by the outstanding borrowings and $2 million in outstanding standby letters of credit. We also had $30.0 million in outstanding standby letters of credit outside of the domestic credit facility as of December 31, 2019. In January 2019, we increased the maximum credit commitments by $350 million as permitted under the Domestic Credit Facility bringing the total maximum credit commitments to $1.0 billion.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Leverage</w:t>
      </w:r>
    </w:p>
    <w:p>
      <w:pPr>
        <w:spacing w:after="0" w:line="221"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We periodically review our capital structure, including our primary bank facility, to ensure the appropriate levels of liquidity and leverage and to take advantage of favorable interest rate environments or other market conditions. We consider various other financing alternatives and may, from time to time, access the capital markets.</w:t>
      </w:r>
    </w:p>
    <w:p>
      <w:pPr>
        <w:spacing w:after="0" w:line="171"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We also evaluate our debt-to-capital and debt-to-EBITDA ratios to determine, among other considerations, the appropriate targets for capital expenditures and share repurchases under our Share Repurchase Plans. Our debt-to-total-capital ratio increased to 117.0% at December 31, 2019 compared to 116.8% at December 31, 2018. The increase in the ratio in 2019 is primarily due to the increase in total debt.</w:t>
      </w:r>
    </w:p>
    <w:p>
      <w:pPr>
        <w:spacing w:after="0" w:line="17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As of December 31, 2019,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w:t>
      </w:r>
    </w:p>
    <w:p>
      <w:pPr>
        <w:spacing w:after="0" w:line="221" w:lineRule="exact"/>
        <w:rPr>
          <w:sz w:val="20"/>
          <w:szCs w:val="20"/>
          <w:color w:val="auto"/>
        </w:rPr>
      </w:pPr>
    </w:p>
    <w:p>
      <w:pPr>
        <w:jc w:val="both"/>
        <w:ind w:firstLine="221"/>
        <w:spacing w:after="0" w:line="263" w:lineRule="auto"/>
        <w:rPr>
          <w:sz w:val="20"/>
          <w:szCs w:val="20"/>
          <w:color w:val="auto"/>
        </w:rPr>
      </w:pPr>
      <w:r>
        <w:rPr>
          <w:rFonts w:ascii="Arial" w:cs="Arial" w:eastAsia="Arial" w:hAnsi="Arial"/>
          <w:sz w:val="17"/>
          <w:szCs w:val="17"/>
          <w:color w:val="auto"/>
        </w:rPr>
        <w:t>We believe our cash and cash equivalents of $37 million, future cash generated from operations and available future borrowings are sufficient to fund our operations, planned capital expenditures, future contractual obligations, share repurchases, anticipated dividends and other needs in the foreseeable future. Included in our cash and cash equivalents as of December 31, 2019 was $19 million of cash held in foreign locations, although that amount can fluctuate significantly depending on the timing of cash receipts and payments. Our cash held in foreign locations is used for investing and operating activities in those locations, and we generally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44" w:right="239" w:bottom="1440" w:gutter="0" w:footer="0" w:header="0"/>
          <w:type w:val="continuous"/>
        </w:sectPr>
      </w:pPr>
    </w:p>
    <w:bookmarkStart w:id="27" w:name="page28"/>
    <w:bookmarkEnd w:id="27"/>
    <w:p>
      <w:pPr>
        <w:jc w:val="both"/>
        <w:spacing w:after="0" w:line="286" w:lineRule="auto"/>
        <w:rPr>
          <w:sz w:val="20"/>
          <w:szCs w:val="20"/>
          <w:color w:val="auto"/>
        </w:rPr>
      </w:pPr>
      <w:r>
        <w:rPr>
          <w:rFonts w:ascii="Arial" w:cs="Arial" w:eastAsia="Arial" w:hAnsi="Arial"/>
          <w:sz w:val="17"/>
          <w:szCs w:val="17"/>
          <w:color w:val="auto"/>
        </w:rPr>
        <w:t>do not have the need or intent to repatriate those funds to the United States. An actual repatriation in the future from our non-U.S. subsidiaries could be subject to foreign withholding taxes and U.S. state taxes.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 contributions are required to be made to our U.S. defined benefit plans in 2020. We made $2 million in total contributions to pension plans in 2019.</w:t>
      </w:r>
    </w:p>
    <w:p>
      <w:pPr>
        <w:spacing w:after="0" w:line="233"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On May 22, 2019, our Board of Directors approved a 20% increase in our quarterly dividend on common stock from $0.64 to $0.77 per share effective with the July 2019 dividend payment. Dividend payments were $111 million in 2019 compared to $94 million in 2018, with the increase due to the increase in dividends approved by the Board of Directors.</w:t>
      </w:r>
    </w:p>
    <w:p>
      <w:pPr>
        <w:spacing w:after="0" w:line="171"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We also continued to increase shareholder value through our Share Repurchase Plans. We returned $400 million to our investors through share repurchases in 2019 and expect to repurchase another $400 million of shares in 2020. Our Board of Directors authorized an incremental $500 million of share repurchases in December 2019, and we have $546 million of repurchases available under the Share Repurchase Plans at December 31, 2019.</w:t>
      </w:r>
    </w:p>
    <w:p>
      <w:pPr>
        <w:spacing w:after="0" w:line="171" w:lineRule="exact"/>
        <w:rPr>
          <w:sz w:val="20"/>
          <w:szCs w:val="20"/>
          <w:color w:val="auto"/>
        </w:rPr>
      </w:pPr>
    </w:p>
    <w:p>
      <w:pPr>
        <w:jc w:val="both"/>
        <w:ind w:firstLine="221"/>
        <w:spacing w:after="0" w:line="286" w:lineRule="auto"/>
        <w:rPr>
          <w:sz w:val="20"/>
          <w:szCs w:val="20"/>
          <w:color w:val="auto"/>
        </w:rPr>
      </w:pPr>
      <w:r>
        <w:rPr>
          <w:rFonts w:ascii="Arial" w:cs="Arial" w:eastAsia="Arial" w:hAnsi="Arial"/>
          <w:sz w:val="17"/>
          <w:szCs w:val="17"/>
          <w:color w:val="auto"/>
        </w:rPr>
        <w:t>We expect capital expenditures of approximately $153 million in 2020, including $53 million to complete the reconstruction of the Marshalltown, Iowa manufacturing facility.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Covenants related to our Debt</w:t>
      </w:r>
    </w:p>
    <w:p>
      <w:pPr>
        <w:spacing w:after="0" w:line="221" w:lineRule="exact"/>
        <w:rPr>
          <w:sz w:val="20"/>
          <w:szCs w:val="20"/>
          <w:color w:val="auto"/>
        </w:rPr>
      </w:pPr>
    </w:p>
    <w:p>
      <w:pPr>
        <w:jc w:val="both"/>
        <w:ind w:firstLine="221"/>
        <w:spacing w:after="0" w:line="266" w:lineRule="auto"/>
        <w:rPr>
          <w:sz w:val="20"/>
          <w:szCs w:val="20"/>
          <w:color w:val="auto"/>
        </w:rPr>
      </w:pPr>
      <w:r>
        <w:rPr>
          <w:rFonts w:ascii="Arial" w:cs="Arial" w:eastAsia="Arial" w:hAnsi="Arial"/>
          <w:sz w:val="17"/>
          <w:szCs w:val="17"/>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Interest Expense Ratio. The required ratios under our domestic credit facility are detailed below:</w:t>
      </w:r>
    </w:p>
    <w:p>
      <w:pPr>
        <w:spacing w:after="0" w:line="109" w:lineRule="exact"/>
        <w:rPr>
          <w:sz w:val="20"/>
          <w:szCs w:val="20"/>
          <w:color w:val="auto"/>
        </w:rPr>
      </w:pPr>
    </w:p>
    <w:tbl>
      <w:tblPr>
        <w:tblLayout w:type="fixed"/>
        <w:tblInd w:w="1460" w:type="dxa"/>
        <w:tblCellMar>
          <w:top w:w="0" w:type="dxa"/>
          <w:left w:w="0" w:type="dxa"/>
          <w:bottom w:w="0" w:type="dxa"/>
          <w:right w:w="0" w:type="dxa"/>
        </w:tblCellMar>
      </w:tblPr>
      <w:tr>
        <w:trPr>
          <w:trHeight w:val="260"/>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Indebtedness to Adjusted EBITDA Ratio no greater than</w:t>
            </w:r>
          </w:p>
        </w:tc>
        <w:tc>
          <w:tcPr>
            <w:tcW w:w="232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3.5 : 1.0</w:t>
            </w:r>
          </w:p>
        </w:tc>
      </w:tr>
      <w:tr>
        <w:trPr>
          <w:trHeight w:val="234"/>
        </w:trPr>
        <w:tc>
          <w:tcPr>
            <w:tcW w:w="6200" w:type="dxa"/>
            <w:vAlign w:val="bottom"/>
          </w:tcPr>
          <w:p>
            <w:pPr>
              <w:ind w:left="20"/>
              <w:spacing w:after="0"/>
              <w:rPr>
                <w:sz w:val="20"/>
                <w:szCs w:val="20"/>
                <w:color w:val="auto"/>
              </w:rPr>
            </w:pPr>
            <w:r>
              <w:rPr>
                <w:rFonts w:ascii="Arial" w:cs="Arial" w:eastAsia="Arial" w:hAnsi="Arial"/>
                <w:sz w:val="17"/>
                <w:szCs w:val="17"/>
                <w:color w:val="auto"/>
              </w:rPr>
              <w:t>Cash Flow to Interest Expense Ratio no less than</w:t>
            </w:r>
          </w:p>
        </w:tc>
        <w:tc>
          <w:tcPr>
            <w:tcW w:w="2320" w:type="dxa"/>
            <w:vAlign w:val="bottom"/>
          </w:tcPr>
          <w:p>
            <w:pPr>
              <w:jc w:val="right"/>
              <w:ind w:right="393"/>
              <w:spacing w:after="0"/>
              <w:rPr>
                <w:sz w:val="20"/>
                <w:szCs w:val="20"/>
                <w:color w:val="auto"/>
              </w:rPr>
            </w:pPr>
            <w:r>
              <w:rPr>
                <w:rFonts w:ascii="Arial" w:cs="Arial" w:eastAsia="Arial" w:hAnsi="Arial"/>
                <w:sz w:val="17"/>
                <w:szCs w:val="17"/>
                <w:color w:val="auto"/>
              </w:rPr>
              <w:t>3.0 : 1.0</w:t>
            </w:r>
          </w:p>
        </w:tc>
      </w:tr>
    </w:tbl>
    <w:p>
      <w:pPr>
        <w:spacing w:after="0" w:line="222"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Our domestic credit facility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171" w:lineRule="exact"/>
        <w:rPr>
          <w:sz w:val="20"/>
          <w:szCs w:val="20"/>
          <w:color w:val="auto"/>
        </w:rPr>
      </w:pPr>
    </w:p>
    <w:p>
      <w:pPr>
        <w:ind w:left="560" w:hanging="243"/>
        <w:spacing w:after="0"/>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fail to pay any principal or interest when due on any other indebtedness or receivables securitization exceeding $75.0 million; or</w:t>
      </w:r>
    </w:p>
    <w:p>
      <w:pPr>
        <w:spacing w:after="0" w:line="25" w:lineRule="exact"/>
        <w:rPr>
          <w:rFonts w:ascii="Arial" w:cs="Arial" w:eastAsia="Arial" w:hAnsi="Arial"/>
          <w:sz w:val="17"/>
          <w:szCs w:val="17"/>
          <w:color w:val="auto"/>
        </w:rPr>
      </w:pPr>
    </w:p>
    <w:p>
      <w:pPr>
        <w:jc w:val="both"/>
        <w:ind w:left="560" w:hanging="243"/>
        <w:spacing w:after="0" w:line="263" w:lineRule="auto"/>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178"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Each of our major debt agreements contains provisions by which a default under one agreement causes a default in the others (a cross default). If a cross default under our domestic credit facility, our senior unsecured notes, or our ASP were to occur, it could have a wider impact on our liquidity than might otherwise occur from a default of a single debt instrument or lease commitment.</w:t>
      </w:r>
    </w:p>
    <w:p>
      <w:pPr>
        <w:spacing w:after="0" w:line="171" w:lineRule="exact"/>
        <w:rPr>
          <w:sz w:val="20"/>
          <w:szCs w:val="20"/>
          <w:color w:val="auto"/>
        </w:rPr>
      </w:pPr>
    </w:p>
    <w:p>
      <w:pPr>
        <w:jc w:val="both"/>
        <w:ind w:firstLine="221"/>
        <w:spacing w:after="0" w:line="295" w:lineRule="auto"/>
        <w:rPr>
          <w:sz w:val="20"/>
          <w:szCs w:val="20"/>
          <w:color w:val="auto"/>
        </w:rPr>
      </w:pPr>
      <w:r>
        <w:rPr>
          <w:rFonts w:ascii="Arial" w:cs="Arial" w:eastAsia="Arial" w:hAnsi="Arial"/>
          <w:sz w:val="16"/>
          <w:szCs w:val="16"/>
          <w:color w:val="auto"/>
        </w:rPr>
        <w:t>If any event of default occurs and is continuing, the administrative agent, or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w:t>
      </w:r>
    </w:p>
    <w:p>
      <w:pPr>
        <w:spacing w:after="0" w:line="155" w:lineRule="exact"/>
        <w:rPr>
          <w:sz w:val="20"/>
          <w:szCs w:val="20"/>
          <w:color w:val="auto"/>
        </w:rPr>
      </w:pPr>
    </w:p>
    <w:p>
      <w:pPr>
        <w:jc w:val="both"/>
        <w:ind w:firstLine="221"/>
        <w:spacing w:after="0" w:line="279" w:lineRule="auto"/>
        <w:rPr>
          <w:sz w:val="20"/>
          <w:szCs w:val="20"/>
          <w:color w:val="auto"/>
        </w:rPr>
      </w:pPr>
      <w:r>
        <w:rPr>
          <w:rFonts w:ascii="Arial" w:cs="Arial" w:eastAsia="Arial" w:hAnsi="Arial"/>
          <w:sz w:val="16"/>
          <w:szCs w:val="16"/>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The notes are guaranteed, on a senior unsecured basis, by each of our subsidiaries that guarantee payment by us of any indebtedness under our domestic credit facility. The indenture governing the notes contains covenants that, among other things, limit our ability and the ability of the subsidiary guarantors to: create or incur certain liens; enter into certain sale and leaseback transactions; enter into certain mergers, consolidations and transfers of substantially all of our assets; and transfer certain properties. The indenture also contains a cross default provision which is triggered if we default on other debt of at least $75 million in principal which is then accelerated, and such acceleration is not rescinded within 30 days of the notice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44" w:right="239" w:bottom="1440" w:gutter="0" w:footer="0" w:header="0"/>
        </w:sectPr>
      </w:pPr>
    </w:p>
    <w:bookmarkStart w:id="28" w:name="page29"/>
    <w:bookmarkEnd w:id="28"/>
    <w:p>
      <w:pPr>
        <w:jc w:val="both"/>
        <w:ind w:firstLine="221"/>
        <w:spacing w:after="0" w:line="271" w:lineRule="auto"/>
        <w:rPr>
          <w:sz w:val="20"/>
          <w:szCs w:val="20"/>
          <w:color w:val="auto"/>
        </w:rPr>
      </w:pPr>
      <w:r>
        <w:rPr>
          <w:rFonts w:ascii="Arial" w:cs="Arial" w:eastAsia="Arial" w:hAnsi="Arial"/>
          <w:sz w:val="17"/>
          <w:szCs w:val="17"/>
          <w:color w:val="auto"/>
        </w:rPr>
        <w:t>As of December 31, 2019, we believe we were in compliance with all covenant requirements. Delaware law limits the ability to pay dividends to surplus or, if there is no surplus, out of net profits for the fiscal year in which the dividend is declared and/or the preceding fiscal year. In addition, stock repurchases can only be made out of surplus and only if our capital would not be impaired.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Leasing Commitments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Refer to Note 5 in the Notes to the Consolidated Financial Statements for more details on our leasing commitments.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 Arrangements</w:t>
      </w:r>
    </w:p>
    <w:p>
      <w:pPr>
        <w:spacing w:after="0" w:line="227"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7"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Summarized below are our contractual obligations as of December 31, 2019 and their expected impact on our liquidity and cash flows in future periods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60" w:type="dxa"/>
            <w:vAlign w:val="bottom"/>
            <w:gridSpan w:val="8"/>
          </w:tcPr>
          <w:p>
            <w:pPr>
              <w:ind w:left="400"/>
              <w:spacing w:after="0"/>
              <w:rPr>
                <w:sz w:val="20"/>
                <w:szCs w:val="20"/>
                <w:color w:val="auto"/>
              </w:rPr>
            </w:pPr>
            <w:r>
              <w:rPr>
                <w:rFonts w:ascii="Arial" w:cs="Arial" w:eastAsia="Arial" w:hAnsi="Arial"/>
                <w:sz w:val="17"/>
                <w:szCs w:val="17"/>
                <w:b w:val="1"/>
                <w:bCs w:val="1"/>
                <w:color w:val="auto"/>
              </w:rPr>
              <w:t>Payments Due by Period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
        </w:trPr>
        <w:tc>
          <w:tcPr>
            <w:tcW w:w="5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00"/>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5"/>
              <w:spacing w:after="0"/>
              <w:rPr>
                <w:sz w:val="20"/>
                <w:szCs w:val="20"/>
                <w:color w:val="auto"/>
              </w:rPr>
            </w:pPr>
            <w:r>
              <w:rPr>
                <w:rFonts w:ascii="Arial" w:cs="Arial" w:eastAsia="Arial" w:hAnsi="Arial"/>
                <w:sz w:val="16"/>
                <w:szCs w:val="16"/>
                <w:b w:val="1"/>
                <w:bCs w:val="1"/>
                <w:color w:val="auto"/>
              </w:rPr>
              <w:t>More than 5</w:t>
            </w:r>
          </w:p>
        </w:tc>
      </w:tr>
      <w:tr>
        <w:trPr>
          <w:trHeight w:val="203"/>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16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1 Year or Less</w:t>
            </w: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1 - 3 Years</w:t>
            </w: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3 - 5 Years</w:t>
            </w:r>
          </w:p>
        </w:tc>
        <w:tc>
          <w:tcPr>
            <w:tcW w:w="220" w:type="dxa"/>
            <w:vAlign w:val="bottom"/>
          </w:tcPr>
          <w:p>
            <w:pPr>
              <w:spacing w:after="0"/>
              <w:rPr>
                <w:sz w:val="17"/>
                <w:szCs w:val="17"/>
                <w:color w:val="auto"/>
              </w:rPr>
            </w:pPr>
          </w:p>
        </w:tc>
        <w:tc>
          <w:tcPr>
            <w:tcW w:w="800" w:type="dxa"/>
            <w:vAlign w:val="bottom"/>
          </w:tcPr>
          <w:p>
            <w:pPr>
              <w:jc w:val="right"/>
              <w:ind w:right="235"/>
              <w:spacing w:after="0"/>
              <w:rPr>
                <w:sz w:val="20"/>
                <w:szCs w:val="20"/>
                <w:color w:val="auto"/>
              </w:rPr>
            </w:pPr>
            <w:r>
              <w:rPr>
                <w:rFonts w:ascii="Arial" w:cs="Arial" w:eastAsia="Arial" w:hAnsi="Arial"/>
                <w:sz w:val="16"/>
                <w:szCs w:val="16"/>
                <w:b w:val="1"/>
                <w:bCs w:val="1"/>
                <w:color w:val="auto"/>
              </w:rPr>
              <w:t>Years</w:t>
            </w:r>
          </w:p>
        </w:tc>
      </w:tr>
      <w:tr>
        <w:trPr>
          <w:trHeight w:val="32"/>
        </w:trPr>
        <w:tc>
          <w:tcPr>
            <w:tcW w:w="5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3"/>
        </w:trPr>
        <w:tc>
          <w:tcPr>
            <w:tcW w:w="5840" w:type="dxa"/>
            <w:vAlign w:val="bottom"/>
            <w:shd w:val="clear" w:color="auto" w:fill="CCEEFF"/>
          </w:tcPr>
          <w:p>
            <w:pPr>
              <w:ind w:left="40"/>
              <w:spacing w:after="0" w:line="253" w:lineRule="exact"/>
              <w:rPr>
                <w:sz w:val="20"/>
                <w:szCs w:val="20"/>
                <w:color w:val="auto"/>
              </w:rPr>
            </w:pPr>
            <w:r>
              <w:rPr>
                <w:rFonts w:ascii="Arial" w:cs="Arial" w:eastAsia="Arial" w:hAnsi="Arial"/>
                <w:sz w:val="17"/>
                <w:szCs w:val="17"/>
                <w:color w:val="auto"/>
              </w:rPr>
              <w:t xml:space="preserve">Total long-term debt obligations </w:t>
            </w:r>
            <w:r>
              <w:rPr>
                <w:rFonts w:ascii="Arial" w:cs="Arial" w:eastAsia="Arial" w:hAnsi="Arial"/>
                <w:sz w:val="24"/>
                <w:szCs w:val="24"/>
                <w:color w:val="auto"/>
                <w:vertAlign w:val="superscript"/>
              </w:rPr>
              <w:t>(1)</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1,174.2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322.8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486.6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353.1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11.7</w:t>
            </w:r>
          </w:p>
        </w:tc>
      </w:tr>
      <w:tr>
        <w:trPr>
          <w:trHeight w:val="260"/>
        </w:trPr>
        <w:tc>
          <w:tcPr>
            <w:tcW w:w="5840" w:type="dxa"/>
            <w:vAlign w:val="bottom"/>
          </w:tcPr>
          <w:p>
            <w:pPr>
              <w:ind w:left="40"/>
              <w:spacing w:after="0" w:line="260" w:lineRule="exact"/>
              <w:rPr>
                <w:sz w:val="20"/>
                <w:szCs w:val="20"/>
                <w:color w:val="auto"/>
              </w:rPr>
            </w:pPr>
            <w:r>
              <w:rPr>
                <w:rFonts w:ascii="Arial" w:cs="Arial" w:eastAsia="Arial" w:hAnsi="Arial"/>
                <w:sz w:val="17"/>
                <w:szCs w:val="17"/>
                <w:color w:val="auto"/>
              </w:rPr>
              <w:t xml:space="preserve">Estimated interest payments on existing debt obligations </w:t>
            </w:r>
            <w:r>
              <w:rPr>
                <w:rFonts w:ascii="Arial" w:cs="Arial" w:eastAsia="Arial" w:hAnsi="Arial"/>
                <w:sz w:val="24"/>
                <w:szCs w:val="24"/>
                <w:color w:val="auto"/>
                <w:vertAlign w:val="superscript"/>
              </w:rPr>
              <w:t>(2)</w:t>
            </w:r>
          </w:p>
        </w:tc>
        <w:tc>
          <w:tcPr>
            <w:tcW w:w="240" w:type="dxa"/>
            <w:vAlign w:val="bottom"/>
          </w:tcPr>
          <w:p>
            <w:pPr>
              <w:spacing w:after="0"/>
              <w:rPr>
                <w:sz w:val="22"/>
                <w:szCs w:val="22"/>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32.4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0.3</w:t>
            </w:r>
          </w:p>
        </w:tc>
      </w:tr>
      <w:tr>
        <w:trPr>
          <w:trHeight w:val="24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w:t>
            </w:r>
          </w:p>
        </w:tc>
      </w:tr>
      <w:tr>
        <w:trPr>
          <w:trHeight w:val="260"/>
        </w:trPr>
        <w:tc>
          <w:tcPr>
            <w:tcW w:w="5840" w:type="dxa"/>
            <w:vAlign w:val="bottom"/>
          </w:tcPr>
          <w:p>
            <w:pPr>
              <w:ind w:left="40"/>
              <w:spacing w:after="0" w:line="260"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4"/>
                <w:szCs w:val="24"/>
                <w:color w:val="auto"/>
                <w:vertAlign w:val="superscript"/>
              </w:rPr>
              <w:t>(3)</w:t>
            </w:r>
          </w:p>
        </w:tc>
        <w:tc>
          <w:tcPr>
            <w:tcW w:w="240" w:type="dxa"/>
            <w:vAlign w:val="bottom"/>
          </w:tcPr>
          <w:p>
            <w:pPr>
              <w:spacing w:after="0"/>
              <w:rPr>
                <w:sz w:val="22"/>
                <w:szCs w:val="22"/>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47"/>
        </w:trPr>
        <w:tc>
          <w:tcPr>
            <w:tcW w:w="58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contractual obligations</w:t>
            </w: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1,471.4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439.0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406.1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29.1</w:t>
            </w: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500" w:hanging="183"/>
        <w:spacing w:after="0"/>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Contractual obligations related to finance leases are included as part of long-term debt.</w:t>
      </w:r>
    </w:p>
    <w:p>
      <w:pPr>
        <w:spacing w:after="0" w:line="1" w:lineRule="exact"/>
        <w:rPr>
          <w:rFonts w:ascii="Arial" w:cs="Arial" w:eastAsia="Arial" w:hAnsi="Arial"/>
          <w:sz w:val="22"/>
          <w:szCs w:val="22"/>
          <w:color w:val="auto"/>
          <w:vertAlign w:val="superscript"/>
        </w:rPr>
      </w:pPr>
    </w:p>
    <w:p>
      <w:pPr>
        <w:ind w:left="500" w:hanging="183"/>
        <w:spacing w:after="0" w:line="205" w:lineRule="auto"/>
        <w:tabs>
          <w:tab w:leader="none" w:pos="50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Estimated interest payments are based on current contractual requirements and do not reflect seasonal changes in the balance of our domestic credit facility.</w:t>
      </w:r>
    </w:p>
    <w:p>
      <w:pPr>
        <w:spacing w:after="0" w:line="2" w:lineRule="exact"/>
        <w:rPr>
          <w:rFonts w:ascii="Arial" w:cs="Arial" w:eastAsia="Arial" w:hAnsi="Arial"/>
          <w:sz w:val="21"/>
          <w:szCs w:val="21"/>
          <w:color w:val="auto"/>
          <w:vertAlign w:val="superscript"/>
        </w:rPr>
      </w:pPr>
    </w:p>
    <w:p>
      <w:pPr>
        <w:ind w:left="500" w:hanging="183"/>
        <w:spacing w:after="0" w:line="196" w:lineRule="auto"/>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Purchase obligations consist of inventory that is part of our third party logistics programs.</w:t>
      </w:r>
    </w:p>
    <w:p>
      <w:pPr>
        <w:spacing w:after="0" w:line="196"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The table above does not include pension, post-retirement benefit and warranty liabilities because it is not certain when these liabilities will be funded. For additional information regarding our contractual obligations, see Note 5 of the Notes to the Consolidated Financial Statements. See Note 11 of the Notes to the Consolidated Financial Statements for more information on our pension and post-retirement benefits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40" w:lineRule="exact"/>
        <w:rPr>
          <w:sz w:val="20"/>
          <w:szCs w:val="20"/>
          <w:color w:val="auto"/>
        </w:rPr>
      </w:pPr>
    </w:p>
    <w:p>
      <w:pPr>
        <w:jc w:val="both"/>
        <w:ind w:firstLine="234"/>
        <w:spacing w:after="0" w:line="323" w:lineRule="auto"/>
        <w:rPr>
          <w:sz w:val="20"/>
          <w:szCs w:val="20"/>
          <w:color w:val="auto"/>
        </w:rPr>
      </w:pPr>
      <w:r>
        <w:rPr>
          <w:rFonts w:ascii="Arial" w:cs="Arial" w:eastAsia="Arial" w:hAnsi="Arial"/>
          <w:sz w:val="15"/>
          <w:szCs w:val="15"/>
          <w:color w:val="auto"/>
        </w:rPr>
        <w:t>Fair value is the price that would be received to sell an asset or the price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a three-level hierarchy for fair value measurements.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three-level fair value hierarchy for disclosure of fair value measurements is defined as follows:</w:t>
      </w:r>
    </w:p>
    <w:p>
      <w:pPr>
        <w:spacing w:after="0" w:line="221"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xml:space="preserve">Quoted prices for </w:t>
      </w:r>
      <w:r>
        <w:rPr>
          <w:rFonts w:ascii="Arial" w:cs="Arial" w:eastAsia="Arial" w:hAnsi="Arial"/>
          <w:sz w:val="15"/>
          <w:szCs w:val="15"/>
          <w:i w:val="1"/>
          <w:iCs w:val="1"/>
          <w:color w:val="auto"/>
        </w:rPr>
        <w:t>identical</w:t>
      </w:r>
      <w:r>
        <w:rPr>
          <w:rFonts w:ascii="Arial" w:cs="Arial" w:eastAsia="Arial" w:hAnsi="Arial"/>
          <w:sz w:val="15"/>
          <w:szCs w:val="15"/>
          <w:color w:val="auto"/>
        </w:rPr>
        <w:t xml:space="preserve"> instruments in active markets at the measurement date.</w:t>
      </w:r>
    </w:p>
    <w:p>
      <w:pPr>
        <w:spacing w:after="0" w:line="221" w:lineRule="exact"/>
        <w:rPr>
          <w:sz w:val="20"/>
          <w:szCs w:val="20"/>
          <w:color w:val="auto"/>
        </w:rPr>
      </w:pPr>
    </w:p>
    <w:p>
      <w:pPr>
        <w:jc w:val="both"/>
        <w:ind w:left="1260" w:hanging="1028"/>
        <w:spacing w:after="0" w:line="271" w:lineRule="auto"/>
        <w:tabs>
          <w:tab w:leader="none" w:pos="1240" w:val="left"/>
        </w:tabs>
        <w:rPr>
          <w:sz w:val="20"/>
          <w:szCs w:val="20"/>
          <w:color w:val="auto"/>
        </w:rPr>
      </w:pPr>
      <w:r>
        <w:rPr>
          <w:rFonts w:ascii="Arial" w:cs="Arial" w:eastAsia="Arial" w:hAnsi="Arial"/>
          <w:sz w:val="17"/>
          <w:szCs w:val="17"/>
          <w:i w:val="1"/>
          <w:iCs w:val="1"/>
          <w:color w:val="auto"/>
        </w:rPr>
        <w:t>Level 2 -</w:t>
      </w:r>
      <w:r>
        <w:rPr>
          <w:sz w:val="20"/>
          <w:szCs w:val="20"/>
          <w:color w:val="auto"/>
        </w:rPr>
        <w:tab/>
      </w:r>
      <w:r>
        <w:rPr>
          <w:rFonts w:ascii="Arial" w:cs="Arial" w:eastAsia="Arial" w:hAnsi="Arial"/>
          <w:sz w:val="17"/>
          <w:szCs w:val="17"/>
          <w:color w:val="auto"/>
        </w:rPr>
        <w:t xml:space="preserve">Quoted prices for </w:t>
      </w:r>
      <w:r>
        <w:rPr>
          <w:rFonts w:ascii="Arial" w:cs="Arial" w:eastAsia="Arial" w:hAnsi="Arial"/>
          <w:sz w:val="17"/>
          <w:szCs w:val="17"/>
          <w:i w:val="1"/>
          <w:iCs w:val="1"/>
          <w:color w:val="auto"/>
        </w:rPr>
        <w:t>similar</w:t>
      </w:r>
      <w:r>
        <w:rPr>
          <w:rFonts w:ascii="Arial" w:cs="Arial" w:eastAsia="Arial" w:hAnsi="Arial"/>
          <w:sz w:val="17"/>
          <w:szCs w:val="17"/>
          <w:color w:val="auto"/>
        </w:rPr>
        <w:t xml:space="preserve"> instruments in active markets; quoted prices for identical or similar instruments in markets that are not active; and model-derived valuations in which all significant inputs and significant value drivers are </w:t>
      </w:r>
      <w:r>
        <w:rPr>
          <w:rFonts w:ascii="Arial" w:cs="Arial" w:eastAsia="Arial" w:hAnsi="Arial"/>
          <w:sz w:val="17"/>
          <w:szCs w:val="17"/>
          <w:i w:val="1"/>
          <w:iCs w:val="1"/>
          <w:color w:val="auto"/>
        </w:rPr>
        <w:t>observable</w:t>
      </w:r>
      <w:r>
        <w:rPr>
          <w:rFonts w:ascii="Arial" w:cs="Arial" w:eastAsia="Arial" w:hAnsi="Arial"/>
          <w:sz w:val="17"/>
          <w:szCs w:val="17"/>
          <w:color w:val="auto"/>
        </w:rPr>
        <w:t xml:space="preserve"> in active markets at the measurement date and for the anticipated term of the instrument.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752" w:right="239" w:bottom="1440" w:gutter="0" w:footer="0" w:header="0"/>
        </w:sectPr>
      </w:pPr>
    </w:p>
    <w:bookmarkStart w:id="29" w:name="page30"/>
    <w:bookmarkEnd w:id="29"/>
    <w:p>
      <w:pPr>
        <w:jc w:val="both"/>
        <w:ind w:left="1260" w:hanging="1028"/>
        <w:spacing w:after="0" w:line="271" w:lineRule="auto"/>
        <w:tabs>
          <w:tab w:leader="none" w:pos="1240" w:val="left"/>
        </w:tabs>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xml:space="preserve">Valuations derived from valuation techniques in which one or more significant inputs or significant value drivers are </w:t>
      </w:r>
      <w:r>
        <w:rPr>
          <w:rFonts w:ascii="Arial" w:cs="Arial" w:eastAsia="Arial" w:hAnsi="Arial"/>
          <w:sz w:val="17"/>
          <w:szCs w:val="17"/>
          <w:i w:val="1"/>
          <w:iCs w:val="1"/>
          <w:color w:val="auto"/>
        </w:rPr>
        <w:t>unobservable</w:t>
      </w:r>
      <w:r>
        <w:rPr>
          <w:rFonts w:ascii="Arial" w:cs="Arial" w:eastAsia="Arial" w:hAnsi="Arial"/>
          <w:sz w:val="17"/>
          <w:szCs w:val="17"/>
          <w:color w:val="auto"/>
        </w:rPr>
        <w:t xml:space="preserve"> inputs that reflect the reporting entity’s own assumptions about the assumptions market participants would use in pricing the asset or liability developed based on the best information available in the circumstances.</w:t>
      </w:r>
    </w:p>
    <w:p>
      <w:pPr>
        <w:spacing w:after="0" w:line="171" w:lineRule="exact"/>
        <w:rPr>
          <w:sz w:val="20"/>
          <w:szCs w:val="20"/>
          <w:color w:val="auto"/>
        </w:rPr>
      </w:pPr>
    </w:p>
    <w:p>
      <w:pPr>
        <w:jc w:val="both"/>
        <w:ind w:firstLine="234"/>
        <w:spacing w:after="0" w:line="260" w:lineRule="auto"/>
        <w:rPr>
          <w:sz w:val="20"/>
          <w:szCs w:val="20"/>
          <w:color w:val="auto"/>
        </w:rPr>
      </w:pPr>
      <w:r>
        <w:rPr>
          <w:rFonts w:ascii="Arial" w:cs="Arial" w:eastAsia="Arial" w:hAnsi="Arial"/>
          <w:sz w:val="17"/>
          <w:szCs w:val="17"/>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2019 and 2018, the measurement dates. See Note 17 of the Notes to the Consolidated Financial Statements for more information on the assets and liabilities measured at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Commodity Price Risk</w:t>
      </w:r>
    </w:p>
    <w:p>
      <w:pPr>
        <w:spacing w:after="0" w:line="22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We enter into commodity futures contracts to stabilize prices expected to be paid for raw materials and parts containing high copper and aluminum content. These contracts are for quantities equal to or less than quantities expected to be consumed in future production. Fluctuations in metal commodity prices impact the value of the futures contracts that we hold. When metal commodity prices rise, the fair value of our futures contracts increases. Conversely, when commodity prices fall, the fair value of our futures contracts decreases. Information about our exposure to metal commodity price market risks and a sensitivity analysis related to our metal commodity hedges is presented below (in millions):</w:t>
      </w:r>
    </w:p>
    <w:p>
      <w:pPr>
        <w:spacing w:after="0" w:line="113" w:lineRule="exact"/>
        <w:rPr>
          <w:sz w:val="20"/>
          <w:szCs w:val="20"/>
          <w:color w:val="auto"/>
        </w:rPr>
      </w:pPr>
    </w:p>
    <w:tbl>
      <w:tblPr>
        <w:tblLayout w:type="fixed"/>
        <w:tblInd w:w="1780" w:type="dxa"/>
        <w:tblCellMar>
          <w:top w:w="0" w:type="dxa"/>
          <w:left w:w="0" w:type="dxa"/>
          <w:bottom w:w="0" w:type="dxa"/>
          <w:right w:w="0" w:type="dxa"/>
        </w:tblCellMar>
      </w:tblPr>
      <w:tr>
        <w:trPr>
          <w:trHeight w:val="260"/>
        </w:trPr>
        <w:tc>
          <w:tcPr>
            <w:tcW w:w="5340" w:type="dxa"/>
            <w:vAlign w:val="bottom"/>
            <w:shd w:val="clear" w:color="auto" w:fill="BFE4FF"/>
          </w:tcPr>
          <w:p>
            <w:pPr>
              <w:ind w:left="20"/>
              <w:spacing w:after="0"/>
              <w:rPr>
                <w:sz w:val="20"/>
                <w:szCs w:val="20"/>
                <w:color w:val="auto"/>
              </w:rPr>
            </w:pPr>
            <w:r>
              <w:rPr>
                <w:rFonts w:ascii="Arial" w:cs="Arial" w:eastAsia="Arial" w:hAnsi="Arial"/>
                <w:sz w:val="17"/>
                <w:szCs w:val="17"/>
                <w:color w:val="auto"/>
              </w:rPr>
              <w:t>Notional amount (pounds of aluminum and copper)</w:t>
            </w:r>
          </w:p>
        </w:tc>
        <w:tc>
          <w:tcPr>
            <w:tcW w:w="1820" w:type="dxa"/>
            <w:vAlign w:val="bottom"/>
            <w:shd w:val="clear" w:color="auto" w:fill="BFE4FF"/>
          </w:tcPr>
          <w:p>
            <w:pPr>
              <w:spacing w:after="0"/>
              <w:rPr>
                <w:sz w:val="22"/>
                <w:szCs w:val="22"/>
                <w:color w:val="auto"/>
              </w:rPr>
            </w:pPr>
          </w:p>
        </w:tc>
        <w:tc>
          <w:tcPr>
            <w:tcW w:w="720" w:type="dxa"/>
            <w:vAlign w:val="bottom"/>
            <w:shd w:val="clear" w:color="auto" w:fill="BFE4FF"/>
          </w:tcPr>
          <w:p>
            <w:pPr>
              <w:jc w:val="right"/>
              <w:ind w:right="13"/>
              <w:spacing w:after="0"/>
              <w:rPr>
                <w:sz w:val="20"/>
                <w:szCs w:val="20"/>
                <w:color w:val="auto"/>
              </w:rPr>
            </w:pPr>
            <w:r>
              <w:rPr>
                <w:rFonts w:ascii="Arial" w:cs="Arial" w:eastAsia="Arial" w:hAnsi="Arial"/>
                <w:sz w:val="17"/>
                <w:szCs w:val="17"/>
                <w:color w:val="auto"/>
              </w:rPr>
              <w:t>61.8</w:t>
            </w:r>
          </w:p>
        </w:tc>
      </w:tr>
      <w:tr>
        <w:trPr>
          <w:trHeight w:val="234"/>
        </w:trPr>
        <w:tc>
          <w:tcPr>
            <w:tcW w:w="5340" w:type="dxa"/>
            <w:vAlign w:val="bottom"/>
          </w:tcPr>
          <w:p>
            <w:pPr>
              <w:ind w:left="20"/>
              <w:spacing w:after="0"/>
              <w:rPr>
                <w:sz w:val="20"/>
                <w:szCs w:val="20"/>
                <w:color w:val="auto"/>
              </w:rPr>
            </w:pPr>
            <w:r>
              <w:rPr>
                <w:rFonts w:ascii="Arial" w:cs="Arial" w:eastAsia="Arial" w:hAnsi="Arial"/>
                <w:sz w:val="17"/>
                <w:szCs w:val="17"/>
                <w:color w:val="auto"/>
              </w:rPr>
              <w:t>Carrying amount and fair value of net liability</w:t>
            </w:r>
          </w:p>
        </w:tc>
        <w:tc>
          <w:tcPr>
            <w:tcW w:w="182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6"/>
        </w:trPr>
        <w:tc>
          <w:tcPr>
            <w:tcW w:w="5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4"/>
        </w:trPr>
        <w:tc>
          <w:tcPr>
            <w:tcW w:w="5340" w:type="dxa"/>
            <w:vAlign w:val="bottom"/>
            <w:shd w:val="clear" w:color="auto" w:fill="BFE4FF"/>
          </w:tcPr>
          <w:p>
            <w:pPr>
              <w:ind w:left="20"/>
              <w:spacing w:after="0"/>
              <w:rPr>
                <w:sz w:val="20"/>
                <w:szCs w:val="20"/>
                <w:color w:val="auto"/>
              </w:rPr>
            </w:pPr>
            <w:r>
              <w:rPr>
                <w:rFonts w:ascii="Arial" w:cs="Arial" w:eastAsia="Arial" w:hAnsi="Arial"/>
                <w:sz w:val="17"/>
                <w:szCs w:val="17"/>
                <w:color w:val="auto"/>
              </w:rPr>
              <w:t>Change in fair value from 10% change in forward prices</w:t>
            </w:r>
          </w:p>
        </w:tc>
        <w:tc>
          <w:tcPr>
            <w:tcW w:w="1820" w:type="dxa"/>
            <w:vAlign w:val="bottom"/>
            <w:shd w:val="clear" w:color="auto" w:fill="BFE4FF"/>
          </w:tcPr>
          <w:p>
            <w:pPr>
              <w:jc w:val="right"/>
              <w:ind w:right="233"/>
              <w:spacing w:after="0"/>
              <w:rPr>
                <w:sz w:val="20"/>
                <w:szCs w:val="20"/>
                <w:color w:val="auto"/>
              </w:rPr>
            </w:pPr>
            <w:r>
              <w:rPr>
                <w:rFonts w:ascii="Arial" w:cs="Arial" w:eastAsia="Arial" w:hAnsi="Arial"/>
                <w:sz w:val="17"/>
                <w:szCs w:val="17"/>
                <w:color w:val="auto"/>
              </w:rPr>
              <w:t>$</w:t>
            </w:r>
          </w:p>
        </w:tc>
        <w:tc>
          <w:tcPr>
            <w:tcW w:w="720" w:type="dxa"/>
            <w:vAlign w:val="bottom"/>
            <w:shd w:val="clear" w:color="auto" w:fill="BFE4FF"/>
          </w:tcPr>
          <w:p>
            <w:pPr>
              <w:jc w:val="right"/>
              <w:ind w:right="13"/>
              <w:spacing w:after="0"/>
              <w:rPr>
                <w:sz w:val="20"/>
                <w:szCs w:val="20"/>
                <w:color w:val="auto"/>
              </w:rPr>
            </w:pPr>
            <w:r>
              <w:rPr>
                <w:rFonts w:ascii="Arial" w:cs="Arial" w:eastAsia="Arial" w:hAnsi="Arial"/>
                <w:sz w:val="17"/>
                <w:szCs w:val="17"/>
                <w:color w:val="auto"/>
              </w:rPr>
              <w:t>9.1</w:t>
            </w:r>
          </w:p>
        </w:tc>
      </w:tr>
      <w:tr>
        <w:trPr>
          <w:trHeight w:val="26"/>
        </w:trPr>
        <w:tc>
          <w:tcPr>
            <w:tcW w:w="5340" w:type="dxa"/>
            <w:vAlign w:val="bottom"/>
            <w:shd w:val="clear" w:color="auto" w:fill="BFE4FF"/>
          </w:tcPr>
          <w:p>
            <w:pPr>
              <w:spacing w:after="0"/>
              <w:rPr>
                <w:sz w:val="2"/>
                <w:szCs w:val="2"/>
                <w:color w:val="auto"/>
              </w:rPr>
            </w:pPr>
          </w:p>
        </w:tc>
        <w:tc>
          <w:tcPr>
            <w:tcW w:w="1820" w:type="dxa"/>
            <w:vAlign w:val="bottom"/>
            <w:shd w:val="clear" w:color="auto" w:fill="BFE4FF"/>
          </w:tcPr>
          <w:p>
            <w:pPr>
              <w:spacing w:after="0"/>
              <w:rPr>
                <w:sz w:val="2"/>
                <w:szCs w:val="2"/>
                <w:color w:val="auto"/>
              </w:rPr>
            </w:pPr>
          </w:p>
        </w:tc>
        <w:tc>
          <w:tcPr>
            <w:tcW w:w="720" w:type="dxa"/>
            <w:vAlign w:val="bottom"/>
            <w:shd w:val="clear" w:color="auto" w:fill="BFE4FF"/>
          </w:tcPr>
          <w:p>
            <w:pPr>
              <w:spacing w:after="0"/>
              <w:rPr>
                <w:sz w:val="2"/>
                <w:szCs w:val="2"/>
                <w:color w:val="auto"/>
              </w:rPr>
            </w:pPr>
          </w:p>
        </w:tc>
      </w:tr>
    </w:tbl>
    <w:p>
      <w:pPr>
        <w:spacing w:after="0" w:line="19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Refer to Note 10 of the Notes to the Consolidated Financial Statements for additional information regarding our commodity futures contracts.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21" w:lineRule="exact"/>
        <w:rPr>
          <w:sz w:val="20"/>
          <w:szCs w:val="20"/>
          <w:color w:val="auto"/>
        </w:rPr>
      </w:pPr>
    </w:p>
    <w:p>
      <w:pPr>
        <w:jc w:val="both"/>
        <w:ind w:firstLine="234"/>
        <w:spacing w:after="0" w:line="295" w:lineRule="auto"/>
        <w:rPr>
          <w:sz w:val="20"/>
          <w:szCs w:val="20"/>
          <w:color w:val="auto"/>
        </w:rPr>
      </w:pPr>
      <w:r>
        <w:rPr>
          <w:rFonts w:ascii="Arial" w:cs="Arial" w:eastAsia="Arial" w:hAnsi="Arial"/>
          <w:sz w:val="16"/>
          <w:szCs w:val="16"/>
          <w:color w:val="auto"/>
        </w:rPr>
        <w:t>Our results of operations can be affected by changes in interest rates due to variable rates of interest on our debt facilities, cash, cash equivalents and short-term investments. A 10% adverse movement in the levels of interest rates across the entire yield curve would have resulted in an increase to pre-tax interest expense of approximately $3.9 million, $2.7 million and $1.8 million for the years ended December 31, 2019, 2018 and 2017, respectively.</w:t>
      </w:r>
    </w:p>
    <w:p>
      <w:pPr>
        <w:spacing w:after="0" w:line="155"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From time to time, we may use an interest rate swap hedging strategy to eliminate the variability of cash flows in a portion of our interest payments. This strategy, when employed, allows us to fix a portion of our interest payments while also taking advantage of historically low interest rates. As of December 31, 2019 and 2018, no interest rate swaps were in effect.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Rate Risk</w:t>
      </w:r>
    </w:p>
    <w:p>
      <w:pPr>
        <w:spacing w:after="0" w:line="22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Our results of operations are affected by changes in foreign currency exchange rates. Net sales and expenses in foreign currencies are translated into U.S. dollars for financial reporting purposes based on the average exchange rate for the period. During 2019, 2018 and 2017, net sales from outside the U.S. represented 13.2%, 18.5% and 18.5% , respectively, of our total net sales. For the years ended December 31, 2019 and 2018, foreign currency transaction gains and losses did not have a material impact to our results of operations. A 10% change in foreign exchange rates would have had an estimated $4.2 million, $2.1 million and $5.2 million impact to net income for the years ended December 31, 2019, 2018 and 2017, respectively.</w:t>
      </w:r>
    </w:p>
    <w:p>
      <w:pPr>
        <w:spacing w:after="0" w:line="179"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We seek to mitigate the impact of currency exchange rate movements on certain short-term transactions by periodically entering into foreign currency forward contracts. By entering into forward contracts, we lock in exchange rates that would otherwise cause losses should the U.S. dollar appreciate and gains should the U.S. dollar depreciate. Refer to Note 10 of the Notes to the Consolidated Financial Statements for additional information regarding our foreign currency forward contracts.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544"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27" w:lineRule="exact"/>
        <w:rPr>
          <w:sz w:val="20"/>
          <w:szCs w:val="20"/>
          <w:color w:val="auto"/>
        </w:rPr>
      </w:pPr>
    </w:p>
    <w:p>
      <w:pPr>
        <w:jc w:val="both"/>
        <w:ind w:firstLine="234"/>
        <w:spacing w:after="0" w:line="287" w:lineRule="auto"/>
        <w:rPr>
          <w:sz w:val="20"/>
          <w:szCs w:val="20"/>
          <w:color w:val="auto"/>
        </w:rPr>
      </w:pPr>
      <w:r>
        <w:rPr>
          <w:rFonts w:ascii="Arial" w:cs="Arial" w:eastAsia="Arial" w:hAnsi="Arial"/>
          <w:sz w:val="16"/>
          <w:szCs w:val="16"/>
          <w:color w:val="auto"/>
        </w:rPr>
        <w:t>A critical accounting estimate is one that requires difficult, subjective or complex estimates and assessments and is fundamental to our results of operations and financial condition. The following describes our critical accounting estimate related to product warranties and product-related contingencies and how we develop our judgments, assumptions and estimates about future events and how such policies can impact our financial statements. This discussion and analysis should be read in conjunction with our Consolidated Financial Statements and related Notes in “Item 8. Financial Statements and Supplementary Data.”</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Warranties and Product-Related Contingencies</w:t>
      </w:r>
    </w:p>
    <w:p>
      <w:pPr>
        <w:spacing w:after="0" w:line="22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The estimate of our liability for future warranty costs requires us to make assumptions about the amount, timing and nature of future product-related costs. Some of the warranties we issue extend 10 years or more in duration and a relatively small adjustment to an assumption may have a significant impact on our overall liability.</w:t>
      </w:r>
    </w:p>
    <w:p>
      <w:pPr>
        <w:spacing w:after="0" w:line="17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From time to time, we may also incur costs to repair or replace installed products experiencing quality issues in order to satisfy our customers and protect our brand. These product-related costs may not be covered under our warranties and are not covered by insurance.</w:t>
      </w:r>
    </w:p>
    <w:p>
      <w:pPr>
        <w:spacing w:after="0" w:line="159"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We periodically review the assumptions used to determine the liabilities for product warranties and product-related contingencies and we adjust our assumptions based upon factors such as actual failure rates and cost experience. Numerous factors could affect actual failure rates and cost experience, including the amount and timing of new product introductions, changes in manufacturing techniques or locations, components or suppliers used. Should actual costs differ from our estimates, we may be required to adjust the liabilities and to record expense in future periods. See Note 5 in the Notes to the Consolidated Financial Statements for more information on our product warranties and product-related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7"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See Note 2 in the Notes to the Consolidated Financial Statements for disclosure of recent accounting pronouncements and the potential impact on our financial statements and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information required by this item is included under the caption “Market Risk” in Item 7 above.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538"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27" w:lineRule="exact"/>
        <w:rPr>
          <w:sz w:val="20"/>
          <w:szCs w:val="20"/>
          <w:color w:val="auto"/>
        </w:rPr>
      </w:pPr>
    </w:p>
    <w:p>
      <w:pPr>
        <w:jc w:val="both"/>
        <w:ind w:firstLine="296"/>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by the Securities and Exchange Commission, internal control over financial reporting is a process designed to provide reasonable assurance regarding the reliability of financial reporting and the preparation of the Consolidated Financial Statements in accordance with U.S. generally accepted accounting principles.</w:t>
      </w:r>
    </w:p>
    <w:p>
      <w:pPr>
        <w:spacing w:after="0" w:line="171" w:lineRule="exact"/>
        <w:rPr>
          <w:sz w:val="20"/>
          <w:szCs w:val="20"/>
          <w:color w:val="auto"/>
        </w:rPr>
      </w:pPr>
    </w:p>
    <w:p>
      <w:pPr>
        <w:jc w:val="both"/>
        <w:ind w:firstLine="312"/>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jc w:val="both"/>
        <w:ind w:firstLine="312"/>
        <w:spacing w:after="0" w:line="266" w:lineRule="auto"/>
        <w:rPr>
          <w:sz w:val="20"/>
          <w:szCs w:val="20"/>
          <w:color w:val="auto"/>
        </w:rPr>
      </w:pPr>
      <w:r>
        <w:rPr>
          <w:rFonts w:ascii="Arial" w:cs="Arial" w:eastAsia="Arial" w:hAnsi="Arial"/>
          <w:sz w:val="17"/>
          <w:szCs w:val="17"/>
          <w:color w:val="auto"/>
        </w:rPr>
        <w:t xml:space="preserve">Management, including our Chief Executive Officer and Chief Financial Officer, has undertaken an assessment of the effectiveness of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by the Committee of Sponsoring Organizations of the Treadway Commission. Management’s assessment included an evaluation of the design of the Company’s internal control over financial reporting and testing of the operational effectiveness of those controls.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Based on this assessment, management concluded that as of December 31, 2019, the Company’s internal control over financial reporting was effective.</w:t>
      </w:r>
    </w:p>
    <w:p>
      <w:pPr>
        <w:spacing w:after="0" w:line="233" w:lineRule="exact"/>
        <w:rPr>
          <w:sz w:val="20"/>
          <w:szCs w:val="20"/>
          <w:color w:val="auto"/>
        </w:rPr>
      </w:pPr>
    </w:p>
    <w:p>
      <w:pPr>
        <w:jc w:val="both"/>
        <w:ind w:firstLine="312"/>
        <w:spacing w:after="0" w:line="319" w:lineRule="auto"/>
        <w:rPr>
          <w:sz w:val="20"/>
          <w:szCs w:val="20"/>
          <w:color w:val="auto"/>
        </w:rPr>
      </w:pPr>
      <w:r>
        <w:rPr>
          <w:rFonts w:ascii="Arial" w:cs="Arial" w:eastAsia="Arial" w:hAnsi="Arial"/>
          <w:sz w:val="16"/>
          <w:szCs w:val="16"/>
          <w:color w:val="auto"/>
        </w:rPr>
        <w:t>KPMG LLP, the independent registered public accounting firm that audited the Company’s Consolidated Financial Statements, has issued an audit report including an opinion on the effectiveness of our internal control over financial reporting as of December 31, 2019, a copy of which is included herein.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538" w:right="239" w:bottom="1440" w:gutter="0" w:footer="0" w:header="0"/>
        </w:sectPr>
      </w:pPr>
    </w:p>
    <w:bookmarkStart w:id="32" w:name="page33"/>
    <w:bookmarkEnd w:id="32"/>
    <w:p>
      <w:pPr>
        <w:ind w:left="27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Lennox International Inc.: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Opinions on the Consolidated Financial Statements and Internal Control Over Financial Reporting</w:t>
      </w:r>
    </w:p>
    <w:p>
      <w:pPr>
        <w:spacing w:after="0" w:line="9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We have audited the accompanying consolidated balance sheets of Lennox International Inc. and subsidiaries (the Company) as of December 31, 2019 and 2018, the related consolidated statements of operations, comprehensive (loss) income, stockholders’ (deficit) equity, and cash flows for each of the years in the three-year period ended December 31, 2019, and the related notes and Schedule II - Valuation and Qualifying Accounts and Reserves (collectively, the consolidated financial statements). We also have audited the Company’s internal control over financial reporting as of December 31, 2019,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 Also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Principles</w:t>
      </w:r>
    </w:p>
    <w:p>
      <w:pPr>
        <w:spacing w:after="0" w:line="9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As discussed in Note 2 to the consolidated financial statements, the Company has changed its method of accounting for leases as of January 1, 2019 due to the adoption of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 amended. As discussed in Note 9 to the consolidated financial statements, the Company has changed its method of accounting for revenue from contracts with customers as of January 1, 2018 due to the adoption of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 amended.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9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746" w:right="239" w:bottom="1440" w:gutter="0" w:footer="0" w:header="0"/>
        </w:sectPr>
      </w:pPr>
    </w:p>
    <w:bookmarkStart w:id="33" w:name="page34"/>
    <w:bookmarkEnd w:id="33"/>
    <w:p>
      <w:pPr>
        <w:jc w:val="both"/>
        <w:spacing w:after="0" w:line="319" w:lineRule="auto"/>
        <w:rPr>
          <w:sz w:val="20"/>
          <w:szCs w:val="20"/>
          <w:color w:val="auto"/>
        </w:rPr>
      </w:pPr>
      <w:r>
        <w:rPr>
          <w:rFonts w:ascii="Arial" w:cs="Arial" w:eastAsia="Arial" w:hAnsi="Arial"/>
          <w:sz w:val="16"/>
          <w:szCs w:val="16"/>
          <w:color w:val="auto"/>
        </w:rPr>
        <w:t>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9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Evaluation of the product warranty liability</w:t>
      </w:r>
    </w:p>
    <w:p>
      <w:pPr>
        <w:spacing w:after="0" w:line="91" w:lineRule="exact"/>
        <w:rPr>
          <w:sz w:val="20"/>
          <w:szCs w:val="20"/>
          <w:color w:val="auto"/>
        </w:rPr>
      </w:pPr>
    </w:p>
    <w:p>
      <w:pPr>
        <w:jc w:val="both"/>
        <w:ind w:left="560"/>
        <w:spacing w:after="0" w:line="295" w:lineRule="auto"/>
        <w:rPr>
          <w:sz w:val="20"/>
          <w:szCs w:val="20"/>
          <w:color w:val="auto"/>
        </w:rPr>
      </w:pPr>
      <w:r>
        <w:rPr>
          <w:rFonts w:ascii="Arial" w:cs="Arial" w:eastAsia="Arial" w:hAnsi="Arial"/>
          <w:sz w:val="16"/>
          <w:szCs w:val="16"/>
          <w:color w:val="auto"/>
        </w:rPr>
        <w:t>As discussed in Notes 2 and 5 to the consolidated financial statements, the Company provides a product warranty for certain of its products with the warranty period generally ranging from one to 20 years. The product warranty liability is estimated by product category based on the estimated future costs to repair or replace the products under warranty. The Company’s product warranty liability was $113 million as of December 31, 2019.</w:t>
      </w:r>
    </w:p>
    <w:p>
      <w:pPr>
        <w:spacing w:after="0" w:line="116" w:lineRule="exact"/>
        <w:rPr>
          <w:sz w:val="20"/>
          <w:szCs w:val="20"/>
          <w:color w:val="auto"/>
        </w:rPr>
      </w:pPr>
    </w:p>
    <w:p>
      <w:pPr>
        <w:jc w:val="both"/>
        <w:ind w:left="560"/>
        <w:spacing w:after="0" w:line="319" w:lineRule="auto"/>
        <w:rPr>
          <w:sz w:val="20"/>
          <w:szCs w:val="20"/>
          <w:color w:val="auto"/>
        </w:rPr>
      </w:pPr>
      <w:r>
        <w:rPr>
          <w:rFonts w:ascii="Arial" w:cs="Arial" w:eastAsia="Arial" w:hAnsi="Arial"/>
          <w:sz w:val="16"/>
          <w:szCs w:val="16"/>
          <w:color w:val="auto"/>
        </w:rPr>
        <w:t>We identified the evaluation of the product warranty liability as a critical audit matter. Assessing the assumptions used to estimate the product warranty liability, specifically, the estimated failure rates by product by year, and estimated cost per failure, involved subjective and complex auditor judgment.</w:t>
      </w:r>
    </w:p>
    <w:p>
      <w:pPr>
        <w:spacing w:after="0" w:line="97" w:lineRule="exact"/>
        <w:rPr>
          <w:sz w:val="20"/>
          <w:szCs w:val="20"/>
          <w:color w:val="auto"/>
        </w:rPr>
      </w:pPr>
    </w:p>
    <w:p>
      <w:pPr>
        <w:jc w:val="both"/>
        <w:ind w:left="560"/>
        <w:spacing w:after="0" w:line="263"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estimate of the future failure rates by product category and controls to estimate the cost of failures by product category for products subject to warranty. We assessed the estimated future failure rates by product category and the estimated cost per failure by product category used in the estimation of the product warranty liability by comparing them to the Company’s underlying historical data. We tested a sample of the historical data used as the basis for these assumptions by comparing to the relevant underlying documentation.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2002.</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February 18, 2020</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54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LENNOX INTERNATIONAL INC. AND SUBSIDIARIES</w:t>
      </w:r>
    </w:p>
    <w:p>
      <w:pPr>
        <w:spacing w:after="0" w:line="169"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CONSOLIDATED BALANCE SHEETS</w:t>
      </w:r>
    </w:p>
    <w:p>
      <w:pPr>
        <w:spacing w:after="0" w:line="31"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(In millions, except shares and par values)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4"/>
          </w:tcPr>
          <w:p>
            <w:pPr>
              <w:jc w:val="right"/>
              <w:ind w:right="453"/>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2"/>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9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2"/>
        </w:trPr>
        <w:tc>
          <w:tcPr>
            <w:tcW w:w="9020" w:type="dxa"/>
            <w:vAlign w:val="bottom"/>
            <w:vMerge w:val="restart"/>
          </w:tcPr>
          <w:p>
            <w:pPr>
              <w:ind w:left="540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9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020" w:type="dxa"/>
            <w:vAlign w:val="bottom"/>
          </w:tcPr>
          <w:p>
            <w:pPr>
              <w:ind w:left="16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37.3</w:t>
            </w:r>
          </w:p>
        </w:tc>
        <w:tc>
          <w:tcPr>
            <w:tcW w:w="12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Short-term 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9020" w:type="dxa"/>
            <w:vAlign w:val="bottom"/>
          </w:tcPr>
          <w:p>
            <w:pPr>
              <w:ind w:left="160"/>
              <w:spacing w:after="0"/>
              <w:rPr>
                <w:sz w:val="20"/>
                <w:szCs w:val="20"/>
                <w:color w:val="auto"/>
              </w:rPr>
            </w:pPr>
            <w:r>
              <w:rPr>
                <w:rFonts w:ascii="Arial" w:cs="Arial" w:eastAsia="Arial" w:hAnsi="Arial"/>
                <w:sz w:val="17"/>
                <w:szCs w:val="17"/>
                <w:color w:val="auto"/>
              </w:rPr>
              <w:t>Accounts and notes receivable, net of allowances of $6.1 and $6.3 in 2019 and 2018, respectively</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477.8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472.7</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Inventories, net</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544.1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509.8</w:t>
            </w:r>
          </w:p>
        </w:tc>
        <w:tc>
          <w:tcPr>
            <w:tcW w:w="0" w:type="dxa"/>
            <w:vAlign w:val="bottom"/>
          </w:tcPr>
          <w:p>
            <w:pPr>
              <w:spacing w:after="0"/>
              <w:rPr>
                <w:sz w:val="1"/>
                <w:szCs w:val="1"/>
                <w:color w:val="auto"/>
              </w:rPr>
            </w:pPr>
          </w:p>
        </w:tc>
      </w:tr>
      <w:tr>
        <w:trPr>
          <w:trHeight w:val="234"/>
        </w:trPr>
        <w:tc>
          <w:tcPr>
            <w:tcW w:w="902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58.8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60.6</w:t>
            </w:r>
          </w:p>
        </w:tc>
        <w:tc>
          <w:tcPr>
            <w:tcW w:w="0" w:type="dxa"/>
            <w:vAlign w:val="bottom"/>
          </w:tcPr>
          <w:p>
            <w:pPr>
              <w:spacing w:after="0"/>
              <w:rPr>
                <w:sz w:val="1"/>
                <w:szCs w:val="1"/>
                <w:color w:val="auto"/>
              </w:rPr>
            </w:pPr>
          </w:p>
        </w:tc>
      </w:tr>
      <w:tr>
        <w:trPr>
          <w:trHeight w:val="26"/>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9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1,120.9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1,089.4</w:t>
            </w:r>
          </w:p>
        </w:tc>
        <w:tc>
          <w:tcPr>
            <w:tcW w:w="0" w:type="dxa"/>
            <w:vAlign w:val="bottom"/>
          </w:tcPr>
          <w:p>
            <w:pPr>
              <w:spacing w:after="0"/>
              <w:rPr>
                <w:sz w:val="1"/>
                <w:szCs w:val="1"/>
                <w:color w:val="auto"/>
              </w:rPr>
            </w:pP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Property, plant and equipment, net of accumulated depreciation of $824.3 and $778.5 in 2019 and 2018, respectively</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445.4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408.3</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Right-of-use assets from operating leases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Goodwill</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186.5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186.6</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Other assets, net</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79.0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65.9</w:t>
            </w:r>
          </w:p>
        </w:tc>
        <w:tc>
          <w:tcPr>
            <w:tcW w:w="0" w:type="dxa"/>
            <w:vAlign w:val="bottom"/>
          </w:tcPr>
          <w:p>
            <w:pPr>
              <w:spacing w:after="0"/>
              <w:rPr>
                <w:sz w:val="1"/>
                <w:szCs w:val="1"/>
                <w:color w:val="auto"/>
              </w:rPr>
            </w:pPr>
          </w:p>
        </w:tc>
      </w:tr>
      <w:tr>
        <w:trPr>
          <w:trHeight w:val="26"/>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2,034.9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1,817.2</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3800"/>
              <w:spacing w:after="0"/>
              <w:rPr>
                <w:sz w:val="20"/>
                <w:szCs w:val="20"/>
                <w:color w:val="auto"/>
              </w:rPr>
            </w:pPr>
            <w:r>
              <w:rPr>
                <w:rFonts w:ascii="Arial" w:cs="Arial" w:eastAsia="Arial" w:hAnsi="Arial"/>
                <w:sz w:val="17"/>
                <w:szCs w:val="17"/>
                <w:b w:val="1"/>
                <w:bCs w:val="1"/>
                <w:color w:val="auto"/>
              </w:rPr>
              <w:t>LIABILITIES AND STOCKHOLDERS’ DEFICIT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020" w:type="dxa"/>
            <w:vAlign w:val="bottom"/>
          </w:tcPr>
          <w:p>
            <w:pPr>
              <w:ind w:left="160"/>
              <w:spacing w:after="0"/>
              <w:rPr>
                <w:sz w:val="20"/>
                <w:szCs w:val="20"/>
                <w:color w:val="auto"/>
              </w:rPr>
            </w:pPr>
            <w:r>
              <w:rPr>
                <w:rFonts w:ascii="Arial" w:cs="Arial" w:eastAsia="Arial" w:hAnsi="Arial"/>
                <w:sz w:val="17"/>
                <w:szCs w:val="17"/>
                <w:color w:val="auto"/>
              </w:rPr>
              <w:t>Current maturities of long-term debt</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321.9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300.8</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Current operating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52.7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90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372.4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433.3</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Accrued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272.3</w:t>
            </w:r>
          </w:p>
        </w:tc>
        <w:tc>
          <w:tcPr>
            <w:tcW w:w="0" w:type="dxa"/>
            <w:vAlign w:val="bottom"/>
          </w:tcPr>
          <w:p>
            <w:pPr>
              <w:spacing w:after="0"/>
              <w:rPr>
                <w:sz w:val="1"/>
                <w:szCs w:val="1"/>
                <w:color w:val="auto"/>
              </w:rPr>
            </w:pPr>
          </w:p>
        </w:tc>
      </w:tr>
      <w:tr>
        <w:trPr>
          <w:trHeight w:val="234"/>
        </w:trPr>
        <w:tc>
          <w:tcPr>
            <w:tcW w:w="9020" w:type="dxa"/>
            <w:vAlign w:val="bottom"/>
          </w:tcPr>
          <w:p>
            <w:pPr>
              <w:ind w:left="160"/>
              <w:spacing w:after="0"/>
              <w:rPr>
                <w:sz w:val="20"/>
                <w:szCs w:val="20"/>
                <w:color w:val="auto"/>
              </w:rPr>
            </w:pPr>
            <w:r>
              <w:rPr>
                <w:rFonts w:ascii="Arial" w:cs="Arial" w:eastAsia="Arial" w:hAnsi="Arial"/>
                <w:sz w:val="17"/>
                <w:szCs w:val="17"/>
                <w:color w:val="auto"/>
              </w:rPr>
              <w:t>Income taxes payable</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6"/>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9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1,002.7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1,008.5</w:t>
            </w:r>
          </w:p>
        </w:tc>
        <w:tc>
          <w:tcPr>
            <w:tcW w:w="0" w:type="dxa"/>
            <w:vAlign w:val="bottom"/>
          </w:tcPr>
          <w:p>
            <w:pPr>
              <w:spacing w:after="0"/>
              <w:rPr>
                <w:sz w:val="1"/>
                <w:szCs w:val="1"/>
                <w:color w:val="auto"/>
              </w:rPr>
            </w:pP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Long-term debt</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849.3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740.5</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Pensions</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87.4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135.0</w:t>
            </w:r>
          </w:p>
        </w:tc>
        <w:tc>
          <w:tcPr>
            <w:tcW w:w="0" w:type="dxa"/>
            <w:vAlign w:val="bottom"/>
          </w:tcPr>
          <w:p>
            <w:pPr>
              <w:spacing w:after="0"/>
              <w:rPr>
                <w:sz w:val="1"/>
                <w:szCs w:val="1"/>
                <w:color w:val="auto"/>
              </w:rPr>
            </w:pPr>
          </w:p>
        </w:tc>
      </w:tr>
      <w:tr>
        <w:trPr>
          <w:trHeight w:val="227"/>
        </w:trPr>
        <w:tc>
          <w:tcPr>
            <w:tcW w:w="9020" w:type="dxa"/>
            <w:vAlign w:val="bottom"/>
          </w:tcPr>
          <w:p>
            <w:pPr>
              <w:ind w:left="260"/>
              <w:spacing w:after="0"/>
              <w:rPr>
                <w:sz w:val="20"/>
                <w:szCs w:val="20"/>
                <w:color w:val="auto"/>
              </w:rPr>
            </w:pPr>
            <w:r>
              <w:rPr>
                <w:rFonts w:ascii="Arial" w:cs="Arial" w:eastAsia="Arial" w:hAnsi="Arial"/>
                <w:sz w:val="17"/>
                <w:szCs w:val="17"/>
                <w:color w:val="auto"/>
              </w:rPr>
              <w:t>Total liabilities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2,205.1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1,966.8</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Commitments and contingencies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Stockholders' deficit: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Preferred stock, $.01 par value, 25,000,000 shares authorized, no shares issued or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9020" w:type="dxa"/>
            <w:vAlign w:val="bottom"/>
          </w:tcPr>
          <w:p>
            <w:pPr>
              <w:ind w:left="160"/>
              <w:spacing w:after="0"/>
              <w:rPr>
                <w:sz w:val="20"/>
                <w:szCs w:val="20"/>
                <w:color w:val="auto"/>
              </w:rPr>
            </w:pPr>
            <w:r>
              <w:rPr>
                <w:rFonts w:ascii="Arial" w:cs="Arial" w:eastAsia="Arial" w:hAnsi="Arial"/>
                <w:sz w:val="17"/>
                <w:szCs w:val="17"/>
                <w:color w:val="auto"/>
              </w:rPr>
              <w:t>Common stock, $.01 par value, 200,000,000 shares authorized, 87,170,197 shares issued</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1,093.5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1,078.8</w:t>
            </w:r>
          </w:p>
        </w:tc>
        <w:tc>
          <w:tcPr>
            <w:tcW w:w="0" w:type="dxa"/>
            <w:vAlign w:val="bottom"/>
          </w:tcPr>
          <w:p>
            <w:pPr>
              <w:spacing w:after="0"/>
              <w:rPr>
                <w:sz w:val="1"/>
                <w:szCs w:val="1"/>
                <w:color w:val="auto"/>
              </w:rPr>
            </w:pPr>
          </w:p>
        </w:tc>
      </w:tr>
      <w:tr>
        <w:trPr>
          <w:trHeight w:val="234"/>
        </w:trPr>
        <w:tc>
          <w:tcPr>
            <w:tcW w:w="9020" w:type="dxa"/>
            <w:vAlign w:val="bottom"/>
          </w:tcPr>
          <w:p>
            <w:pPr>
              <w:ind w:left="160"/>
              <w:spacing w:after="0"/>
              <w:rPr>
                <w:sz w:val="20"/>
                <w:szCs w:val="20"/>
                <w:color w:val="auto"/>
              </w:rPr>
            </w:pPr>
            <w:r>
              <w:rPr>
                <w:rFonts w:ascii="Arial" w:cs="Arial" w:eastAsia="Arial" w:hAnsi="Arial"/>
                <w:sz w:val="17"/>
                <w:szCs w:val="17"/>
                <w:color w:val="auto"/>
              </w:rPr>
              <w:t>Retained earnings</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2,148.7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1,855.0</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34"/>
        </w:trPr>
        <w:tc>
          <w:tcPr>
            <w:tcW w:w="9020" w:type="dxa"/>
            <w:vAlign w:val="bottom"/>
          </w:tcPr>
          <w:p>
            <w:pPr>
              <w:ind w:left="160"/>
              <w:spacing w:after="0"/>
              <w:rPr>
                <w:sz w:val="20"/>
                <w:szCs w:val="20"/>
                <w:color w:val="auto"/>
              </w:rPr>
            </w:pPr>
            <w:r>
              <w:rPr>
                <w:rFonts w:ascii="Arial" w:cs="Arial" w:eastAsia="Arial" w:hAnsi="Arial"/>
                <w:sz w:val="17"/>
                <w:szCs w:val="17"/>
                <w:color w:val="auto"/>
              </w:rPr>
              <w:t>Treasury stock, at cost, 48,575,901 shares and 47,312,248 shares for 2019 and 2018, respectively</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(3,309.5)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(2,895.5)</w:t>
            </w:r>
          </w:p>
        </w:tc>
        <w:tc>
          <w:tcPr>
            <w:tcW w:w="0" w:type="dxa"/>
            <w:vAlign w:val="bottom"/>
          </w:tcPr>
          <w:p>
            <w:pPr>
              <w:spacing w:after="0"/>
              <w:rPr>
                <w:sz w:val="1"/>
                <w:szCs w:val="1"/>
                <w:color w:val="auto"/>
              </w:rPr>
            </w:pPr>
          </w:p>
        </w:tc>
      </w:tr>
      <w:tr>
        <w:trPr>
          <w:trHeight w:val="26"/>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9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stockholders' deficit</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(149.6)</w:t>
            </w:r>
          </w:p>
        </w:tc>
        <w:tc>
          <w:tcPr>
            <w:tcW w:w="0" w:type="dxa"/>
            <w:vAlign w:val="bottom"/>
          </w:tcPr>
          <w:p>
            <w:pPr>
              <w:spacing w:after="0"/>
              <w:rPr>
                <w:sz w:val="1"/>
                <w:szCs w:val="1"/>
                <w:color w:val="auto"/>
              </w:rPr>
            </w:pPr>
          </w:p>
        </w:tc>
      </w:tr>
      <w:tr>
        <w:trPr>
          <w:trHeight w:val="227"/>
        </w:trPr>
        <w:tc>
          <w:tcPr>
            <w:tcW w:w="9020" w:type="dxa"/>
            <w:vAlign w:val="bottom"/>
          </w:tcPr>
          <w:p>
            <w:pPr>
              <w:ind w:left="40"/>
              <w:spacing w:after="0"/>
              <w:rPr>
                <w:sz w:val="20"/>
                <w:szCs w:val="20"/>
                <w:color w:val="auto"/>
              </w:rPr>
            </w:pPr>
            <w:r>
              <w:rPr>
                <w:rFonts w:ascii="Arial" w:cs="Arial" w:eastAsia="Arial" w:hAnsi="Arial"/>
                <w:sz w:val="17"/>
                <w:szCs w:val="17"/>
                <w:color w:val="auto"/>
              </w:rPr>
              <w:t>Total liabilities and stockholders' deficit</w:t>
            </w: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2,034.9</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1,817.2</w:t>
            </w:r>
          </w:p>
        </w:tc>
        <w:tc>
          <w:tcPr>
            <w:tcW w:w="0" w:type="dxa"/>
            <w:vAlign w:val="bottom"/>
          </w:tcPr>
          <w:p>
            <w:pPr>
              <w:spacing w:after="0"/>
              <w:rPr>
                <w:sz w:val="1"/>
                <w:szCs w:val="1"/>
                <w:color w:val="auto"/>
              </w:rPr>
            </w:pPr>
          </w:p>
        </w:tc>
      </w:tr>
      <w:tr>
        <w:trPr>
          <w:trHeight w:val="26"/>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72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LENNOX INTERNATIONAL INC.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251700" cy="156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156845"/>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4500880</wp:posOffset>
            </wp:positionH>
            <wp:positionV relativeFrom="paragraph">
              <wp:posOffset>32385</wp:posOffset>
            </wp:positionV>
            <wp:extent cx="27533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3360" cy="825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r>
      <w:tr>
        <w:trPr>
          <w:trHeight w:val="32"/>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sales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3,807.2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3,883.9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3,839.6</w:t>
            </w:r>
          </w:p>
        </w:tc>
      </w:tr>
      <w:tr>
        <w:trPr>
          <w:trHeight w:val="234"/>
        </w:trPr>
        <w:tc>
          <w:tcPr>
            <w:tcW w:w="7080" w:type="dxa"/>
            <w:vAlign w:val="bottom"/>
          </w:tcPr>
          <w:p>
            <w:pPr>
              <w:ind w:left="40"/>
              <w:spacing w:after="0"/>
              <w:rPr>
                <w:sz w:val="20"/>
                <w:szCs w:val="20"/>
                <w:color w:val="auto"/>
              </w:rPr>
            </w:pPr>
            <w:r>
              <w:rPr>
                <w:rFonts w:ascii="Arial" w:cs="Arial" w:eastAsia="Arial" w:hAnsi="Arial"/>
                <w:sz w:val="17"/>
                <w:szCs w:val="17"/>
                <w:color w:val="auto"/>
              </w:rPr>
              <w:t>Cost of goods sold</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2,727.4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2,772.7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2,714.4</w:t>
            </w:r>
          </w:p>
        </w:tc>
      </w:tr>
      <w:tr>
        <w:trPr>
          <w:trHeight w:val="26"/>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3"/>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1,079.8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1,111.2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1,125.2</w:t>
            </w:r>
          </w:p>
        </w:tc>
      </w:tr>
      <w:tr>
        <w:trPr>
          <w:trHeight w:val="234"/>
        </w:trPr>
        <w:tc>
          <w:tcPr>
            <w:tcW w:w="708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Operating expenses: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585.9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608.2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637.7</w:t>
            </w:r>
          </w:p>
        </w:tc>
      </w:tr>
      <w:tr>
        <w:trPr>
          <w:trHeight w:val="234"/>
        </w:trPr>
        <w:tc>
          <w:tcPr>
            <w:tcW w:w="7080" w:type="dxa"/>
            <w:vAlign w:val="bottom"/>
          </w:tcPr>
          <w:p>
            <w:pPr>
              <w:ind w:left="260"/>
              <w:spacing w:after="0"/>
              <w:rPr>
                <w:sz w:val="20"/>
                <w:szCs w:val="20"/>
                <w:color w:val="auto"/>
              </w:rPr>
            </w:pPr>
            <w:r>
              <w:rPr>
                <w:rFonts w:ascii="Arial" w:cs="Arial" w:eastAsia="Arial" w:hAnsi="Arial"/>
                <w:sz w:val="17"/>
                <w:szCs w:val="17"/>
                <w:color w:val="auto"/>
              </w:rPr>
              <w:t>Losses (gains) and other expenses, net</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7.1</w:t>
            </w:r>
          </w:p>
        </w:tc>
      </w:tr>
      <w:tr>
        <w:trPr>
          <w:trHeight w:val="26"/>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Restructuring charges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w:t>
            </w:r>
          </w:p>
        </w:tc>
      </w:tr>
      <w:tr>
        <w:trPr>
          <w:trHeight w:val="234"/>
        </w:trPr>
        <w:tc>
          <w:tcPr>
            <w:tcW w:w="7080" w:type="dxa"/>
            <w:vAlign w:val="bottom"/>
          </w:tcPr>
          <w:p>
            <w:pPr>
              <w:ind w:left="260"/>
              <w:spacing w:after="0"/>
              <w:rPr>
                <w:sz w:val="20"/>
                <w:szCs w:val="20"/>
                <w:color w:val="auto"/>
              </w:rPr>
            </w:pPr>
            <w:r>
              <w:rPr>
                <w:rFonts w:ascii="Arial" w:cs="Arial" w:eastAsia="Arial" w:hAnsi="Arial"/>
                <w:sz w:val="17"/>
                <w:szCs w:val="17"/>
                <w:color w:val="auto"/>
              </w:rPr>
              <w:t>Loss (gain), net on sale of businesses and related property</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1.1</w:t>
            </w:r>
          </w:p>
        </w:tc>
      </w:tr>
      <w:tr>
        <w:trPr>
          <w:trHeight w:val="26"/>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Gain from insurance recoveries, net of losses incurred</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4"/>
        </w:trPr>
        <w:tc>
          <w:tcPr>
            <w:tcW w:w="7080" w:type="dxa"/>
            <w:vAlign w:val="bottom"/>
          </w:tcPr>
          <w:p>
            <w:pPr>
              <w:ind w:left="260"/>
              <w:spacing w:after="0"/>
              <w:rPr>
                <w:sz w:val="20"/>
                <w:szCs w:val="20"/>
                <w:color w:val="auto"/>
              </w:rPr>
            </w:pPr>
            <w:r>
              <w:rPr>
                <w:rFonts w:ascii="Arial" w:cs="Arial" w:eastAsia="Arial" w:hAnsi="Arial"/>
                <w:sz w:val="17"/>
                <w:szCs w:val="17"/>
                <w:color w:val="auto"/>
              </w:rPr>
              <w:t>Income from equity method investments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(18.4)</w:t>
            </w:r>
          </w:p>
        </w:tc>
      </w:tr>
      <w:tr>
        <w:trPr>
          <w:trHeight w:val="26"/>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656.9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509.9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494.5</w:t>
            </w:r>
          </w:p>
        </w:tc>
      </w:tr>
      <w:tr>
        <w:trPr>
          <w:trHeight w:val="234"/>
        </w:trPr>
        <w:tc>
          <w:tcPr>
            <w:tcW w:w="7080" w:type="dxa"/>
            <w:vAlign w:val="bottom"/>
          </w:tcPr>
          <w:p>
            <w:pPr>
              <w:ind w:left="40"/>
              <w:spacing w:after="0"/>
              <w:rPr>
                <w:sz w:val="20"/>
                <w:szCs w:val="20"/>
                <w:color w:val="auto"/>
              </w:rPr>
            </w:pPr>
            <w:r>
              <w:rPr>
                <w:rFonts w:ascii="Arial" w:cs="Arial" w:eastAsia="Arial" w:hAnsi="Arial"/>
                <w:sz w:val="17"/>
                <w:szCs w:val="17"/>
                <w:color w:val="auto"/>
              </w:rPr>
              <w:t>Pension settlements</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99.2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6"/>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30.6</w:t>
            </w:r>
          </w:p>
        </w:tc>
      </w:tr>
      <w:tr>
        <w:trPr>
          <w:trHeight w:val="234"/>
        </w:trPr>
        <w:tc>
          <w:tcPr>
            <w:tcW w:w="7080" w:type="dxa"/>
            <w:vAlign w:val="bottom"/>
          </w:tcPr>
          <w:p>
            <w:pPr>
              <w:ind w:left="40"/>
              <w:spacing w:after="0"/>
              <w:rPr>
                <w:sz w:val="20"/>
                <w:szCs w:val="20"/>
                <w:color w:val="auto"/>
              </w:rPr>
            </w:pPr>
            <w:r>
              <w:rPr>
                <w:rFonts w:ascii="Arial" w:cs="Arial" w:eastAsia="Arial" w:hAnsi="Arial"/>
                <w:sz w:val="17"/>
                <w:szCs w:val="17"/>
                <w:color w:val="auto"/>
              </w:rPr>
              <w:t>Other expense (income), net</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6"/>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3"/>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Income from continuing operations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507.9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467.9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464.0</w:t>
            </w:r>
          </w:p>
        </w:tc>
      </w:tr>
      <w:tr>
        <w:trPr>
          <w:trHeight w:val="234"/>
        </w:trPr>
        <w:tc>
          <w:tcPr>
            <w:tcW w:w="7080" w:type="dxa"/>
            <w:vAlign w:val="bottom"/>
          </w:tcPr>
          <w:p>
            <w:pPr>
              <w:ind w:left="40"/>
              <w:spacing w:after="0"/>
              <w:rPr>
                <w:sz w:val="20"/>
                <w:szCs w:val="20"/>
                <w:color w:val="auto"/>
              </w:rPr>
            </w:pPr>
            <w:r>
              <w:rPr>
                <w:rFonts w:ascii="Arial" w:cs="Arial" w:eastAsia="Arial" w:hAnsi="Arial"/>
                <w:sz w:val="17"/>
                <w:szCs w:val="17"/>
                <w:color w:val="auto"/>
              </w:rPr>
              <w:t>Provision for income taxes</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99.1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107.6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156.9</w:t>
            </w:r>
          </w:p>
        </w:tc>
      </w:tr>
      <w:tr>
        <w:trPr>
          <w:trHeight w:val="26"/>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3"/>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Income from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408.8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360.3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307.1</w:t>
            </w:r>
          </w:p>
        </w:tc>
      </w:tr>
      <w:tr>
        <w:trPr>
          <w:trHeight w:val="234"/>
        </w:trPr>
        <w:tc>
          <w:tcPr>
            <w:tcW w:w="708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Discontinued operations: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 income from discontinued operations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34"/>
        </w:trPr>
        <w:tc>
          <w:tcPr>
            <w:tcW w:w="7080" w:type="dxa"/>
            <w:vAlign w:val="bottom"/>
          </w:tcPr>
          <w:p>
            <w:pPr>
              <w:ind w:left="260"/>
              <w:spacing w:after="0"/>
              <w:rPr>
                <w:sz w:val="20"/>
                <w:szCs w:val="20"/>
                <w:color w:val="auto"/>
              </w:rPr>
            </w:pPr>
            <w:r>
              <w:rPr>
                <w:rFonts w:ascii="Arial" w:cs="Arial" w:eastAsia="Arial" w:hAnsi="Arial"/>
                <w:sz w:val="17"/>
                <w:szCs w:val="17"/>
                <w:color w:val="auto"/>
              </w:rPr>
              <w:t>Provision for (benefit from) income taxes</w:t>
            </w:r>
          </w:p>
        </w:tc>
        <w:tc>
          <w:tcPr>
            <w:tcW w:w="3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6"/>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3"/>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 from discontinued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7"/>
        </w:trPr>
        <w:tc>
          <w:tcPr>
            <w:tcW w:w="7080" w:type="dxa"/>
            <w:vAlign w:val="bottom"/>
          </w:tcPr>
          <w:p>
            <w:pPr>
              <w:ind w:left="40"/>
              <w:spacing w:after="0"/>
              <w:rPr>
                <w:sz w:val="20"/>
                <w:szCs w:val="20"/>
                <w:color w:val="auto"/>
              </w:rPr>
            </w:pPr>
            <w:r>
              <w:rPr>
                <w:rFonts w:ascii="Arial" w:cs="Arial" w:eastAsia="Arial" w:hAnsi="Arial"/>
                <w:sz w:val="17"/>
                <w:szCs w:val="17"/>
                <w:b w:val="1"/>
                <w:bCs w:val="1"/>
                <w:color w:val="auto"/>
              </w:rPr>
              <w:t>Net income</w:t>
            </w: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408.7</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359.0</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305.7</w:t>
            </w:r>
          </w:p>
        </w:tc>
      </w:tr>
      <w:tr>
        <w:trPr>
          <w:trHeight w:val="66"/>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92"/>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4"/>
        </w:trPr>
        <w:tc>
          <w:tcPr>
            <w:tcW w:w="708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Earnings per share – Basic:</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Income from continuing operations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7.28</w:t>
            </w:r>
          </w:p>
        </w:tc>
      </w:tr>
      <w:tr>
        <w:trPr>
          <w:trHeight w:val="234"/>
        </w:trPr>
        <w:tc>
          <w:tcPr>
            <w:tcW w:w="7080" w:type="dxa"/>
            <w:vAlign w:val="bottom"/>
          </w:tcPr>
          <w:p>
            <w:pPr>
              <w:ind w:left="260"/>
              <w:spacing w:after="0"/>
              <w:rPr>
                <w:sz w:val="20"/>
                <w:szCs w:val="20"/>
                <w:color w:val="auto"/>
              </w:rPr>
            </w:pPr>
            <w:r>
              <w:rPr>
                <w:rFonts w:ascii="Arial" w:cs="Arial" w:eastAsia="Arial" w:hAnsi="Arial"/>
                <w:sz w:val="17"/>
                <w:szCs w:val="17"/>
                <w:color w:val="auto"/>
              </w:rPr>
              <w:t>Loss from discontinued operations</w:t>
            </w:r>
          </w:p>
        </w:tc>
        <w:tc>
          <w:tcPr>
            <w:tcW w:w="3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(0.03)</w:t>
            </w:r>
          </w:p>
        </w:tc>
      </w:tr>
      <w:tr>
        <w:trPr>
          <w:trHeight w:val="26"/>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10.49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7.25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92"/>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Earnings per share – Diluted:</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4"/>
        </w:trPr>
        <w:tc>
          <w:tcPr>
            <w:tcW w:w="7080" w:type="dxa"/>
            <w:vAlign w:val="bottom"/>
          </w:tcPr>
          <w:p>
            <w:pPr>
              <w:ind w:left="260"/>
              <w:spacing w:after="0"/>
              <w:rPr>
                <w:sz w:val="20"/>
                <w:szCs w:val="20"/>
                <w:color w:val="auto"/>
              </w:rPr>
            </w:pPr>
            <w:r>
              <w:rPr>
                <w:rFonts w:ascii="Arial" w:cs="Arial" w:eastAsia="Arial" w:hAnsi="Arial"/>
                <w:sz w:val="17"/>
                <w:szCs w:val="17"/>
                <w:color w:val="auto"/>
              </w:rPr>
              <w:t>Income from continuing operations</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10.38</w:t>
            </w:r>
          </w:p>
        </w:tc>
        <w:tc>
          <w:tcPr>
            <w:tcW w:w="12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8.77</w:t>
            </w:r>
          </w:p>
        </w:tc>
        <w:tc>
          <w:tcPr>
            <w:tcW w:w="10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7.17</w:t>
            </w:r>
          </w:p>
        </w:tc>
      </w:tr>
      <w:tr>
        <w:trPr>
          <w:trHeight w:val="26"/>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 from discontinued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(0.03)</w:t>
            </w:r>
          </w:p>
        </w:tc>
      </w:tr>
      <w:tr>
        <w:trPr>
          <w:trHeight w:val="227"/>
        </w:trPr>
        <w:tc>
          <w:tcPr>
            <w:tcW w:w="708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10.38</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8.74</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7.14</w:t>
            </w:r>
          </w:p>
        </w:tc>
      </w:tr>
      <w:tr>
        <w:trPr>
          <w:trHeight w:val="66"/>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92"/>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4"/>
        </w:trPr>
        <w:tc>
          <w:tcPr>
            <w:tcW w:w="7080" w:type="dxa"/>
            <w:vAlign w:val="bottom"/>
          </w:tcPr>
          <w:p>
            <w:pPr>
              <w:ind w:left="160"/>
              <w:spacing w:after="0"/>
              <w:rPr>
                <w:sz w:val="20"/>
                <w:szCs w:val="20"/>
                <w:color w:val="auto"/>
              </w:rPr>
            </w:pPr>
            <w:r>
              <w:rPr>
                <w:rFonts w:ascii="Arial" w:cs="Arial" w:eastAsia="Arial" w:hAnsi="Arial"/>
                <w:sz w:val="17"/>
                <w:szCs w:val="17"/>
                <w:color w:val="auto"/>
              </w:rPr>
              <w:t>Weighted Average Number of Shares Outstanding - Basic</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39.0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40.6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42.2</w:t>
            </w:r>
          </w:p>
        </w:tc>
      </w:tr>
      <w:tr>
        <w:trPr>
          <w:trHeight w:val="26"/>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4"/>
        </w:trPr>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Weighted Average Number of Shares Outstanding - Diluted</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39.4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42.8</w:t>
            </w:r>
          </w:p>
        </w:tc>
      </w:tr>
      <w:tr>
        <w:trPr>
          <w:trHeight w:val="26"/>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720" w:right="239" w:bottom="1440" w:gutter="0" w:footer="0" w:header="0"/>
        </w:sectPr>
      </w:pPr>
    </w:p>
    <w:bookmarkStart w:id="36" w:name="page37"/>
    <w:bookmarkEnd w:id="36"/>
    <w:p>
      <w:pPr>
        <w:ind w:left="3540"/>
        <w:spacing w:after="0"/>
        <w:rPr>
          <w:sz w:val="20"/>
          <w:szCs w:val="20"/>
          <w:color w:val="auto"/>
        </w:rPr>
      </w:pPr>
      <w:r>
        <w:rPr>
          <w:rFonts w:ascii="Arial" w:cs="Arial" w:eastAsia="Arial" w:hAnsi="Arial"/>
          <w:sz w:val="17"/>
          <w:szCs w:val="17"/>
          <w:b w:val="1"/>
          <w:bCs w:val="1"/>
          <w:color w:val="auto"/>
        </w:rPr>
        <w:t>LENNOX INTERNATIONAL INC. AND SUBSIDIARIES</w:t>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6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For the Years Ended December 31,</w:t>
            </w:r>
          </w:p>
        </w:tc>
        <w:tc>
          <w:tcPr>
            <w:tcW w:w="900" w:type="dxa"/>
            <w:vAlign w:val="bottom"/>
          </w:tcPr>
          <w:p>
            <w:pPr>
              <w:spacing w:after="0"/>
              <w:rPr>
                <w:sz w:val="17"/>
                <w:szCs w:val="17"/>
                <w:color w:val="auto"/>
              </w:rPr>
            </w:pPr>
          </w:p>
        </w:tc>
      </w:tr>
      <w:tr>
        <w:trPr>
          <w:trHeight w:val="32"/>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1"/>
        </w:trPr>
        <w:tc>
          <w:tcPr>
            <w:tcW w:w="70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r>
      <w:tr>
        <w:trPr>
          <w:trHeight w:val="32"/>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9"/>
              </w:rPr>
              <w:t>408.7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359.0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305.7</w:t>
            </w:r>
          </w:p>
        </w:tc>
      </w:tr>
      <w:tr>
        <w:trPr>
          <w:trHeight w:val="214"/>
        </w:trPr>
        <w:tc>
          <w:tcPr>
            <w:tcW w:w="7080" w:type="dxa"/>
            <w:vAlign w:val="bottom"/>
          </w:tcPr>
          <w:p>
            <w:pPr>
              <w:ind w:left="40"/>
              <w:spacing w:after="0"/>
              <w:rPr>
                <w:sz w:val="20"/>
                <w:szCs w:val="20"/>
                <w:color w:val="auto"/>
              </w:rPr>
            </w:pPr>
            <w:r>
              <w:rPr>
                <w:rFonts w:ascii="Arial" w:cs="Arial" w:eastAsia="Arial" w:hAnsi="Arial"/>
                <w:sz w:val="17"/>
                <w:szCs w:val="17"/>
                <w:color w:val="auto"/>
              </w:rPr>
              <w:t>Other comprehensive income (loss):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39"/>
        </w:trPr>
        <w:tc>
          <w:tcPr>
            <w:tcW w:w="70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currency translation adjustments</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33.9</w:t>
            </w:r>
          </w:p>
        </w:tc>
      </w:tr>
      <w:tr>
        <w:trPr>
          <w:trHeight w:val="234"/>
        </w:trPr>
        <w:tc>
          <w:tcPr>
            <w:tcW w:w="7080" w:type="dxa"/>
            <w:vAlign w:val="bottom"/>
          </w:tcPr>
          <w:p>
            <w:pPr>
              <w:ind w:left="40"/>
              <w:spacing w:after="0"/>
              <w:rPr>
                <w:sz w:val="20"/>
                <w:szCs w:val="20"/>
                <w:color w:val="auto"/>
              </w:rPr>
            </w:pPr>
            <w:r>
              <w:rPr>
                <w:rFonts w:ascii="Arial" w:cs="Arial" w:eastAsia="Arial" w:hAnsi="Arial"/>
                <w:sz w:val="17"/>
                <w:szCs w:val="17"/>
                <w:color w:val="auto"/>
              </w:rPr>
              <w:t>Reclassification of foreign currency translation adjustments into earnings</w:t>
            </w:r>
          </w:p>
        </w:tc>
        <w:tc>
          <w:tcPr>
            <w:tcW w:w="880" w:type="dxa"/>
            <w:vAlign w:val="bottom"/>
          </w:tcPr>
          <w:p>
            <w:pPr>
              <w:spacing w:after="0"/>
              <w:rPr>
                <w:sz w:val="20"/>
                <w:szCs w:val="20"/>
                <w:color w:val="auto"/>
              </w:rPr>
            </w:pPr>
          </w:p>
        </w:tc>
        <w:tc>
          <w:tcPr>
            <w:tcW w:w="520" w:type="dxa"/>
            <w:vAlign w:val="bottom"/>
          </w:tcPr>
          <w:p>
            <w:pPr>
              <w:jc w:val="right"/>
              <w:ind w:right="34"/>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6"/>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change in pension and post-retirement benefit liabilities</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34"/>
        </w:trPr>
        <w:tc>
          <w:tcPr>
            <w:tcW w:w="7080" w:type="dxa"/>
            <w:vAlign w:val="bottom"/>
          </w:tcPr>
          <w:p>
            <w:pPr>
              <w:ind w:left="40"/>
              <w:spacing w:after="0"/>
              <w:rPr>
                <w:sz w:val="20"/>
                <w:szCs w:val="20"/>
                <w:color w:val="auto"/>
              </w:rPr>
            </w:pPr>
            <w:r>
              <w:rPr>
                <w:rFonts w:ascii="Arial" w:cs="Arial" w:eastAsia="Arial" w:hAnsi="Arial"/>
                <w:sz w:val="17"/>
                <w:szCs w:val="17"/>
                <w:color w:val="auto"/>
              </w:rPr>
              <w:t>Change in fair value of available-for-sale marketable equity securities</w:t>
            </w:r>
          </w:p>
        </w:tc>
        <w:tc>
          <w:tcPr>
            <w:tcW w:w="8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6"/>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change in fair value of cash flow hedges</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16.1</w:t>
            </w:r>
          </w:p>
        </w:tc>
      </w:tr>
      <w:tr>
        <w:trPr>
          <w:trHeight w:val="234"/>
        </w:trPr>
        <w:tc>
          <w:tcPr>
            <w:tcW w:w="7080" w:type="dxa"/>
            <w:vAlign w:val="bottom"/>
          </w:tcPr>
          <w:p>
            <w:pPr>
              <w:ind w:left="40"/>
              <w:spacing w:after="0"/>
              <w:rPr>
                <w:sz w:val="20"/>
                <w:szCs w:val="20"/>
                <w:color w:val="auto"/>
              </w:rPr>
            </w:pPr>
            <w:r>
              <w:rPr>
                <w:rFonts w:ascii="Arial" w:cs="Arial" w:eastAsia="Arial" w:hAnsi="Arial"/>
                <w:sz w:val="17"/>
                <w:szCs w:val="17"/>
                <w:color w:val="auto"/>
              </w:rPr>
              <w:t>Reclassification of pension and post-retirement benefit losses into earnings</w:t>
            </w:r>
          </w:p>
        </w:tc>
        <w:tc>
          <w:tcPr>
            <w:tcW w:w="880" w:type="dxa"/>
            <w:vAlign w:val="bottom"/>
          </w:tcPr>
          <w:p>
            <w:pPr>
              <w:spacing w:after="0"/>
              <w:rPr>
                <w:sz w:val="20"/>
                <w:szCs w:val="20"/>
                <w:color w:val="auto"/>
              </w:rPr>
            </w:pPr>
          </w:p>
        </w:tc>
        <w:tc>
          <w:tcPr>
            <w:tcW w:w="520" w:type="dxa"/>
            <w:vAlign w:val="bottom"/>
          </w:tcPr>
          <w:p>
            <w:pPr>
              <w:jc w:val="right"/>
              <w:ind w:right="34"/>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7"/>
                <w:szCs w:val="17"/>
                <w:color w:val="auto"/>
              </w:rPr>
              <w:t>7.3</w:t>
            </w:r>
          </w:p>
        </w:tc>
      </w:tr>
      <w:tr>
        <w:trPr>
          <w:trHeight w:val="26"/>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Pension settlements</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99.2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4"/>
        </w:trPr>
        <w:tc>
          <w:tcPr>
            <w:tcW w:w="7080" w:type="dxa"/>
            <w:vAlign w:val="bottom"/>
          </w:tcPr>
          <w:p>
            <w:pPr>
              <w:ind w:left="40"/>
              <w:spacing w:after="0"/>
              <w:rPr>
                <w:sz w:val="20"/>
                <w:szCs w:val="20"/>
                <w:color w:val="auto"/>
              </w:rPr>
            </w:pPr>
            <w:r>
              <w:rPr>
                <w:rFonts w:ascii="Arial" w:cs="Arial" w:eastAsia="Arial" w:hAnsi="Arial"/>
                <w:sz w:val="17"/>
                <w:szCs w:val="17"/>
                <w:color w:val="auto"/>
              </w:rPr>
              <w:t>Reclassification of cash flow hedge losses into earnings</w:t>
            </w:r>
          </w:p>
        </w:tc>
        <w:tc>
          <w:tcPr>
            <w:tcW w:w="880" w:type="dxa"/>
            <w:vAlign w:val="bottom"/>
          </w:tcPr>
          <w:p>
            <w:pPr>
              <w:spacing w:after="0"/>
              <w:rPr>
                <w:sz w:val="20"/>
                <w:szCs w:val="20"/>
                <w:color w:val="auto"/>
              </w:rPr>
            </w:pPr>
          </w:p>
        </w:tc>
        <w:tc>
          <w:tcPr>
            <w:tcW w:w="520" w:type="dxa"/>
            <w:vAlign w:val="bottom"/>
          </w:tcPr>
          <w:p>
            <w:pPr>
              <w:jc w:val="right"/>
              <w:ind w:right="34"/>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6"/>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3"/>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 comprehensive income (loss) before taxes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9"/>
              </w:rPr>
              <w:t>111.8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37.8</w:t>
            </w:r>
          </w:p>
        </w:tc>
      </w:tr>
      <w:tr>
        <w:trPr>
          <w:trHeight w:val="227"/>
        </w:trPr>
        <w:tc>
          <w:tcPr>
            <w:tcW w:w="7080" w:type="dxa"/>
            <w:vAlign w:val="bottom"/>
          </w:tcPr>
          <w:p>
            <w:pPr>
              <w:ind w:left="40"/>
              <w:spacing w:after="0"/>
              <w:rPr>
                <w:sz w:val="20"/>
                <w:szCs w:val="20"/>
                <w:color w:val="auto"/>
              </w:rPr>
            </w:pPr>
            <w:r>
              <w:rPr>
                <w:rFonts w:ascii="Arial" w:cs="Arial" w:eastAsia="Arial" w:hAnsi="Arial"/>
                <w:sz w:val="17"/>
                <w:szCs w:val="17"/>
                <w:color w:val="auto"/>
              </w:rPr>
              <w:t>Tax expense</w:t>
            </w:r>
          </w:p>
        </w:tc>
        <w:tc>
          <w:tcPr>
            <w:tcW w:w="8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(26.8)</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6"/>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3"/>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 comprehensive income (loss), net of tax</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85.0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37.7</w:t>
            </w:r>
          </w:p>
        </w:tc>
      </w:tr>
      <w:tr>
        <w:trPr>
          <w:trHeight w:val="227"/>
        </w:trPr>
        <w:tc>
          <w:tcPr>
            <w:tcW w:w="7080" w:type="dxa"/>
            <w:vAlign w:val="bottom"/>
          </w:tcPr>
          <w:p>
            <w:pPr>
              <w:ind w:left="40"/>
              <w:spacing w:after="0"/>
              <w:rPr>
                <w:sz w:val="20"/>
                <w:szCs w:val="20"/>
                <w:color w:val="auto"/>
              </w:rPr>
            </w:pPr>
            <w:r>
              <w:rPr>
                <w:rFonts w:ascii="Arial" w:cs="Arial" w:eastAsia="Arial" w:hAnsi="Arial"/>
                <w:sz w:val="17"/>
                <w:szCs w:val="17"/>
                <w:color w:val="auto"/>
              </w:rPr>
              <w:t>Comprehensive income</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w w:val="89"/>
              </w:rPr>
              <w:t>493.7</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327.6</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343.4</w:t>
            </w:r>
          </w:p>
        </w:tc>
      </w:tr>
      <w:tr>
        <w:trPr>
          <w:trHeight w:val="26"/>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72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(DEFICIT) EQUITY</w:t>
      </w:r>
    </w:p>
    <w:p>
      <w:pPr>
        <w:jc w:val="center"/>
        <w:spacing w:after="0" w:line="237" w:lineRule="auto"/>
        <w:rPr>
          <w:sz w:val="20"/>
          <w:szCs w:val="20"/>
          <w:color w:val="auto"/>
        </w:rPr>
      </w:pPr>
      <w:r>
        <w:rPr>
          <w:rFonts w:ascii="Arial" w:cs="Arial" w:eastAsia="Arial" w:hAnsi="Arial"/>
          <w:sz w:val="16"/>
          <w:szCs w:val="16"/>
          <w:b w:val="1"/>
          <w:bCs w:val="1"/>
          <w:color w:val="auto"/>
        </w:rPr>
        <w:t>For the Years Ended December 31, 2019, 2018 and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Accumulated</w:t>
            </w:r>
          </w:p>
        </w:tc>
        <w:tc>
          <w:tcPr>
            <w:tcW w:w="1460" w:type="dxa"/>
            <w:vAlign w:val="bottom"/>
            <w:gridSpan w:val="5"/>
          </w:tcPr>
          <w:p>
            <w:pPr>
              <w:jc w:val="center"/>
              <w:ind w:right="60"/>
              <w:spacing w:after="0"/>
              <w:rPr>
                <w:sz w:val="20"/>
                <w:szCs w:val="20"/>
                <w:color w:val="auto"/>
              </w:rPr>
            </w:pPr>
            <w:r>
              <w:rPr>
                <w:rFonts w:ascii="Arial" w:cs="Arial" w:eastAsia="Arial" w:hAnsi="Arial"/>
                <w:sz w:val="15"/>
                <w:szCs w:val="15"/>
                <w:b w:val="1"/>
                <w:bCs w:val="1"/>
                <w:color w:val="auto"/>
                <w:w w:val="88"/>
              </w:rPr>
              <w:t>Treasury Stock at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06"/>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820" w:type="dxa"/>
            <w:vAlign w:val="bottom"/>
            <w:gridSpan w:val="3"/>
          </w:tcPr>
          <w:p>
            <w:pPr>
              <w:jc w:val="center"/>
              <w:ind w:right="120"/>
              <w:spacing w:after="0" w:line="156" w:lineRule="exact"/>
              <w:rPr>
                <w:sz w:val="20"/>
                <w:szCs w:val="20"/>
                <w:color w:val="auto"/>
              </w:rPr>
            </w:pPr>
            <w:r>
              <w:rPr>
                <w:rFonts w:ascii="Arial" w:cs="Arial" w:eastAsia="Arial" w:hAnsi="Arial"/>
                <w:sz w:val="15"/>
                <w:szCs w:val="15"/>
                <w:b w:val="1"/>
                <w:bCs w:val="1"/>
                <w:color w:val="auto"/>
                <w:w w:val="89"/>
              </w:rPr>
              <w:t>Common</w:t>
            </w:r>
          </w:p>
        </w:tc>
        <w:tc>
          <w:tcPr>
            <w:tcW w:w="900" w:type="dxa"/>
            <w:vAlign w:val="bottom"/>
            <w:gridSpan w:val="3"/>
          </w:tcPr>
          <w:p>
            <w:pPr>
              <w:jc w:val="center"/>
              <w:ind w:right="100"/>
              <w:spacing w:after="0" w:line="156" w:lineRule="exact"/>
              <w:rPr>
                <w:sz w:val="20"/>
                <w:szCs w:val="20"/>
                <w:color w:val="auto"/>
              </w:rPr>
            </w:pPr>
            <w:r>
              <w:rPr>
                <w:rFonts w:ascii="Arial" w:cs="Arial" w:eastAsia="Arial" w:hAnsi="Arial"/>
                <w:sz w:val="15"/>
                <w:szCs w:val="15"/>
                <w:b w:val="1"/>
                <w:bCs w:val="1"/>
                <w:color w:val="auto"/>
                <w:w w:val="92"/>
              </w:rPr>
              <w:t>Additional</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6" w:lineRule="exact"/>
              <w:rPr>
                <w:sz w:val="20"/>
                <w:szCs w:val="20"/>
                <w:color w:val="auto"/>
              </w:rPr>
            </w:pPr>
            <w:r>
              <w:rPr>
                <w:rFonts w:ascii="Arial" w:cs="Arial" w:eastAsia="Arial" w:hAnsi="Arial"/>
                <w:sz w:val="15"/>
                <w:szCs w:val="15"/>
                <w:b w:val="1"/>
                <w:bCs w:val="1"/>
                <w:color w:val="auto"/>
                <w:w w:val="94"/>
              </w:rPr>
              <w:t>Other</w:t>
            </w:r>
          </w:p>
        </w:tc>
        <w:tc>
          <w:tcPr>
            <w:tcW w:w="520" w:type="dxa"/>
            <w:vAlign w:val="bottom"/>
          </w:tcPr>
          <w:p>
            <w:pPr>
              <w:spacing w:after="0"/>
              <w:rPr>
                <w:sz w:val="13"/>
                <w:szCs w:val="13"/>
                <w:color w:val="auto"/>
              </w:rPr>
            </w:pPr>
          </w:p>
        </w:tc>
        <w:tc>
          <w:tcPr>
            <w:tcW w:w="940" w:type="dxa"/>
            <w:vAlign w:val="bottom"/>
            <w:gridSpan w:val="4"/>
          </w:tcPr>
          <w:p>
            <w:pPr>
              <w:jc w:val="center"/>
              <w:ind w:right="580"/>
              <w:spacing w:after="0" w:line="156" w:lineRule="exact"/>
              <w:rPr>
                <w:sz w:val="20"/>
                <w:szCs w:val="20"/>
                <w:color w:val="auto"/>
              </w:rPr>
            </w:pPr>
            <w:r>
              <w:rPr>
                <w:rFonts w:ascii="Arial" w:cs="Arial" w:eastAsia="Arial" w:hAnsi="Arial"/>
                <w:sz w:val="15"/>
                <w:szCs w:val="15"/>
                <w:b w:val="1"/>
                <w:bCs w:val="1"/>
                <w:color w:val="auto"/>
                <w:w w:val="83"/>
              </w:rPr>
              <w:t>Cost</w:t>
            </w:r>
          </w:p>
        </w:tc>
        <w:tc>
          <w:tcPr>
            <w:tcW w:w="120" w:type="dxa"/>
            <w:vAlign w:val="bottom"/>
          </w:tcPr>
          <w:p>
            <w:pPr>
              <w:spacing w:after="0"/>
              <w:rPr>
                <w:sz w:val="13"/>
                <w:szCs w:val="13"/>
                <w:color w:val="auto"/>
              </w:rPr>
            </w:pPr>
          </w:p>
        </w:tc>
        <w:tc>
          <w:tcPr>
            <w:tcW w:w="760" w:type="dxa"/>
            <w:vAlign w:val="bottom"/>
            <w:gridSpan w:val="2"/>
          </w:tcPr>
          <w:p>
            <w:pPr>
              <w:ind w:left="120"/>
              <w:spacing w:after="0" w:line="156" w:lineRule="exact"/>
              <w:rPr>
                <w:sz w:val="20"/>
                <w:szCs w:val="20"/>
                <w:color w:val="auto"/>
              </w:rPr>
            </w:pPr>
            <w:r>
              <w:rPr>
                <w:rFonts w:ascii="Arial" w:cs="Arial" w:eastAsia="Arial" w:hAnsi="Arial"/>
                <w:sz w:val="15"/>
                <w:szCs w:val="15"/>
                <w:b w:val="1"/>
                <w:bCs w:val="1"/>
                <w:color w:val="auto"/>
              </w:rPr>
              <w:t>Non-</w:t>
            </w:r>
          </w:p>
        </w:tc>
        <w:tc>
          <w:tcPr>
            <w:tcW w:w="1000" w:type="dxa"/>
            <w:vAlign w:val="bottom"/>
            <w:gridSpan w:val="2"/>
          </w:tcPr>
          <w:p>
            <w:pPr>
              <w:jc w:val="center"/>
              <w:spacing w:after="0" w:line="156" w:lineRule="exact"/>
              <w:rPr>
                <w:sz w:val="20"/>
                <w:szCs w:val="20"/>
                <w:color w:val="auto"/>
              </w:rPr>
            </w:pPr>
            <w:r>
              <w:rPr>
                <w:rFonts w:ascii="Arial" w:cs="Arial" w:eastAsia="Arial" w:hAnsi="Arial"/>
                <w:sz w:val="15"/>
                <w:szCs w:val="15"/>
                <w:b w:val="1"/>
                <w:bCs w:val="1"/>
                <w:color w:val="auto"/>
                <w:w w:val="88"/>
              </w:rPr>
              <w:t>Stockholders’</w:t>
            </w:r>
          </w:p>
        </w:tc>
        <w:tc>
          <w:tcPr>
            <w:tcW w:w="0" w:type="dxa"/>
            <w:vAlign w:val="bottom"/>
          </w:tcPr>
          <w:p>
            <w:pPr>
              <w:spacing w:after="0"/>
              <w:rPr>
                <w:sz w:val="1"/>
                <w:szCs w:val="1"/>
                <w:color w:val="auto"/>
              </w:rPr>
            </w:pPr>
          </w:p>
        </w:tc>
      </w:tr>
      <w:tr>
        <w:trPr>
          <w:trHeight w:val="52"/>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restart"/>
          </w:tcPr>
          <w:p>
            <w:pPr>
              <w:jc w:val="center"/>
              <w:ind w:right="260"/>
              <w:spacing w:after="0" w:line="152" w:lineRule="exact"/>
              <w:rPr>
                <w:sz w:val="20"/>
                <w:szCs w:val="20"/>
                <w:color w:val="auto"/>
              </w:rPr>
            </w:pPr>
            <w:r>
              <w:rPr>
                <w:rFonts w:ascii="Arial" w:cs="Arial" w:eastAsia="Arial" w:hAnsi="Arial"/>
                <w:sz w:val="15"/>
                <w:szCs w:val="15"/>
                <w:b w:val="1"/>
                <w:bCs w:val="1"/>
                <w:color w:val="auto"/>
                <w:w w:val="88"/>
              </w:rPr>
              <w:t>Stock</w:t>
            </w:r>
          </w:p>
        </w:tc>
        <w:tc>
          <w:tcPr>
            <w:tcW w:w="120" w:type="dxa"/>
            <w:vAlign w:val="bottom"/>
          </w:tcPr>
          <w:p>
            <w:pPr>
              <w:spacing w:after="0"/>
              <w:rPr>
                <w:sz w:val="4"/>
                <w:szCs w:val="4"/>
                <w:color w:val="auto"/>
              </w:rPr>
            </w:pPr>
          </w:p>
        </w:tc>
        <w:tc>
          <w:tcPr>
            <w:tcW w:w="780" w:type="dxa"/>
            <w:vAlign w:val="bottom"/>
            <w:gridSpan w:val="2"/>
            <w:vMerge w:val="restart"/>
          </w:tcPr>
          <w:p>
            <w:pPr>
              <w:jc w:val="center"/>
              <w:ind w:right="220"/>
              <w:spacing w:after="0" w:line="152" w:lineRule="exact"/>
              <w:rPr>
                <w:sz w:val="20"/>
                <w:szCs w:val="20"/>
                <w:color w:val="auto"/>
              </w:rPr>
            </w:pPr>
            <w:r>
              <w:rPr>
                <w:rFonts w:ascii="Arial" w:cs="Arial" w:eastAsia="Arial" w:hAnsi="Arial"/>
                <w:sz w:val="15"/>
                <w:szCs w:val="15"/>
                <w:b w:val="1"/>
                <w:bCs w:val="1"/>
                <w:color w:val="auto"/>
                <w:w w:val="95"/>
              </w:rPr>
              <w:t>Paid-In</w:t>
            </w:r>
          </w:p>
        </w:tc>
        <w:tc>
          <w:tcPr>
            <w:tcW w:w="780" w:type="dxa"/>
            <w:vAlign w:val="bottom"/>
            <w:gridSpan w:val="2"/>
            <w:vMerge w:val="restart"/>
          </w:tcPr>
          <w:p>
            <w:pPr>
              <w:ind w:left="60"/>
              <w:spacing w:after="0" w:line="152" w:lineRule="exact"/>
              <w:rPr>
                <w:sz w:val="20"/>
                <w:szCs w:val="20"/>
                <w:color w:val="auto"/>
              </w:rPr>
            </w:pPr>
            <w:r>
              <w:rPr>
                <w:rFonts w:ascii="Arial" w:cs="Arial" w:eastAsia="Arial" w:hAnsi="Arial"/>
                <w:sz w:val="15"/>
                <w:szCs w:val="15"/>
                <w:b w:val="1"/>
                <w:bCs w:val="1"/>
                <w:color w:val="auto"/>
              </w:rPr>
              <w:t>Retained</w:t>
            </w:r>
          </w:p>
        </w:tc>
        <w:tc>
          <w:tcPr>
            <w:tcW w:w="1220" w:type="dxa"/>
            <w:vAlign w:val="bottom"/>
            <w:gridSpan w:val="3"/>
            <w:vMerge w:val="restart"/>
          </w:tcPr>
          <w:p>
            <w:pPr>
              <w:jc w:val="center"/>
              <w:ind w:right="120"/>
              <w:spacing w:after="0" w:line="152" w:lineRule="exact"/>
              <w:rPr>
                <w:sz w:val="20"/>
                <w:szCs w:val="20"/>
                <w:color w:val="auto"/>
              </w:rPr>
            </w:pPr>
            <w:r>
              <w:rPr>
                <w:rFonts w:ascii="Arial" w:cs="Arial" w:eastAsia="Arial" w:hAnsi="Arial"/>
                <w:sz w:val="15"/>
                <w:szCs w:val="15"/>
                <w:b w:val="1"/>
                <w:bCs w:val="1"/>
                <w:color w:val="auto"/>
                <w:w w:val="87"/>
              </w:rPr>
              <w:t>Comprehensive</w:t>
            </w: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vMerge w:val="restart"/>
          </w:tcPr>
          <w:p>
            <w:pPr>
              <w:ind w:left="60"/>
              <w:spacing w:after="0" w:line="152" w:lineRule="exact"/>
              <w:rPr>
                <w:sz w:val="20"/>
                <w:szCs w:val="20"/>
                <w:color w:val="auto"/>
              </w:rPr>
            </w:pPr>
            <w:r>
              <w:rPr>
                <w:rFonts w:ascii="Arial" w:cs="Arial" w:eastAsia="Arial" w:hAnsi="Arial"/>
                <w:sz w:val="15"/>
                <w:szCs w:val="15"/>
                <w:b w:val="1"/>
                <w:bCs w:val="1"/>
                <w:color w:val="auto"/>
              </w:rPr>
              <w:t>controlling</w:t>
            </w:r>
          </w:p>
        </w:tc>
        <w:tc>
          <w:tcPr>
            <w:tcW w:w="180" w:type="dxa"/>
            <w:vAlign w:val="bottom"/>
          </w:tcPr>
          <w:p>
            <w:pPr>
              <w:spacing w:after="0"/>
              <w:rPr>
                <w:sz w:val="4"/>
                <w:szCs w:val="4"/>
                <w:color w:val="auto"/>
              </w:rPr>
            </w:pPr>
          </w:p>
        </w:tc>
        <w:tc>
          <w:tcPr>
            <w:tcW w:w="820" w:type="dxa"/>
            <w:vAlign w:val="bottom"/>
            <w:vMerge w:val="restart"/>
          </w:tcPr>
          <w:p>
            <w:pPr>
              <w:jc w:val="center"/>
              <w:ind w:right="106"/>
              <w:spacing w:after="0" w:line="152" w:lineRule="exact"/>
              <w:rPr>
                <w:sz w:val="20"/>
                <w:szCs w:val="20"/>
                <w:color w:val="auto"/>
              </w:rPr>
            </w:pPr>
            <w:r>
              <w:rPr>
                <w:rFonts w:ascii="Arial" w:cs="Arial" w:eastAsia="Arial" w:hAnsi="Arial"/>
                <w:sz w:val="15"/>
                <w:szCs w:val="15"/>
                <w:b w:val="1"/>
                <w:bCs w:val="1"/>
                <w:color w:val="auto"/>
                <w:w w:val="93"/>
              </w:rPr>
              <w:t>(Deficit)</w:t>
            </w:r>
          </w:p>
        </w:tc>
        <w:tc>
          <w:tcPr>
            <w:tcW w:w="0" w:type="dxa"/>
            <w:vAlign w:val="bottom"/>
          </w:tcPr>
          <w:p>
            <w:pPr>
              <w:spacing w:after="0"/>
              <w:rPr>
                <w:sz w:val="1"/>
                <w:szCs w:val="1"/>
                <w:color w:val="auto"/>
              </w:rPr>
            </w:pPr>
          </w:p>
        </w:tc>
      </w:tr>
      <w:tr>
        <w:trPr>
          <w:trHeight w:val="80"/>
        </w:trPr>
        <w:tc>
          <w:tcPr>
            <w:tcW w:w="4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4"/>
              </w:rPr>
              <w:t>Issued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95"/>
              </w:rPr>
              <w:t>Capital</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90"/>
              </w:rPr>
              <w:t>Earnings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5"/>
              </w:rPr>
              <w:t>Loss</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Shares</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83"/>
              </w:rPr>
              <w:t>Interests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 as of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1,046.2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86"/>
              </w:rPr>
              <w:t>$ 1,353.0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$(2,167.4)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38.0</w:t>
            </w:r>
          </w:p>
        </w:tc>
        <w:tc>
          <w:tcPr>
            <w:tcW w:w="0" w:type="dxa"/>
            <w:vAlign w:val="bottom"/>
          </w:tcPr>
          <w:p>
            <w:pPr>
              <w:spacing w:after="0"/>
              <w:rPr>
                <w:sz w:val="1"/>
                <w:szCs w:val="1"/>
                <w:color w:val="auto"/>
              </w:rPr>
            </w:pPr>
          </w:p>
        </w:tc>
      </w:tr>
      <w:tr>
        <w:trPr>
          <w:trHeight w:val="256"/>
        </w:trPr>
        <w:tc>
          <w:tcPr>
            <w:tcW w:w="4360" w:type="dxa"/>
            <w:vAlign w:val="bottom"/>
          </w:tcPr>
          <w:p>
            <w:pPr>
              <w:ind w:left="26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6"/>
              <w:spacing w:after="0"/>
              <w:rPr>
                <w:sz w:val="20"/>
                <w:szCs w:val="20"/>
                <w:color w:val="auto"/>
              </w:rPr>
            </w:pPr>
            <w:r>
              <w:rPr>
                <w:rFonts w:ascii="Arial" w:cs="Arial" w:eastAsia="Arial" w:hAnsi="Arial"/>
                <w:sz w:val="15"/>
                <w:szCs w:val="15"/>
                <w:color w:val="auto"/>
              </w:rPr>
              <w:t>305.7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305.7</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Dividends, $1.96 per share</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w:t>
            </w:r>
          </w:p>
        </w:tc>
        <w:tc>
          <w:tcPr>
            <w:tcW w:w="0" w:type="dxa"/>
            <w:vAlign w:val="bottom"/>
          </w:tcPr>
          <w:p>
            <w:pPr>
              <w:spacing w:after="0"/>
              <w:rPr>
                <w:sz w:val="1"/>
                <w:szCs w:val="1"/>
                <w:color w:val="auto"/>
              </w:rPr>
            </w:pPr>
          </w:p>
        </w:tc>
      </w:tr>
      <w:tr>
        <w:trPr>
          <w:trHeight w:val="256"/>
        </w:trPr>
        <w:tc>
          <w:tcPr>
            <w:tcW w:w="4360" w:type="dxa"/>
            <w:vAlign w:val="bottom"/>
          </w:tcPr>
          <w:p>
            <w:pPr>
              <w:ind w:left="26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33.9</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3"/>
              </w:rPr>
              <w:t>Pension and post-retirement liability changes, net of tax benefit of</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69"/>
        </w:trPr>
        <w:tc>
          <w:tcPr>
            <w:tcW w:w="4360" w:type="dxa"/>
            <w:vAlign w:val="bottom"/>
          </w:tcPr>
          <w:p>
            <w:pPr>
              <w:ind w:left="260"/>
              <w:spacing w:after="0" w:line="169" w:lineRule="exact"/>
              <w:rPr>
                <w:sz w:val="20"/>
                <w:szCs w:val="20"/>
                <w:color w:val="auto"/>
              </w:rPr>
            </w:pPr>
            <w:r>
              <w:rPr>
                <w:rFonts w:ascii="Arial" w:cs="Arial" w:eastAsia="Arial" w:hAnsi="Arial"/>
                <w:sz w:val="15"/>
                <w:szCs w:val="15"/>
                <w:color w:val="auto"/>
              </w:rPr>
              <w:t>Change in fair value of available-for-sale marketable equity</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60"/>
              <w:spacing w:after="0"/>
              <w:rPr>
                <w:sz w:val="20"/>
                <w:szCs w:val="20"/>
                <w:color w:val="auto"/>
              </w:rPr>
            </w:pPr>
            <w:r>
              <w:rPr>
                <w:rFonts w:ascii="Arial" w:cs="Arial" w:eastAsia="Arial" w:hAnsi="Arial"/>
                <w:sz w:val="15"/>
                <w:szCs w:val="15"/>
                <w:color w:val="auto"/>
              </w:rPr>
              <w:t>securities</w:t>
            </w:r>
          </w:p>
        </w:tc>
        <w:tc>
          <w:tcPr>
            <w:tcW w:w="1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24.9</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256"/>
        </w:trPr>
        <w:tc>
          <w:tcPr>
            <w:tcW w:w="4360" w:type="dxa"/>
            <w:vAlign w:val="bottom"/>
          </w:tcPr>
          <w:p>
            <w:pPr>
              <w:ind w:left="260"/>
              <w:spacing w:after="0"/>
              <w:rPr>
                <w:sz w:val="20"/>
                <w:szCs w:val="20"/>
                <w:color w:val="auto"/>
              </w:rPr>
            </w:pPr>
            <w:r>
              <w:rPr>
                <w:rFonts w:ascii="Arial" w:cs="Arial" w:eastAsia="Arial" w:hAnsi="Arial"/>
                <w:sz w:val="15"/>
                <w:szCs w:val="15"/>
                <w:color w:val="auto"/>
              </w:rPr>
              <w:t>Change in cash flow hedges, net of tax expense of $0.6</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840" w:type="dxa"/>
            <w:vAlign w:val="bottom"/>
            <w:gridSpan w:val="3"/>
            <w:shd w:val="clear" w:color="auto" w:fill="CCEEFF"/>
          </w:tcPr>
          <w:p>
            <w:pPr>
              <w:jc w:val="right"/>
              <w:ind w:right="26"/>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56"/>
        </w:trPr>
        <w:tc>
          <w:tcPr>
            <w:tcW w:w="4360" w:type="dxa"/>
            <w:vAlign w:val="bottom"/>
          </w:tcPr>
          <w:p>
            <w:pPr>
              <w:ind w:left="300"/>
              <w:spacing w:after="0"/>
              <w:rPr>
                <w:sz w:val="20"/>
                <w:szCs w:val="20"/>
                <w:color w:val="auto"/>
              </w:rPr>
            </w:pPr>
            <w:r>
              <w:rPr>
                <w:rFonts w:ascii="Arial" w:cs="Arial" w:eastAsia="Arial" w:hAnsi="Arial"/>
                <w:sz w:val="15"/>
                <w:szCs w:val="15"/>
                <w:color w:val="auto"/>
              </w:rPr>
              <w:t>Additional investment in subsidiary</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Treasury stock purchases</w:t>
            </w:r>
          </w:p>
        </w:tc>
        <w:tc>
          <w:tcPr>
            <w:tcW w:w="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(276.1)</w:t>
            </w:r>
          </w:p>
        </w:tc>
        <w:tc>
          <w:tcPr>
            <w:tcW w:w="0" w:type="dxa"/>
            <w:vAlign w:val="bottom"/>
          </w:tcPr>
          <w:p>
            <w:pPr>
              <w:spacing w:after="0"/>
              <w:rPr>
                <w:sz w:val="1"/>
                <w:szCs w:val="1"/>
                <w:color w:val="auto"/>
              </w:rPr>
            </w:pPr>
          </w:p>
        </w:tc>
      </w:tr>
      <w:tr>
        <w:trPr>
          <w:trHeight w:val="240"/>
        </w:trPr>
        <w:tc>
          <w:tcPr>
            <w:tcW w:w="4360" w:type="dxa"/>
            <w:vAlign w:val="bottom"/>
          </w:tcPr>
          <w:p>
            <w:pPr>
              <w:ind w:left="40"/>
              <w:spacing w:after="0"/>
              <w:rPr>
                <w:sz w:val="20"/>
                <w:szCs w:val="20"/>
                <w:color w:val="auto"/>
              </w:rPr>
            </w:pPr>
            <w:r>
              <w:rPr>
                <w:rFonts w:ascii="Arial" w:cs="Arial" w:eastAsia="Arial" w:hAnsi="Arial"/>
                <w:sz w:val="15"/>
                <w:szCs w:val="15"/>
                <w:color w:val="auto"/>
              </w:rPr>
              <w:t>Balance as of December 31, 2017</w:t>
            </w:r>
          </w:p>
        </w:tc>
        <w:tc>
          <w:tcPr>
            <w:tcW w:w="120" w:type="dxa"/>
            <w:vAlign w:val="bottom"/>
          </w:tcPr>
          <w:p>
            <w:pPr>
              <w:spacing w:after="0"/>
              <w:rPr>
                <w:sz w:val="20"/>
                <w:szCs w:val="20"/>
                <w:color w:val="auto"/>
              </w:rPr>
            </w:pPr>
          </w:p>
        </w:tc>
        <w:tc>
          <w:tcPr>
            <w:tcW w:w="580" w:type="dxa"/>
            <w:vAlign w:val="bottom"/>
          </w:tcPr>
          <w:p>
            <w:pPr>
              <w:jc w:val="right"/>
              <w:ind w:right="46"/>
              <w:spacing w:after="0"/>
              <w:rPr>
                <w:sz w:val="20"/>
                <w:szCs w:val="20"/>
                <w:color w:val="auto"/>
              </w:rPr>
            </w:pPr>
            <w:r>
              <w:rPr>
                <w:rFonts w:ascii="Arial" w:cs="Arial" w:eastAsia="Arial" w:hAnsi="Arial"/>
                <w:sz w:val="15"/>
                <w:szCs w:val="15"/>
                <w:color w:val="auto"/>
              </w:rPr>
              <w:t>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6"/>
              <w:spacing w:after="0"/>
              <w:rPr>
                <w:sz w:val="20"/>
                <w:szCs w:val="20"/>
                <w:color w:val="auto"/>
              </w:rPr>
            </w:pPr>
            <w:r>
              <w:rPr>
                <w:rFonts w:ascii="Arial" w:cs="Arial" w:eastAsia="Arial" w:hAnsi="Arial"/>
                <w:sz w:val="15"/>
                <w:szCs w:val="15"/>
                <w:color w:val="auto"/>
              </w:rPr>
              <w:t>1,061.5</w:t>
            </w:r>
          </w:p>
        </w:tc>
        <w:tc>
          <w:tcPr>
            <w:tcW w:w="100" w:type="dxa"/>
            <w:vAlign w:val="bottom"/>
          </w:tcPr>
          <w:p>
            <w:pPr>
              <w:spacing w:after="0"/>
              <w:rPr>
                <w:sz w:val="20"/>
                <w:szCs w:val="20"/>
                <w:color w:val="auto"/>
              </w:rPr>
            </w:pPr>
          </w:p>
        </w:tc>
        <w:tc>
          <w:tcPr>
            <w:tcW w:w="660" w:type="dxa"/>
            <w:vAlign w:val="bottom"/>
          </w:tcPr>
          <w:p>
            <w:pPr>
              <w:jc w:val="right"/>
              <w:ind w:right="26"/>
              <w:spacing w:after="0"/>
              <w:rPr>
                <w:sz w:val="20"/>
                <w:szCs w:val="20"/>
                <w:color w:val="auto"/>
              </w:rPr>
            </w:pPr>
            <w:r>
              <w:rPr>
                <w:rFonts w:ascii="Arial" w:cs="Arial" w:eastAsia="Arial" w:hAnsi="Arial"/>
                <w:sz w:val="15"/>
                <w:szCs w:val="15"/>
                <w:color w:val="auto"/>
              </w:rPr>
              <w:t>1,575.9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(157.4)</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45.4</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(2,430.8)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7"/>
              </w:rPr>
              <w:t>Cumulative effect adjustment upon adoption of new accounting</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standards (ASU 2016-16, ASU 2018-02 and ASC 606)</w:t>
            </w:r>
          </w:p>
        </w:tc>
        <w:tc>
          <w:tcPr>
            <w:tcW w:w="12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16.5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10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64"/>
        </w:trPr>
        <w:tc>
          <w:tcPr>
            <w:tcW w:w="4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360" w:type="dxa"/>
            <w:vAlign w:val="bottom"/>
          </w:tcPr>
          <w:p>
            <w:pPr>
              <w:ind w:left="26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6"/>
              <w:spacing w:after="0"/>
              <w:rPr>
                <w:sz w:val="20"/>
                <w:szCs w:val="20"/>
                <w:color w:val="auto"/>
              </w:rPr>
            </w:pPr>
            <w:r>
              <w:rPr>
                <w:rFonts w:ascii="Arial" w:cs="Arial" w:eastAsia="Arial" w:hAnsi="Arial"/>
                <w:sz w:val="15"/>
                <w:szCs w:val="15"/>
                <w:color w:val="auto"/>
              </w:rPr>
              <w:t>359.0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359.0</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Dividends, $2.43 per share</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(98.2)</w:t>
            </w:r>
          </w:p>
        </w:tc>
        <w:tc>
          <w:tcPr>
            <w:tcW w:w="0" w:type="dxa"/>
            <w:vAlign w:val="bottom"/>
          </w:tcPr>
          <w:p>
            <w:pPr>
              <w:spacing w:after="0"/>
              <w:rPr>
                <w:sz w:val="1"/>
                <w:szCs w:val="1"/>
                <w:color w:val="auto"/>
              </w:rPr>
            </w:pPr>
          </w:p>
        </w:tc>
      </w:tr>
      <w:tr>
        <w:trPr>
          <w:trHeight w:val="256"/>
        </w:trPr>
        <w:tc>
          <w:tcPr>
            <w:tcW w:w="4360" w:type="dxa"/>
            <w:vAlign w:val="bottom"/>
          </w:tcPr>
          <w:p>
            <w:pPr>
              <w:ind w:left="26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3"/>
              </w:rPr>
              <w:t>Pension and post-retirement liability changes, net of tax benefit of</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56"/>
        </w:trPr>
        <w:tc>
          <w:tcPr>
            <w:tcW w:w="4360" w:type="dxa"/>
            <w:vAlign w:val="bottom"/>
          </w:tcPr>
          <w:p>
            <w:pPr>
              <w:ind w:left="260"/>
              <w:spacing w:after="0"/>
              <w:rPr>
                <w:sz w:val="20"/>
                <w:szCs w:val="20"/>
                <w:color w:val="auto"/>
              </w:rPr>
            </w:pPr>
            <w:r>
              <w:rPr>
                <w:rFonts w:ascii="Arial" w:cs="Arial" w:eastAsia="Arial" w:hAnsi="Arial"/>
                <w:sz w:val="15"/>
                <w:szCs w:val="15"/>
                <w:color w:val="auto"/>
              </w:rPr>
              <w:t>Sale of marketable equity securities</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6"/>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26.3</w:t>
            </w:r>
          </w:p>
        </w:tc>
        <w:tc>
          <w:tcPr>
            <w:tcW w:w="0" w:type="dxa"/>
            <w:vAlign w:val="bottom"/>
          </w:tcPr>
          <w:p>
            <w:pPr>
              <w:spacing w:after="0"/>
              <w:rPr>
                <w:sz w:val="1"/>
                <w:szCs w:val="1"/>
                <w:color w:val="auto"/>
              </w:rPr>
            </w:pPr>
          </w:p>
        </w:tc>
      </w:tr>
      <w:tr>
        <w:trPr>
          <w:trHeight w:val="256"/>
        </w:trPr>
        <w:tc>
          <w:tcPr>
            <w:tcW w:w="4360" w:type="dxa"/>
            <w:vAlign w:val="bottom"/>
          </w:tcPr>
          <w:p>
            <w:pPr>
              <w:ind w:left="260"/>
              <w:spacing w:after="0"/>
              <w:rPr>
                <w:sz w:val="20"/>
                <w:szCs w:val="20"/>
                <w:color w:val="auto"/>
              </w:rPr>
            </w:pPr>
            <w:r>
              <w:rPr>
                <w:rFonts w:ascii="Arial" w:cs="Arial" w:eastAsia="Arial" w:hAnsi="Arial"/>
                <w:sz w:val="15"/>
                <w:szCs w:val="15"/>
                <w:color w:val="auto"/>
              </w:rPr>
              <w:t>Change in cash flow hedges, net of tax benefit of $4.7</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840" w:type="dxa"/>
            <w:vAlign w:val="bottom"/>
            <w:gridSpan w:val="3"/>
            <w:shd w:val="clear" w:color="auto" w:fill="CCEEFF"/>
          </w:tcPr>
          <w:p>
            <w:pPr>
              <w:jc w:val="right"/>
              <w:ind w:right="26"/>
              <w:spacing w:after="0"/>
              <w:rPr>
                <w:sz w:val="20"/>
                <w:szCs w:val="20"/>
                <w:color w:val="auto"/>
              </w:rPr>
            </w:pPr>
            <w:r>
              <w:rPr>
                <w:rFonts w:ascii="Arial" w:cs="Arial" w:eastAsia="Arial" w:hAnsi="Arial"/>
                <w:sz w:val="15"/>
                <w:szCs w:val="15"/>
                <w:color w:val="auto"/>
              </w:rPr>
              <w:t>12.4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Treasury stock purchases</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(477.1)</w:t>
            </w: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 as of December 31, 2018</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1,078.8</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1,855.0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(2,895.5)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w:t>
            </w:r>
          </w:p>
        </w:tc>
        <w:tc>
          <w:tcPr>
            <w:tcW w:w="0" w:type="dxa"/>
            <w:vAlign w:val="bottom"/>
          </w:tcPr>
          <w:p>
            <w:pPr>
              <w:spacing w:after="0"/>
              <w:rPr>
                <w:sz w:val="1"/>
                <w:szCs w:val="1"/>
                <w:color w:val="auto"/>
              </w:rPr>
            </w:pPr>
          </w:p>
        </w:tc>
      </w:tr>
      <w:tr>
        <w:trPr>
          <w:trHeight w:val="169"/>
        </w:trPr>
        <w:tc>
          <w:tcPr>
            <w:tcW w:w="4360" w:type="dxa"/>
            <w:vAlign w:val="bottom"/>
          </w:tcPr>
          <w:p>
            <w:pPr>
              <w:ind w:left="260"/>
              <w:spacing w:after="0" w:line="169" w:lineRule="exact"/>
              <w:rPr>
                <w:sz w:val="20"/>
                <w:szCs w:val="20"/>
                <w:color w:val="auto"/>
              </w:rPr>
            </w:pPr>
            <w:r>
              <w:rPr>
                <w:rFonts w:ascii="Arial" w:cs="Arial" w:eastAsia="Arial" w:hAnsi="Arial"/>
                <w:sz w:val="15"/>
                <w:szCs w:val="15"/>
                <w:color w:val="auto"/>
                <w:w w:val="97"/>
              </w:rPr>
              <w:t>Cumulative effect adjustment upon adoption of new accounting</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360" w:type="dxa"/>
            <w:vAlign w:val="bottom"/>
          </w:tcPr>
          <w:p>
            <w:pPr>
              <w:ind w:left="260"/>
              <w:spacing w:after="0"/>
              <w:rPr>
                <w:sz w:val="20"/>
                <w:szCs w:val="20"/>
                <w:color w:val="auto"/>
              </w:rPr>
            </w:pPr>
            <w:r>
              <w:rPr>
                <w:rFonts w:ascii="Arial" w:cs="Arial" w:eastAsia="Arial" w:hAnsi="Arial"/>
                <w:sz w:val="15"/>
                <w:szCs w:val="15"/>
                <w:color w:val="auto"/>
              </w:rPr>
              <w:t>standard (ASC 842)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408.7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408.7</w:t>
            </w:r>
          </w:p>
        </w:tc>
        <w:tc>
          <w:tcPr>
            <w:tcW w:w="0" w:type="dxa"/>
            <w:vAlign w:val="bottom"/>
          </w:tcPr>
          <w:p>
            <w:pPr>
              <w:spacing w:after="0"/>
              <w:rPr>
                <w:sz w:val="1"/>
                <w:szCs w:val="1"/>
                <w:color w:val="auto"/>
              </w:rPr>
            </w:pPr>
          </w:p>
        </w:tc>
      </w:tr>
      <w:tr>
        <w:trPr>
          <w:trHeight w:val="256"/>
        </w:trPr>
        <w:tc>
          <w:tcPr>
            <w:tcW w:w="4360" w:type="dxa"/>
            <w:vAlign w:val="bottom"/>
          </w:tcPr>
          <w:p>
            <w:pPr>
              <w:ind w:left="260"/>
              <w:spacing w:after="0"/>
              <w:rPr>
                <w:sz w:val="20"/>
                <w:szCs w:val="20"/>
                <w:color w:val="auto"/>
              </w:rPr>
            </w:pPr>
            <w:r>
              <w:rPr>
                <w:rFonts w:ascii="Arial" w:cs="Arial" w:eastAsia="Arial" w:hAnsi="Arial"/>
                <w:sz w:val="15"/>
                <w:szCs w:val="15"/>
                <w:color w:val="auto"/>
              </w:rPr>
              <w:t>Dividends, $2.95 per share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(114.7)</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5.8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69"/>
        </w:trPr>
        <w:tc>
          <w:tcPr>
            <w:tcW w:w="4360" w:type="dxa"/>
            <w:vAlign w:val="bottom"/>
          </w:tcPr>
          <w:p>
            <w:pPr>
              <w:ind w:left="260"/>
              <w:spacing w:after="0" w:line="169" w:lineRule="exact"/>
              <w:rPr>
                <w:sz w:val="20"/>
                <w:szCs w:val="20"/>
                <w:color w:val="auto"/>
              </w:rPr>
            </w:pPr>
            <w:r>
              <w:rPr>
                <w:rFonts w:ascii="Arial" w:cs="Arial" w:eastAsia="Arial" w:hAnsi="Arial"/>
                <w:sz w:val="15"/>
                <w:szCs w:val="15"/>
                <w:color w:val="auto"/>
                <w:w w:val="95"/>
              </w:rPr>
              <w:t>Pension and post-retirement liability changes, net of tax expense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60"/>
              <w:spacing w:after="0"/>
              <w:rPr>
                <w:sz w:val="20"/>
                <w:szCs w:val="20"/>
                <w:color w:val="auto"/>
              </w:rPr>
            </w:pPr>
            <w:r>
              <w:rPr>
                <w:rFonts w:ascii="Arial" w:cs="Arial" w:eastAsia="Arial" w:hAnsi="Arial"/>
                <w:sz w:val="15"/>
                <w:szCs w:val="15"/>
                <w:color w:val="auto"/>
              </w:rPr>
              <w:t>of $24.8</w:t>
            </w:r>
          </w:p>
        </w:tc>
        <w:tc>
          <w:tcPr>
            <w:tcW w:w="1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73.0</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73.0</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21.3</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256"/>
        </w:trPr>
        <w:tc>
          <w:tcPr>
            <w:tcW w:w="4360" w:type="dxa"/>
            <w:vAlign w:val="bottom"/>
          </w:tcPr>
          <w:p>
            <w:pPr>
              <w:ind w:left="260"/>
              <w:spacing w:after="0"/>
              <w:rPr>
                <w:sz w:val="20"/>
                <w:szCs w:val="20"/>
                <w:color w:val="auto"/>
              </w:rPr>
            </w:pPr>
            <w:r>
              <w:rPr>
                <w:rFonts w:ascii="Arial" w:cs="Arial" w:eastAsia="Arial" w:hAnsi="Arial"/>
                <w:sz w:val="15"/>
                <w:szCs w:val="15"/>
                <w:color w:val="auto"/>
              </w:rPr>
              <w:t>Change in cash flow hedges, net of tax expense of $2.0</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40" w:type="dxa"/>
            <w:vAlign w:val="bottom"/>
            <w:gridSpan w:val="3"/>
            <w:shd w:val="clear" w:color="auto" w:fill="CCEEFF"/>
          </w:tcPr>
          <w:p>
            <w:pPr>
              <w:jc w:val="right"/>
              <w:ind w:right="26"/>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Treasury stock purchases</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(424.0)</w:t>
            </w: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 as of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1,093.5</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86"/>
              </w:rPr>
              <w:t>$ 2,148.7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(3,309.5)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542" w:right="239" w:bottom="1440" w:gutter="0" w:footer="0" w:header="0"/>
        </w:sectPr>
      </w:pPr>
    </w:p>
    <w:bookmarkStart w:id="38" w:name="page39"/>
    <w:bookmarkEnd w:id="38"/>
    <w:p>
      <w:pPr>
        <w:jc w:val="center"/>
        <w:ind w:left="3500"/>
        <w:spacing w:after="0" w:line="225" w:lineRule="auto"/>
        <w:rPr>
          <w:sz w:val="20"/>
          <w:szCs w:val="20"/>
          <w:color w:val="auto"/>
        </w:rPr>
      </w:pPr>
      <w:r>
        <w:rPr>
          <w:rFonts w:ascii="Arial" w:cs="Arial" w:eastAsia="Arial" w:hAnsi="Arial"/>
          <w:sz w:val="17"/>
          <w:szCs w:val="17"/>
          <w:b w:val="1"/>
          <w:bCs w:val="1"/>
          <w:color w:val="auto"/>
        </w:rPr>
        <w:t>LENNOX INTERNATIONAL INC. AND SUBSIDIARIES CONSOLIDATED STATEMENTS OF CASH FLOWS For the Years Ended December 31, 2019, 2018 and 2017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251700" cy="165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income</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Loss (gain), net on sale of businesses and related property</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Insurance recoveries received for property damage incurred from natural disaster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Income from equity method investments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Dividends from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Restructuring expenses, net of cash paid</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Provision for bad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Unrealized losses (gains), net on derivative contracts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Depreciation and amortization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Pension expense</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Pension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51700" cy="165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Other items, net</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Changes in assets and liabilities, net of effects of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Accounts and notes receivable</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Other current assets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Accrued expenses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Income taxes payable and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Leases, net</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Proceeds from the disposal of property, plant and equipment</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Purchases of short-term investments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proceeds from sale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Insurance recoveries received for property damage incurred from natural disaster</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60960</wp:posOffset>
            </wp:positionV>
            <wp:extent cx="7251700" cy="165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 from financing activities: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Short-term debt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Short-term debt proceeds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Asset securitization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Asset securitization payments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Long-term debt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Borrowings from credit facility</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Payments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Payments of deferred financing costs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Proceeds from employee stock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Repurchases of common stock</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Repurchases of common stock to satisfy employee withholding tax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Cash dividends paid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60960</wp:posOffset>
            </wp:positionV>
            <wp:extent cx="7251700" cy="165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(Decrease) increase in cash and cash equivalents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beginning of year</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60960</wp:posOffset>
            </wp:positionV>
            <wp:extent cx="7251700" cy="132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700" cy="13208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Cash paid during the year for:</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Interest,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58420</wp:posOffset>
            </wp:positionV>
            <wp:extent cx="7251700" cy="165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Income taxes (net of refunds)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Insurance recoveries received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800" w:type="dxa"/>
            <w:vAlign w:val="bottom"/>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91"/>
              <w:spacing w:after="0"/>
              <w:rPr>
                <w:sz w:val="20"/>
                <w:szCs w:val="20"/>
                <w:color w:val="auto"/>
              </w:rPr>
            </w:pPr>
            <w:r>
              <w:rPr>
                <w:rFonts w:ascii="Arial" w:cs="Arial" w:eastAsia="Arial" w:hAnsi="Arial"/>
                <w:sz w:val="14"/>
                <w:szCs w:val="14"/>
                <w:b w:val="1"/>
                <w:bCs w:val="1"/>
                <w:color w:val="auto"/>
              </w:rPr>
              <w:t>2017</w:t>
            </w:r>
          </w:p>
        </w:tc>
      </w:tr>
      <w:tr>
        <w:trPr>
          <w:trHeight w:val="51"/>
        </w:trPr>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489"/>
        </w:trPr>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408.7</w:t>
            </w:r>
          </w:p>
        </w:tc>
        <w:tc>
          <w:tcPr>
            <w:tcW w:w="120" w:type="dxa"/>
            <w:vAlign w:val="bottom"/>
          </w:tcPr>
          <w:p>
            <w:pPr>
              <w:spacing w:after="0"/>
              <w:rPr>
                <w:sz w:val="24"/>
                <w:szCs w:val="24"/>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359.0</w:t>
            </w:r>
          </w:p>
        </w:tc>
        <w:tc>
          <w:tcPr>
            <w:tcW w:w="100" w:type="dxa"/>
            <w:vAlign w:val="bottom"/>
          </w:tcPr>
          <w:p>
            <w:pPr>
              <w:spacing w:after="0"/>
              <w:rPr>
                <w:sz w:val="24"/>
                <w:szCs w:val="24"/>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305.7</w:t>
            </w:r>
          </w:p>
        </w:tc>
      </w:tr>
      <w:tr>
        <w:trPr>
          <w:trHeight w:val="521"/>
        </w:trPr>
        <w:tc>
          <w:tcPr>
            <w:tcW w:w="240" w:type="dxa"/>
            <w:vAlign w:val="bottom"/>
          </w:tcPr>
          <w:p>
            <w:pPr>
              <w:spacing w:after="0"/>
              <w:rPr>
                <w:sz w:val="24"/>
                <w:szCs w:val="24"/>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1.1</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14.7</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0.8</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3.9</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24.9</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64.6</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43.3</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5.3</w:t>
            </w:r>
          </w:p>
        </w:tc>
      </w:tr>
      <w:tr>
        <w:trPr>
          <w:trHeight w:val="195"/>
        </w:trPr>
        <w:tc>
          <w:tcPr>
            <w:tcW w:w="24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1.3</w:t>
            </w:r>
          </w:p>
        </w:tc>
      </w:tr>
      <w:tr>
        <w:trPr>
          <w:trHeight w:val="521"/>
        </w:trPr>
        <w:tc>
          <w:tcPr>
            <w:tcW w:w="24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(56.4)</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0.3</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66"/>
        </w:trPr>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0.3</w:t>
            </w:r>
          </w:p>
        </w:tc>
      </w:tr>
      <w:tr>
        <w:trPr>
          <w:trHeight w:val="234"/>
        </w:trPr>
        <w:tc>
          <w:tcPr>
            <w:tcW w:w="24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396.1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495.5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325.1</w:t>
            </w:r>
          </w:p>
        </w:tc>
      </w:tr>
      <w:tr>
        <w:trPr>
          <w:trHeight w:val="521"/>
        </w:trPr>
        <w:tc>
          <w:tcPr>
            <w:tcW w:w="240" w:type="dxa"/>
            <w:vAlign w:val="bottom"/>
          </w:tcPr>
          <w:p>
            <w:pPr>
              <w:spacing w:after="0"/>
              <w:rPr>
                <w:sz w:val="24"/>
                <w:szCs w:val="24"/>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0.2</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(105.6)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(95.2)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(98.3)</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114.7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66"/>
        </w:trPr>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r>
      <w:tr>
        <w:trPr>
          <w:trHeight w:val="234"/>
        </w:trPr>
        <w:tc>
          <w:tcPr>
            <w:tcW w:w="24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(98.1)</w:t>
            </w:r>
          </w:p>
        </w:tc>
      </w:tr>
      <w:tr>
        <w:trPr>
          <w:trHeight w:val="521"/>
        </w:trPr>
        <w:tc>
          <w:tcPr>
            <w:tcW w:w="24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30.4</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184.5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315.0</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(167.5)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(89.0)</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(200.9)</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2,367.0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2,435.9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2,376.5</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(2,269.5)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(2,395.0)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(2,265.5)</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3.1</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(450.2)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(250.0)</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(26.1)</w:t>
            </w:r>
          </w:p>
        </w:tc>
      </w:tr>
      <w:tr>
        <w:trPr>
          <w:trHeight w:val="266"/>
        </w:trPr>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(110.5)</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w:t>
            </w:r>
          </w:p>
        </w:tc>
      </w:tr>
      <w:tr>
        <w:trPr>
          <w:trHeight w:val="234"/>
        </w:trPr>
        <w:tc>
          <w:tcPr>
            <w:tcW w:w="24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(423.4)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(537.8)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(218.3)</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8.7</w:t>
            </w:r>
          </w:p>
        </w:tc>
      </w:tr>
      <w:tr>
        <w:trPr>
          <w:trHeight w:val="260"/>
        </w:trPr>
        <w:tc>
          <w:tcPr>
            <w:tcW w:w="2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9.3</w:t>
            </w:r>
          </w:p>
        </w:tc>
      </w:tr>
      <w:tr>
        <w:trPr>
          <w:trHeight w:val="266"/>
        </w:trPr>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50.2</w:t>
            </w:r>
          </w:p>
        </w:tc>
      </w:tr>
      <w:tr>
        <w:trPr>
          <w:trHeight w:val="227"/>
        </w:trPr>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68.2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32.4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119.3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243.2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124.3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840" w:space="240"/>
            <w:col w:w="3300"/>
          </w:cols>
          <w:pgMar w:left="280" w:top="707" w:right="239" w:bottom="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9019"/>
          </w:cols>
          <w:pgMar w:left="1440" w:top="174"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019"/>
          </w:cols>
          <w:pgMar w:left="1440" w:top="174" w:right="1440"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LENNOX INTERNATIONAL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Operations:</w:t>
      </w:r>
    </w:p>
    <w:p>
      <w:pPr>
        <w:spacing w:after="0" w:line="209"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Lennox International Inc., a Delaware corporation, through its subsidiaries (referred to herein as “we,” “our,” “us,” “LII,” or the “Company”), is a leading global provider of climate control solutions. We design, manufacture, market and service a broad range of products for the heating, ventilation, air conditioning and refrigeration (“HVACR”) markets and sell our products and services through a combination of direct sales, distributors and company-owned parts and supplies stores. We operate in three reportable business segments: Residential Heating &amp; Cooling, Commercial Heating &amp; Cooling, and Refrigeration. See Note 3 for financial information regarding our reportable segments.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The consolidated financial statements include the accounts of Lennox International Inc. and our majority-owned subsidiaries. All intercompany transactions, profits and balances have been eliminated.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We consider all highly liquid temporary investments with original maturity dates of three months or less to be cash equivalents. Cash and cash equivalents consisted primarily of bank deposits.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 term Investments</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Short-term investments include all investments, exclusive of cash equivalents, with a stated maturity date of one year or less from the balance sheet date and are expected to be used in current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and Notes Receivable</w:t>
      </w:r>
    </w:p>
    <w:p>
      <w:pPr>
        <w:spacing w:after="0" w:line="221" w:lineRule="exact"/>
        <w:rPr>
          <w:sz w:val="20"/>
          <w:szCs w:val="20"/>
          <w:color w:val="auto"/>
        </w:rPr>
      </w:pPr>
    </w:p>
    <w:p>
      <w:pPr>
        <w:jc w:val="both"/>
        <w:ind w:firstLine="221"/>
        <w:spacing w:after="0" w:line="261" w:lineRule="auto"/>
        <w:rPr>
          <w:sz w:val="20"/>
          <w:szCs w:val="20"/>
          <w:color w:val="auto"/>
        </w:rPr>
      </w:pPr>
      <w:r>
        <w:rPr>
          <w:rFonts w:ascii="Arial" w:cs="Arial" w:eastAsia="Arial" w:hAnsi="Arial"/>
          <w:sz w:val="17"/>
          <w:szCs w:val="17"/>
          <w:color w:val="auto"/>
        </w:rPr>
        <w:t>Accounts and notes receivable are shown in the accompanying Consolidated Balance Sheet, net of allowance for doubtful accounts. The allowance for doubtful accounts is generally established during the period in which receivables are recognized and is based on the age of the receivables and management’s judgment on our ability to collect. Management considers the historical trends of write-offs and recoveries of previously written-off accounts, the financial strength of customers and projected economic and market conditions. We determine the delinquency status of receivables predominantly based on contractual terms and we write-off uncollectible receivables after management’s review of our ability to collect, as noted above. We have no significant concentrations of credit risk within our accounts and notes receivable.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221" w:lineRule="exact"/>
        <w:rPr>
          <w:sz w:val="20"/>
          <w:szCs w:val="20"/>
          <w:color w:val="auto"/>
        </w:rPr>
      </w:pPr>
    </w:p>
    <w:p>
      <w:pPr>
        <w:jc w:val="both"/>
        <w:ind w:firstLine="221"/>
        <w:spacing w:after="0" w:line="295" w:lineRule="auto"/>
        <w:rPr>
          <w:sz w:val="20"/>
          <w:szCs w:val="20"/>
          <w:color w:val="auto"/>
        </w:rPr>
      </w:pPr>
      <w:r>
        <w:rPr>
          <w:rFonts w:ascii="Arial" w:cs="Arial" w:eastAsia="Arial" w:hAnsi="Arial"/>
          <w:sz w:val="16"/>
          <w:szCs w:val="16"/>
          <w:color w:val="auto"/>
        </w:rPr>
        <w:t>Inventory costs include material, labor, depreciation and plant overhead. Inventories of $360.7 million and $343.5 million as of December 31, 2019 and 2018, respectively, were valued at the lower of cost or net realizable value using the last-in, first-out (“LIFO”) cost method. The remainder of inventory is valued at the lower of cost or net realizable value with cost determined primarily using either the first-in, first-out (“FIFO”) or average cost methods.</w:t>
      </w:r>
    </w:p>
    <w:p>
      <w:pPr>
        <w:spacing w:after="0" w:line="155" w:lineRule="exact"/>
        <w:rPr>
          <w:sz w:val="20"/>
          <w:szCs w:val="20"/>
          <w:color w:val="auto"/>
        </w:rPr>
      </w:pPr>
    </w:p>
    <w:p>
      <w:pPr>
        <w:jc w:val="both"/>
        <w:ind w:firstLine="221"/>
        <w:spacing w:after="0" w:line="263" w:lineRule="auto"/>
        <w:rPr>
          <w:sz w:val="20"/>
          <w:szCs w:val="20"/>
          <w:color w:val="auto"/>
        </w:rPr>
      </w:pPr>
      <w:r>
        <w:rPr>
          <w:rFonts w:ascii="Arial" w:cs="Arial" w:eastAsia="Arial" w:hAnsi="Arial"/>
          <w:sz w:val="17"/>
          <w:szCs w:val="17"/>
          <w:color w:val="auto"/>
        </w:rPr>
        <w:t>We elected to use the LIFO cost method for our domestic manufacturing companies in 1974 and continued to elect the LIFO cost method for new operations through the late 1980s. The types of inventory costs that use LIFO include raw materials, purchased components, work-in-process, repair parts and finished goods. Since the late 1990s, we have adopted the FIFO cost method for all new domestic manufacturing operations (primarily acquisitions). Our operating entities with a previous LIFO election continue to use the LIFO cost method. We use the FIFO cost method for our foreign-based manufacturing facilities. See Note 10 for more information on our inventories.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Property, plant and equipment is stated at cost, net of accumulated depreciation. Expenditures that increase the utility or extend the useful lives of fixed assets are capitalized while expenditures for maintenance and repairs are charged to expense as incurred.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538" w:right="239" w:bottom="1440" w:gutter="0" w:footer="0" w:header="0"/>
        </w:sectPr>
      </w:pPr>
    </w:p>
    <w:bookmarkStart w:id="41" w:name="page42"/>
    <w:bookmarkEnd w:id="41"/>
    <w:p>
      <w:pPr>
        <w:ind w:left="240"/>
        <w:spacing w:after="0"/>
        <w:rPr>
          <w:sz w:val="20"/>
          <w:szCs w:val="20"/>
          <w:color w:val="auto"/>
        </w:rPr>
      </w:pPr>
      <w:r>
        <w:rPr>
          <w:rFonts w:ascii="Arial" w:cs="Arial" w:eastAsia="Arial" w:hAnsi="Arial"/>
          <w:sz w:val="17"/>
          <w:szCs w:val="17"/>
          <w:color w:val="auto"/>
        </w:rPr>
        <w:t>Depreciation is computed using the straight-line method over the following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98425</wp:posOffset>
            </wp:positionV>
            <wp:extent cx="6805295" cy="165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5295" cy="165100"/>
                    </a:xfrm>
                    <a:prstGeom prst="rect">
                      <a:avLst/>
                    </a:prstGeom>
                    <a:noFill/>
                  </pic:spPr>
                </pic:pic>
              </a:graphicData>
            </a:graphic>
          </wp:anchor>
        </w:drawing>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Buildings and improvements:</w:t>
      </w:r>
    </w:p>
    <w:p>
      <w:pPr>
        <w:spacing w:after="0" w:line="65" w:lineRule="exact"/>
        <w:rPr>
          <w:sz w:val="20"/>
          <w:szCs w:val="20"/>
          <w:color w:val="auto"/>
        </w:rPr>
      </w:pPr>
    </w:p>
    <w:tbl>
      <w:tblPr>
        <w:tblLayout w:type="fixed"/>
        <w:tblInd w:w="360" w:type="dxa"/>
        <w:tblCellMar>
          <w:top w:w="0" w:type="dxa"/>
          <w:left w:w="0" w:type="dxa"/>
          <w:bottom w:w="0" w:type="dxa"/>
          <w:right w:w="0" w:type="dxa"/>
        </w:tblCellMar>
      </w:tblPr>
      <w:tr>
        <w:trPr>
          <w:trHeight w:val="221"/>
        </w:trPr>
        <w:tc>
          <w:tcPr>
            <w:tcW w:w="6340" w:type="dxa"/>
            <w:vAlign w:val="bottom"/>
          </w:tcPr>
          <w:p>
            <w:pPr>
              <w:ind w:left="260"/>
              <w:spacing w:after="0"/>
              <w:rPr>
                <w:sz w:val="20"/>
                <w:szCs w:val="20"/>
                <w:color w:val="auto"/>
              </w:rPr>
            </w:pPr>
            <w:r>
              <w:rPr>
                <w:rFonts w:ascii="Arial" w:cs="Arial" w:eastAsia="Arial" w:hAnsi="Arial"/>
                <w:sz w:val="17"/>
                <w:szCs w:val="17"/>
                <w:color w:val="auto"/>
              </w:rPr>
              <w:t>Buildings and improvements</w:t>
            </w:r>
          </w:p>
        </w:tc>
        <w:tc>
          <w:tcPr>
            <w:tcW w:w="4380" w:type="dxa"/>
            <w:vAlign w:val="bottom"/>
          </w:tcPr>
          <w:p>
            <w:pPr>
              <w:jc w:val="right"/>
              <w:spacing w:after="0"/>
              <w:rPr>
                <w:sz w:val="20"/>
                <w:szCs w:val="20"/>
                <w:color w:val="auto"/>
              </w:rPr>
            </w:pPr>
            <w:r>
              <w:rPr>
                <w:rFonts w:ascii="Arial" w:cs="Arial" w:eastAsia="Arial" w:hAnsi="Arial"/>
                <w:sz w:val="17"/>
                <w:szCs w:val="17"/>
                <w:color w:val="auto"/>
              </w:rPr>
              <w:t>2 to 40 years</w:t>
            </w:r>
          </w:p>
        </w:tc>
      </w:tr>
      <w:tr>
        <w:trPr>
          <w:trHeight w:val="26"/>
        </w:trPr>
        <w:tc>
          <w:tcPr>
            <w:tcW w:w="63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4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Leasehold improvements</w:t>
            </w:r>
          </w:p>
        </w:tc>
        <w:tc>
          <w:tcPr>
            <w:tcW w:w="4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 to 39 years</w:t>
            </w:r>
          </w:p>
        </w:tc>
      </w:tr>
      <w:tr>
        <w:trPr>
          <w:trHeight w:val="234"/>
        </w:trPr>
        <w:tc>
          <w:tcPr>
            <w:tcW w:w="634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4380" w:type="dxa"/>
            <w:vAlign w:val="bottom"/>
          </w:tcPr>
          <w:p>
            <w:pPr>
              <w:spacing w:after="0"/>
              <w:rPr>
                <w:sz w:val="20"/>
                <w:szCs w:val="20"/>
                <w:color w:val="auto"/>
              </w:rPr>
            </w:pPr>
          </w:p>
        </w:tc>
      </w:tr>
      <w:tr>
        <w:trPr>
          <w:trHeight w:val="26"/>
        </w:trPr>
        <w:tc>
          <w:tcPr>
            <w:tcW w:w="63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4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Computer hardware</w:t>
            </w:r>
          </w:p>
        </w:tc>
        <w:tc>
          <w:tcPr>
            <w:tcW w:w="4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 to 5 years</w:t>
            </w:r>
          </w:p>
        </w:tc>
      </w:tr>
      <w:tr>
        <w:trPr>
          <w:trHeight w:val="234"/>
        </w:trPr>
        <w:tc>
          <w:tcPr>
            <w:tcW w:w="6340" w:type="dxa"/>
            <w:vAlign w:val="bottom"/>
          </w:tcPr>
          <w:p>
            <w:pPr>
              <w:ind w:left="260"/>
              <w:spacing w:after="0"/>
              <w:rPr>
                <w:sz w:val="20"/>
                <w:szCs w:val="20"/>
                <w:color w:val="auto"/>
              </w:rPr>
            </w:pPr>
            <w:r>
              <w:rPr>
                <w:rFonts w:ascii="Arial" w:cs="Arial" w:eastAsia="Arial" w:hAnsi="Arial"/>
                <w:sz w:val="17"/>
                <w:szCs w:val="17"/>
                <w:color w:val="auto"/>
              </w:rPr>
              <w:t>Computer software</w:t>
            </w:r>
          </w:p>
        </w:tc>
        <w:tc>
          <w:tcPr>
            <w:tcW w:w="4380" w:type="dxa"/>
            <w:vAlign w:val="bottom"/>
          </w:tcPr>
          <w:p>
            <w:pPr>
              <w:jc w:val="right"/>
              <w:spacing w:after="0"/>
              <w:rPr>
                <w:sz w:val="20"/>
                <w:szCs w:val="20"/>
                <w:color w:val="auto"/>
              </w:rPr>
            </w:pPr>
            <w:r>
              <w:rPr>
                <w:rFonts w:ascii="Arial" w:cs="Arial" w:eastAsia="Arial" w:hAnsi="Arial"/>
                <w:sz w:val="17"/>
                <w:szCs w:val="17"/>
                <w:color w:val="auto"/>
              </w:rPr>
              <w:t>3 to 10 years</w:t>
            </w:r>
          </w:p>
        </w:tc>
      </w:tr>
      <w:tr>
        <w:trPr>
          <w:trHeight w:val="26"/>
        </w:trPr>
        <w:tc>
          <w:tcPr>
            <w:tcW w:w="63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4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Factory machinery and equipment</w:t>
            </w:r>
          </w:p>
        </w:tc>
        <w:tc>
          <w:tcPr>
            <w:tcW w:w="4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 to 15 years</w:t>
            </w:r>
          </w:p>
        </w:tc>
      </w:tr>
      <w:tr>
        <w:trPr>
          <w:trHeight w:val="234"/>
        </w:trPr>
        <w:tc>
          <w:tcPr>
            <w:tcW w:w="6340" w:type="dxa"/>
            <w:vAlign w:val="bottom"/>
          </w:tcPr>
          <w:p>
            <w:pPr>
              <w:ind w:left="260"/>
              <w:spacing w:after="0"/>
              <w:rPr>
                <w:sz w:val="20"/>
                <w:szCs w:val="20"/>
                <w:color w:val="auto"/>
              </w:rPr>
            </w:pPr>
            <w:r>
              <w:rPr>
                <w:rFonts w:ascii="Arial" w:cs="Arial" w:eastAsia="Arial" w:hAnsi="Arial"/>
                <w:sz w:val="17"/>
                <w:szCs w:val="17"/>
                <w:color w:val="auto"/>
              </w:rPr>
              <w:t>Research and development equipment</w:t>
            </w:r>
          </w:p>
        </w:tc>
        <w:tc>
          <w:tcPr>
            <w:tcW w:w="4380" w:type="dxa"/>
            <w:vAlign w:val="bottom"/>
          </w:tcPr>
          <w:p>
            <w:pPr>
              <w:jc w:val="right"/>
              <w:spacing w:after="0"/>
              <w:rPr>
                <w:sz w:val="20"/>
                <w:szCs w:val="20"/>
                <w:color w:val="auto"/>
              </w:rPr>
            </w:pPr>
            <w:r>
              <w:rPr>
                <w:rFonts w:ascii="Arial" w:cs="Arial" w:eastAsia="Arial" w:hAnsi="Arial"/>
                <w:sz w:val="17"/>
                <w:szCs w:val="17"/>
                <w:color w:val="auto"/>
              </w:rPr>
              <w:t>3 to 10 years</w:t>
            </w:r>
          </w:p>
        </w:tc>
      </w:tr>
      <w:tr>
        <w:trPr>
          <w:trHeight w:val="26"/>
        </w:trPr>
        <w:tc>
          <w:tcPr>
            <w:tcW w:w="634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4"/>
        </w:trPr>
        <w:tc>
          <w:tcPr>
            <w:tcW w:w="63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Vehicles</w:t>
            </w:r>
          </w:p>
        </w:tc>
        <w:tc>
          <w:tcPr>
            <w:tcW w:w="4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to 10 years</w:t>
            </w:r>
          </w:p>
        </w:tc>
      </w:tr>
      <w:tr>
        <w:trPr>
          <w:trHeight w:val="26"/>
        </w:trPr>
        <w:tc>
          <w:tcPr>
            <w:tcW w:w="634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ind w:firstLine="221"/>
        <w:spacing w:after="0" w:line="263" w:lineRule="auto"/>
        <w:rPr>
          <w:sz w:val="20"/>
          <w:szCs w:val="20"/>
          <w:color w:val="auto"/>
        </w:rPr>
      </w:pPr>
      <w:r>
        <w:rPr>
          <w:rFonts w:ascii="Arial" w:cs="Arial" w:eastAsia="Arial" w:hAnsi="Arial"/>
          <w:sz w:val="17"/>
          <w:szCs w:val="17"/>
          <w:color w:val="auto"/>
        </w:rPr>
        <w:t>We periodically review long-lived assets for impairment as events or changes in circumstances indicate that the carrying amount of such assets might not be recoverable. To assess recoverability, we compare the estimated expected future undiscounted cash flows identified with each long-lived asset or related asset group to the carrying amount of such assets. If the expected future cash flows do not exceed the carrying value of the asset or assets being reviewed, an impairment loss is recognized based on the excess of the carrying amount of the impaired assets over their fair value. See Note 10 for additional information on our property, plant and equipment.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Goodwill represents the excess of cost over fair value of assets from acquired businesses. Goodwill is not amortized, but is reviewed for impairment annually and whenever events or changes in circumstances indicate the asset may be impaired. See Note 10 for additional information on our goodwill.</w:t>
      </w:r>
    </w:p>
    <w:p>
      <w:pPr>
        <w:spacing w:after="0" w:line="159"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The provisions of the accounting standard for goodwill allow us to first assess qualitative factors to determine whether it is necessary to perform a quantitative goodwill impairment test. As part of our qualitative assessment, we monitor economic, legal, regulatory and other factors, industry trends, our market capitalization, recent and forecasted financial performance of our reporting units and the timing and nature of our restructuring activities for LII as a whole and for each reporting unit.</w:t>
      </w:r>
    </w:p>
    <w:p>
      <w:pPr>
        <w:spacing w:after="0" w:line="175" w:lineRule="exact"/>
        <w:rPr>
          <w:sz w:val="20"/>
          <w:szCs w:val="20"/>
          <w:color w:val="auto"/>
        </w:rPr>
      </w:pPr>
    </w:p>
    <w:p>
      <w:pPr>
        <w:jc w:val="both"/>
        <w:ind w:firstLine="234"/>
        <w:spacing w:after="0" w:line="260" w:lineRule="auto"/>
        <w:rPr>
          <w:sz w:val="20"/>
          <w:szCs w:val="20"/>
          <w:color w:val="auto"/>
        </w:rPr>
      </w:pPr>
      <w:r>
        <w:rPr>
          <w:rFonts w:ascii="Arial" w:cs="Arial" w:eastAsia="Arial" w:hAnsi="Arial"/>
          <w:sz w:val="17"/>
          <w:szCs w:val="17"/>
          <w:color w:val="auto"/>
        </w:rPr>
        <w:t>If a quantitative goodwill impairment test is determined to be necessary, we estimate reporting unit fair values using a combination of the discounted cash flow approach and a market approach. The discounted cash flows used to estimate fair value are based on assumptions regarding each reporting unit’s estimated projected future cash flows and the estimated weighted-average cost of capital that a market participant would use in evaluating the reporting unit in a purchase transaction. The estimated weighted-average cost of capital is based on the risk-free interest rate and other factors such as equity risk premiums and the ratio of total debt to equity capital. In performing these impairment tests, we take steps to ensure that appropriate and reasonable cash flow projections and assumptions are used. We reconcile our estimated enterprise value to our market capitalization and determine the reasonableness of the cost of capital used by comparing to market data. We also perform sensitivity analyses on the key assumptions used, such as the weighted-average cost of capital and terminal growth rates. The market approach is based on objective evidence of market values.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amortize intangible assets and other assets with finite lives over their respective estimated useful lives to their estimated residual values, as follows:</w:t>
      </w:r>
    </w:p>
    <w:p>
      <w:pPr>
        <w:spacing w:after="0" w:line="167"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20" w:type="dxa"/>
            <w:vAlign w:val="bottom"/>
            <w:gridSpan w:val="2"/>
          </w:tcPr>
          <w:p>
            <w:pPr>
              <w:spacing w:after="0"/>
              <w:rPr>
                <w:sz w:val="20"/>
                <w:szCs w:val="20"/>
                <w:color w:val="auto"/>
              </w:rPr>
            </w:pPr>
            <w:r>
              <w:rPr>
                <w:rFonts w:ascii="Arial" w:cs="Arial" w:eastAsia="Arial" w:hAnsi="Arial"/>
                <w:sz w:val="17"/>
                <w:szCs w:val="17"/>
                <w:b w:val="1"/>
                <w:bCs w:val="1"/>
                <w:color w:val="auto"/>
              </w:rPr>
              <w:t>Asset</w:t>
            </w:r>
          </w:p>
        </w:tc>
        <w:tc>
          <w:tcPr>
            <w:tcW w:w="5560" w:type="dxa"/>
            <w:vAlign w:val="bottom"/>
            <w:gridSpan w:val="3"/>
          </w:tcPr>
          <w:p>
            <w:pPr>
              <w:ind w:left="700"/>
              <w:spacing w:after="0"/>
              <w:rPr>
                <w:sz w:val="20"/>
                <w:szCs w:val="20"/>
                <w:color w:val="auto"/>
              </w:rPr>
            </w:pPr>
            <w:r>
              <w:rPr>
                <w:rFonts w:ascii="Arial" w:cs="Arial" w:eastAsia="Arial" w:hAnsi="Arial"/>
                <w:sz w:val="17"/>
                <w:szCs w:val="17"/>
                <w:b w:val="1"/>
                <w:bCs w:val="1"/>
                <w:color w:val="auto"/>
              </w:rPr>
              <w:t>Useful Life</w:t>
            </w:r>
          </w:p>
        </w:tc>
      </w:tr>
      <w:tr>
        <w:trPr>
          <w:trHeight w:val="45"/>
        </w:trPr>
        <w:tc>
          <w:tcPr>
            <w:tcW w:w="2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4040" w:type="dxa"/>
            <w:vAlign w:val="bottom"/>
          </w:tcPr>
          <w:p>
            <w:pPr>
              <w:spacing w:after="0"/>
              <w:rPr>
                <w:sz w:val="3"/>
                <w:szCs w:val="3"/>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Deferred financing costs</w:t>
            </w:r>
          </w:p>
        </w:tc>
        <w:tc>
          <w:tcPr>
            <w:tcW w:w="55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7"/>
                <w:szCs w:val="17"/>
                <w:color w:val="auto"/>
              </w:rPr>
              <w:t>Effective interest method</w:t>
            </w:r>
          </w:p>
        </w:tc>
      </w:tr>
      <w:tr>
        <w:trPr>
          <w:trHeight w:val="234"/>
        </w:trPr>
        <w:tc>
          <w:tcPr>
            <w:tcW w:w="2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auto"/>
              </w:rPr>
              <w:t>Customer relationships</w:t>
            </w:r>
          </w:p>
        </w:tc>
        <w:tc>
          <w:tcPr>
            <w:tcW w:w="5560" w:type="dxa"/>
            <w:vAlign w:val="bottom"/>
            <w:gridSpan w:val="3"/>
          </w:tcPr>
          <w:p>
            <w:pPr>
              <w:ind w:left="700"/>
              <w:spacing w:after="0"/>
              <w:rPr>
                <w:sz w:val="20"/>
                <w:szCs w:val="20"/>
                <w:color w:val="auto"/>
              </w:rPr>
            </w:pPr>
            <w:r>
              <w:rPr>
                <w:rFonts w:ascii="Arial" w:cs="Arial" w:eastAsia="Arial" w:hAnsi="Arial"/>
                <w:sz w:val="17"/>
                <w:szCs w:val="17"/>
                <w:color w:val="auto"/>
              </w:rPr>
              <w:t>Straight-line method up to 12 years</w:t>
            </w:r>
          </w:p>
        </w:tc>
      </w:tr>
      <w:tr>
        <w:trPr>
          <w:trHeight w:val="26"/>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34"/>
        </w:trPr>
        <w:tc>
          <w:tcPr>
            <w:tcW w:w="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Patents and others</w:t>
            </w:r>
          </w:p>
        </w:tc>
        <w:tc>
          <w:tcPr>
            <w:tcW w:w="5560" w:type="dxa"/>
            <w:vAlign w:val="bottom"/>
            <w:gridSpan w:val="3"/>
            <w:shd w:val="clear" w:color="auto" w:fill="CCEEFF"/>
          </w:tcPr>
          <w:p>
            <w:pPr>
              <w:ind w:left="700"/>
              <w:spacing w:after="0"/>
              <w:rPr>
                <w:sz w:val="20"/>
                <w:szCs w:val="20"/>
                <w:color w:val="auto"/>
              </w:rPr>
            </w:pPr>
            <w:r>
              <w:rPr>
                <w:rFonts w:ascii="Arial" w:cs="Arial" w:eastAsia="Arial" w:hAnsi="Arial"/>
                <w:sz w:val="17"/>
                <w:szCs w:val="17"/>
                <w:color w:val="auto"/>
              </w:rPr>
              <w:t>Straight-line method up to 20 years</w:t>
            </w:r>
          </w:p>
        </w:tc>
      </w:tr>
      <w:tr>
        <w:trPr>
          <w:trHeight w:val="26"/>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221"/>
        <w:spacing w:after="0" w:line="312" w:lineRule="auto"/>
        <w:rPr>
          <w:sz w:val="20"/>
          <w:szCs w:val="20"/>
          <w:color w:val="auto"/>
        </w:rPr>
      </w:pPr>
      <w:r>
        <w:rPr>
          <w:rFonts w:ascii="Arial" w:cs="Arial" w:eastAsia="Arial" w:hAnsi="Arial"/>
          <w:sz w:val="15"/>
          <w:szCs w:val="15"/>
          <w:color w:val="auto"/>
        </w:rPr>
        <w:t>We periodically review intangible assets with estimable useful lives for impairment as events or changes in circumstances indicate that the carrying amount of such assets might not be recoverable. We assess recoverability by comparing the estimated expected undiscounted future cash flows identified with each intangible asset or related asset group to the carrying amount of such assets. If the expected future cash flows do not exceed the carrying value of the asset or assets being reviewed, an impairment loss is recognized based on the excess of the carrying amount of the impaired assets over their fair value. In assessing the fair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752" w:right="239" w:bottom="1440" w:gutter="0" w:footer="0" w:header="0"/>
        </w:sectPr>
      </w:pPr>
    </w:p>
    <w:bookmarkStart w:id="42" w:name="page43"/>
    <w:bookmarkEnd w:id="42"/>
    <w:p>
      <w:pPr>
        <w:jc w:val="both"/>
        <w:spacing w:after="0" w:line="271" w:lineRule="auto"/>
        <w:rPr>
          <w:sz w:val="20"/>
          <w:szCs w:val="20"/>
          <w:color w:val="auto"/>
        </w:rPr>
      </w:pPr>
      <w:r>
        <w:rPr>
          <w:rFonts w:ascii="Arial" w:cs="Arial" w:eastAsia="Arial" w:hAnsi="Arial"/>
          <w:sz w:val="17"/>
          <w:szCs w:val="17"/>
          <w:color w:val="auto"/>
        </w:rPr>
        <w:t>value of these intangible assets, we must make assumptions that a market participant would make regarding estimated future cash flows and other factors to determine the fair value of the respective assets. If these estimates or the related assumptions change, we may be required to record impairment charges for these assets in the future.</w:t>
      </w:r>
    </w:p>
    <w:p>
      <w:pPr>
        <w:spacing w:after="0" w:line="17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We review our indefinite-lived intangible assets for impairment annually in the fourth quarter and whenever events or changes in circumstances indicate the asset may be impaired. The provisions of the accounting standard for indefinite-lived intangible assets allow us to first assess qualitative factors to determine whether it is necessary to perform a quantitative impairment test. As part of our qualitative assessment, we monitor economic, legal, regulatory and other factors, industry trends, recent and forecasted financial performance of our reporting units and the timing and nature of our restructuring activities for LII as a whole and as they relate to the fair value of the assets.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Warranties</w:t>
      </w:r>
    </w:p>
    <w:p>
      <w:pPr>
        <w:spacing w:after="0" w:line="221" w:lineRule="exact"/>
        <w:rPr>
          <w:sz w:val="20"/>
          <w:szCs w:val="20"/>
          <w:color w:val="auto"/>
        </w:rPr>
      </w:pPr>
    </w:p>
    <w:p>
      <w:pPr>
        <w:jc w:val="both"/>
        <w:ind w:firstLine="234"/>
        <w:spacing w:after="0" w:line="277" w:lineRule="auto"/>
        <w:rPr>
          <w:sz w:val="20"/>
          <w:szCs w:val="20"/>
          <w:color w:val="auto"/>
        </w:rPr>
      </w:pPr>
      <w:r>
        <w:rPr>
          <w:rFonts w:ascii="Arial" w:cs="Arial" w:eastAsia="Arial" w:hAnsi="Arial"/>
          <w:sz w:val="16"/>
          <w:szCs w:val="16"/>
          <w:color w:val="auto"/>
        </w:rPr>
        <w:t>For some of our heating, ventilation and air conditioning (“HVAC”) products, we provide warranty terms ranging from one to 20 years to customers for certain components such as compressors or heat exchangers. For select products, we also provide limited lifetime warranties. A liability for estimated warranty expense is recorded on the date that revenue is recognized. Our estimates of future warranty costs are determined by product category. The number of units we expect to repair or replace is determined by applying an estimated failure rate, which is generally based on historical experience, to the number of units that were sold and are still under warranty. In most cases, the estimated units to be repaired under warranty are multiplied by the estimated cost of replacement parts to determine the estimated future warranty cost. We do not discount product warranty liabilities as the amounts are not fixed and the timing of future cash payments is neither fixed nor reliably determinable. We also provide for specifically-identified warranty obligations. Estimated future warranty costs are subject to adjustment depending on changes in actual failure rate and cost experience. Subsequent costs incurred for warranty claims serve to reduce the accrued product warranty liability. See Note 5 for more information on our estimated future warranty costs.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Pensions and Post-retirement Benefits</w:t>
      </w:r>
    </w:p>
    <w:p>
      <w:pPr>
        <w:spacing w:after="0" w:line="221" w:lineRule="exact"/>
        <w:rPr>
          <w:sz w:val="20"/>
          <w:szCs w:val="20"/>
          <w:color w:val="auto"/>
        </w:rPr>
      </w:pPr>
    </w:p>
    <w:p>
      <w:pPr>
        <w:jc w:val="both"/>
        <w:ind w:firstLine="221"/>
        <w:spacing w:after="0" w:line="283" w:lineRule="auto"/>
        <w:rPr>
          <w:sz w:val="20"/>
          <w:szCs w:val="20"/>
          <w:color w:val="auto"/>
        </w:rPr>
      </w:pPr>
      <w:r>
        <w:rPr>
          <w:rFonts w:ascii="Arial" w:cs="Arial" w:eastAsia="Arial" w:hAnsi="Arial"/>
          <w:sz w:val="16"/>
          <w:szCs w:val="16"/>
          <w:color w:val="auto"/>
        </w:rPr>
        <w:t>We provide pension and post-retirement medical benefits to eligible domestic and foreign employees and we recognize pension and post-retirement benefit costs over the estimated service life or average life expectancy of those employees. We also recognize the funded status of our benefit plans, as measured at year-end by the difference between plan assets at fair value and the benefit obligation, in the Consolidated Balance Sheet. Changes in the funded status are recognized in the year in which the changes occur through Accumulated other comprehensive loss (“AOCL”). Actuarial gains or losses are amortized into net period benefit cost over the estimated service life of covered employees or average life expectancy of participants depending on the plan.</w:t>
      </w:r>
    </w:p>
    <w:p>
      <w:pPr>
        <w:spacing w:after="0" w:line="165"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The benefit plan assets and liabilities reflect assumptions about the long-range performance of our benefit plans. Should actual results differ from management’s estimates, revisions to the benefit plan assets and liabilities would be required. See Note 11 for information regarding those estimates and additional disclosures on pension and post-retirement medical benefits.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Self-Insurance</w:t>
      </w:r>
    </w:p>
    <w:p>
      <w:pPr>
        <w:spacing w:after="0" w:line="22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Self-insurance expense and liabilities were actuarially determined based primarily on our historical claims information, industry factors and trends. The self-insurance liabilities as of December 31, 2019 represent the best estimate of the future payments to be made on reported and unreported losses for 2019 and prior years. The amounts and timing of payments for claims reserved may vary depending on various factors, including the development and ultimate settlement of reported and unreported claims. To the extent actuarial assumptions change and claims experience rates differ from historical rates, our liabilities may change. See Note 5 for additional information on our self-insured risks and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w:t>
      </w:r>
    </w:p>
    <w:p>
      <w:pPr>
        <w:spacing w:after="0" w:line="22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We use futures contracts, forward contracts and fixed forward contracts to mitigate our exposure to volatility in metal commodity prices and foreign exchange rates. We hedge only exposures in the ordinary course of business and do not hold or trade derivatives for profit. All derivatives are recognized in the Consolidated Balance Sheet at fair value and the classification of each derivative instrument is based upon whether the maturity of the instrument is less than or greater than 12 months. See Note 10 for more information on our derivatives.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544"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1" w:lineRule="exact"/>
        <w:rPr>
          <w:sz w:val="20"/>
          <w:szCs w:val="20"/>
          <w:color w:val="auto"/>
        </w:rPr>
      </w:pPr>
    </w:p>
    <w:p>
      <w:pPr>
        <w:jc w:val="both"/>
        <w:ind w:firstLine="234"/>
        <w:spacing w:after="0" w:line="261" w:lineRule="auto"/>
        <w:rPr>
          <w:sz w:val="20"/>
          <w:szCs w:val="20"/>
          <w:color w:val="auto"/>
        </w:rPr>
      </w:pPr>
      <w:r>
        <w:rPr>
          <w:rFonts w:ascii="Arial" w:cs="Arial" w:eastAsia="Arial" w:hAnsi="Arial"/>
          <w:sz w:val="17"/>
          <w:szCs w:val="17"/>
          <w:color w:val="auto"/>
        </w:rPr>
        <w:t>We recognize deferred tax assets and liabilities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Unrecognized tax benefits are accounted for as required by the Financial Accounting Standards Board (“FASB”) Accounting Standards Codification (“ASC”) Topic 740. See Note 13 for more information related to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1" w:lineRule="exact"/>
        <w:rPr>
          <w:sz w:val="20"/>
          <w:szCs w:val="20"/>
          <w:color w:val="auto"/>
        </w:rPr>
      </w:pPr>
    </w:p>
    <w:p>
      <w:pPr>
        <w:jc w:val="both"/>
        <w:ind w:firstLine="234"/>
        <w:spacing w:after="0" w:line="279" w:lineRule="auto"/>
        <w:rPr>
          <w:sz w:val="20"/>
          <w:szCs w:val="20"/>
          <w:color w:val="auto"/>
        </w:rPr>
      </w:pPr>
      <w:r>
        <w:rPr>
          <w:rFonts w:ascii="Arial" w:cs="Arial" w:eastAsia="Arial" w:hAnsi="Arial"/>
          <w:sz w:val="16"/>
          <w:szCs w:val="16"/>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 See Note 9 for more information on our revenue recognition practices.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Goods Sold</w:t>
      </w:r>
    </w:p>
    <w:p>
      <w:pPr>
        <w:spacing w:after="0" w:line="221" w:lineRule="exact"/>
        <w:rPr>
          <w:sz w:val="20"/>
          <w:szCs w:val="20"/>
          <w:color w:val="auto"/>
        </w:rPr>
      </w:pPr>
    </w:p>
    <w:p>
      <w:pPr>
        <w:jc w:val="both"/>
        <w:ind w:firstLine="221"/>
        <w:spacing w:after="0" w:line="286" w:lineRule="auto"/>
        <w:rPr>
          <w:sz w:val="20"/>
          <w:szCs w:val="20"/>
          <w:color w:val="auto"/>
        </w:rPr>
      </w:pPr>
      <w:r>
        <w:rPr>
          <w:rFonts w:ascii="Arial" w:cs="Arial" w:eastAsia="Arial" w:hAnsi="Arial"/>
          <w:sz w:val="17"/>
          <w:szCs w:val="17"/>
          <w:color w:val="auto"/>
        </w:rPr>
        <w:t>The principal elements of cost of goods sold are components, raw materials, factory overhead, labor, estimated costs of warranty expense and freight and distribution costs.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221" w:lineRule="exact"/>
        <w:rPr>
          <w:sz w:val="20"/>
          <w:szCs w:val="20"/>
          <w:color w:val="auto"/>
        </w:rPr>
      </w:pPr>
    </w:p>
    <w:p>
      <w:pPr>
        <w:jc w:val="both"/>
        <w:ind w:firstLine="221"/>
        <w:spacing w:after="0" w:line="286" w:lineRule="auto"/>
        <w:rPr>
          <w:sz w:val="20"/>
          <w:szCs w:val="20"/>
          <w:color w:val="auto"/>
        </w:rPr>
      </w:pPr>
      <w:r>
        <w:rPr>
          <w:rFonts w:ascii="Arial" w:cs="Arial" w:eastAsia="Arial" w:hAnsi="Arial"/>
          <w:sz w:val="17"/>
          <w:szCs w:val="17"/>
          <w:color w:val="auto"/>
        </w:rPr>
        <w:t>SG&amp;A expenses include payroll and benefit costs, advertising, commissions, research and development, information technology costs, and other selling, general and administrative related costs such as insurance, travel, non-production depreciation and rent.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1" w:lineRule="exact"/>
        <w:rPr>
          <w:sz w:val="20"/>
          <w:szCs w:val="20"/>
          <w:color w:val="auto"/>
        </w:rPr>
      </w:pPr>
    </w:p>
    <w:p>
      <w:pPr>
        <w:jc w:val="both"/>
        <w:ind w:firstLine="234"/>
        <w:spacing w:after="0" w:line="287" w:lineRule="auto"/>
        <w:rPr>
          <w:sz w:val="20"/>
          <w:szCs w:val="20"/>
          <w:color w:val="auto"/>
        </w:rPr>
      </w:pPr>
      <w:r>
        <w:rPr>
          <w:rFonts w:ascii="Arial" w:cs="Arial" w:eastAsia="Arial" w:hAnsi="Arial"/>
          <w:sz w:val="16"/>
          <w:szCs w:val="16"/>
          <w:color w:val="auto"/>
        </w:rPr>
        <w:t>We recognize compensation expense for stock-based arrangements over the required employee service periods. We measure stock-based compensation costs based on the estimated grant-date fair value of the stock-based awards that are expected to ultimately vest and we adjust expected vesting rates to actual rates as additional information becomes known. For stock-based arrangements with performance conditions, we periodically adjust performance achievement rates based on our best estimates of those rates at the end of the performance period. See Note 16 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Translation of Foreign Currencies</w:t>
      </w:r>
    </w:p>
    <w:p>
      <w:pPr>
        <w:spacing w:after="0" w:line="22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All assets and liabilities of foreign subsidiaries and joint ventures are translated into U.S. dollars using rates of exchange in effect at the balance sheet date. Revenue and expenses are translated at weighted average exchange rates during the year. Unrealized translation gains and losses are included in AOCL in the accompanying Consolidated Balance Sheets. Transaction gains and losses are included in Losses (gains) and other expenses, net in the accompanying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1" w:lineRule="exact"/>
        <w:rPr>
          <w:sz w:val="20"/>
          <w:szCs w:val="20"/>
          <w:color w:val="auto"/>
        </w:rPr>
      </w:pPr>
    </w:p>
    <w:p>
      <w:pPr>
        <w:jc w:val="both"/>
        <w:ind w:firstLine="234"/>
        <w:spacing w:after="0" w:line="283" w:lineRule="auto"/>
        <w:rPr>
          <w:sz w:val="20"/>
          <w:szCs w:val="20"/>
          <w:color w:val="auto"/>
        </w:rPr>
      </w:pPr>
      <w:r>
        <w:rPr>
          <w:rFonts w:ascii="Arial" w:cs="Arial" w:eastAsia="Arial" w:hAnsi="Arial"/>
          <w:sz w:val="16"/>
          <w:szCs w:val="16"/>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goodwill, intangible assets and other long-lived assets, contingencies, product warranties, guarantee obligations, indemnifications, and assumptions used in the calculation of income taxes, pension and post-retirement medical benefits, and stock-based compensation among others. These estimates and assumptions are based on our best estimates and judgment.</w:t>
      </w:r>
    </w:p>
    <w:p>
      <w:pPr>
        <w:spacing w:after="0" w:line="165"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544" w:right="239" w:bottom="1440" w:gutter="0" w:footer="0" w:header="0"/>
        </w:sectPr>
      </w:pPr>
    </w:p>
    <w:bookmarkStart w:id="44" w:name="page45"/>
    <w:bookmarkEnd w:id="44"/>
    <w:p>
      <w:pPr>
        <w:jc w:val="both"/>
        <w:spacing w:after="0" w:line="271" w:lineRule="auto"/>
        <w:rPr>
          <w:sz w:val="20"/>
          <w:szCs w:val="20"/>
          <w:color w:val="auto"/>
        </w:rPr>
      </w:pPr>
      <w:r>
        <w:rPr>
          <w:rFonts w:ascii="Arial" w:cs="Arial" w:eastAsia="Arial" w:hAnsi="Arial"/>
          <w:sz w:val="17"/>
          <w:szCs w:val="17"/>
          <w:color w:val="auto"/>
        </w:rPr>
        <w:t>markets and uncertain future economic conditions combine to increase the uncertainty inherent in such estimates and assumptions. Future events and their effects cannot be determined with precision and actual results could differ significantly from these estimates. Changes in these estimates resulting from continuing changes in the economic environment will be reflected in the financial statements in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2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On February 25, 2016, the FASB issued ASU No. 2016-02, Leases (“ASC 842”). This accounting standard requires lessees to recognize a lease liability and a right-of-use (“ROU”) asset on the balance sheet for operating leases. Accounting for finance leases is substantially unchanged. ASC 842 is effective for fiscal years beginning after December 15, 2018 and we adopted the standard effective January 1, 2019. The adoption of ASC 842 had a material impact on our Consolidated Balance Sheet due to the recognition of operating lease liabilities and the corresponding right-of-use assets. Refer to Note 5 of the Notes to the Consolidated Financial Statements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Accounting Standards Effective for Future Reporting Periods</w:t>
      </w:r>
    </w:p>
    <w:p>
      <w:pPr>
        <w:spacing w:after="0" w:line="22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ASU 2016-13 replaces the incurred loss impairment methodology in current GAAP with a methodology that reflects expected credit losses and requires consideration of a broader range of reasonable and supportable information to estimate credit losses. ASU 2016-13 is effective for interim and annual periods beginning after December 15, 2019. We are currently assessing the impact of ASU 2016-13, but do not expect it to have a material impact on our financial statements.</w:t>
      </w:r>
    </w:p>
    <w:p>
      <w:pPr>
        <w:spacing w:after="0" w:line="179"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 - Goodwill and Other (Topic 350): Simplifying the Test for Goodwill Impairment</w:t>
      </w:r>
      <w:r>
        <w:rPr>
          <w:rFonts w:ascii="Arial" w:cs="Arial" w:eastAsia="Arial" w:hAnsi="Arial"/>
          <w:sz w:val="17"/>
          <w:szCs w:val="17"/>
          <w:color w:val="auto"/>
        </w:rPr>
        <w: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2019. We do not expect the adoption of ASU 2017-04 to have a material impact on our financial statements.</w:t>
      </w:r>
    </w:p>
    <w:p>
      <w:pPr>
        <w:spacing w:after="0" w:line="179" w:lineRule="exact"/>
        <w:rPr>
          <w:sz w:val="20"/>
          <w:szCs w:val="20"/>
          <w:color w:val="auto"/>
        </w:rPr>
      </w:pPr>
    </w:p>
    <w:p>
      <w:pPr>
        <w:jc w:val="both"/>
        <w:ind w:firstLine="234"/>
        <w:spacing w:after="0" w:line="312" w:lineRule="auto"/>
        <w:rPr>
          <w:sz w:val="20"/>
          <w:szCs w:val="20"/>
          <w:color w:val="auto"/>
        </w:rPr>
      </w:pPr>
      <w:r>
        <w:rPr>
          <w:rFonts w:ascii="Arial" w:cs="Arial" w:eastAsia="Arial" w:hAnsi="Arial"/>
          <w:sz w:val="15"/>
          <w:szCs w:val="15"/>
          <w:color w:val="auto"/>
        </w:rPr>
        <w:t xml:space="preserve">In August 2018, the FASB issued ASU No. 2018-15, Intangibles - Internal-Use Software (Topic 350-40): </w:t>
      </w:r>
      <w:r>
        <w:rPr>
          <w:rFonts w:ascii="Arial" w:cs="Arial" w:eastAsia="Arial" w:hAnsi="Arial"/>
          <w:sz w:val="15"/>
          <w:szCs w:val="15"/>
          <w:i w:val="1"/>
          <w:iCs w:val="1"/>
          <w:color w:val="auto"/>
        </w:rPr>
        <w:t>Customer’s Accounting for Implementation Costs</w:t>
      </w:r>
      <w:r>
        <w:rPr>
          <w:rFonts w:ascii="Arial" w:cs="Arial" w:eastAsia="Arial" w:hAnsi="Arial"/>
          <w:sz w:val="15"/>
          <w:szCs w:val="15"/>
          <w:color w:val="auto"/>
        </w:rPr>
        <w:t xml:space="preserve"> </w:t>
      </w:r>
      <w:r>
        <w:rPr>
          <w:rFonts w:ascii="Arial" w:cs="Arial" w:eastAsia="Arial" w:hAnsi="Arial"/>
          <w:sz w:val="15"/>
          <w:szCs w:val="15"/>
          <w:i w:val="1"/>
          <w:iCs w:val="1"/>
          <w:color w:val="auto"/>
        </w:rPr>
        <w:t>incurred in a Cloud Computing Arrangement That is a Service Contract</w:t>
      </w:r>
      <w:r>
        <w:rPr>
          <w:rFonts w:ascii="Arial" w:cs="Arial" w:eastAsia="Arial" w:hAnsi="Arial"/>
          <w:sz w:val="15"/>
          <w:szCs w:val="15"/>
          <w:color w:val="auto"/>
        </w:rPr>
        <w:t>. ASU 2018-15 provides guidance to determine how implementation costs associated with</w:t>
      </w:r>
      <w:r>
        <w:rPr>
          <w:rFonts w:ascii="Arial" w:cs="Arial" w:eastAsia="Arial" w:hAnsi="Arial"/>
          <w:sz w:val="15"/>
          <w:szCs w:val="15"/>
          <w:i w:val="1"/>
          <w:iCs w:val="1"/>
          <w:color w:val="auto"/>
        </w:rPr>
        <w:t xml:space="preserve"> </w:t>
      </w:r>
      <w:r>
        <w:rPr>
          <w:rFonts w:ascii="Arial" w:cs="Arial" w:eastAsia="Arial" w:hAnsi="Arial"/>
          <w:sz w:val="15"/>
          <w:szCs w:val="15"/>
          <w:color w:val="auto"/>
        </w:rPr>
        <w:t>cloud computing arrangements that are incurred to develop or obtain internal-use software should be capitalized or expensed as incurred. ASU 2018-15 is effective for fiscal years beginning after December 15, 2019. We do not expect the adoption of ASU 2018-15 to have a material impact on our financial statements.</w:t>
      </w:r>
    </w:p>
    <w:p>
      <w:pPr>
        <w:spacing w:after="0" w:line="145"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ASU 2019-02, in an effort to reduce complexity in accounting for income taxes, removes certain exceptions for measuring intraperiod tax allocations, foreign subsidiary equity method investments and interim period tax losses. ASU 2019-12 is effective for calendar year-end public business entities on January 1, 2021. We are currently assessing the impact of ASU 2019-12, but do not expect it to have a material impact on our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Business Segments: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Segments</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544"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6"/>
        </w:trPr>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 or Services</w:t>
            </w:r>
          </w:p>
        </w:tc>
        <w:tc>
          <w:tcPr>
            <w:tcW w:w="120" w:type="dxa"/>
            <w:vAlign w:val="bottom"/>
            <w:tcBorders>
              <w:bottom w:val="single" w:sz="8" w:color="CCEEFF"/>
            </w:tcBorders>
          </w:tcPr>
          <w:p>
            <w:pPr>
              <w:spacing w:after="0"/>
              <w:rPr>
                <w:sz w:val="16"/>
                <w:szCs w:val="16"/>
                <w:color w:val="auto"/>
              </w:rPr>
            </w:pP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Markets Served</w:t>
            </w:r>
          </w:p>
        </w:tc>
        <w:tc>
          <w:tcPr>
            <w:tcW w:w="1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Geographic Areas</w:t>
            </w:r>
          </w:p>
        </w:tc>
      </w:tr>
      <w:tr>
        <w:trPr>
          <w:trHeight w:val="221"/>
        </w:trPr>
        <w:tc>
          <w:tcPr>
            <w:tcW w:w="1600" w:type="dxa"/>
            <w:vAlign w:val="bottom"/>
            <w:gridSpan w:val="2"/>
            <w:shd w:val="clear" w:color="auto" w:fill="CCEEFF"/>
          </w:tcPr>
          <w:p>
            <w:pPr>
              <w:ind w:left="40"/>
              <w:spacing w:after="0"/>
              <w:rPr>
                <w:sz w:val="20"/>
                <w:szCs w:val="20"/>
                <w:color w:val="auto"/>
              </w:rPr>
            </w:pPr>
            <w:r>
              <w:rPr>
                <w:rFonts w:ascii="Arial" w:cs="Arial" w:eastAsia="Arial" w:hAnsi="Arial"/>
                <w:sz w:val="17"/>
                <w:szCs w:val="17"/>
                <w:i w:val="1"/>
                <w:iCs w:val="1"/>
                <w:color w:val="auto"/>
              </w:rPr>
              <w:t>Residential Heating</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Furnaces, air conditioners, heat pumps, packaged heating and</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Replacement;</w:t>
            </w:r>
          </w:p>
        </w:tc>
        <w:tc>
          <w:tcPr>
            <w:tcW w:w="1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r>
      <w:tr>
        <w:trPr>
          <w:trHeight w:val="208"/>
        </w:trPr>
        <w:tc>
          <w:tcPr>
            <w:tcW w:w="1600" w:type="dxa"/>
            <w:vAlign w:val="bottom"/>
            <w:gridSpan w:val="2"/>
            <w:shd w:val="clear" w:color="auto" w:fill="CCEEFF"/>
          </w:tcPr>
          <w:p>
            <w:pPr>
              <w:ind w:left="40"/>
              <w:spacing w:after="0"/>
              <w:rPr>
                <w:sz w:val="20"/>
                <w:szCs w:val="20"/>
                <w:color w:val="auto"/>
              </w:rPr>
            </w:pPr>
            <w:r>
              <w:rPr>
                <w:rFonts w:ascii="Arial" w:cs="Arial" w:eastAsia="Arial" w:hAnsi="Arial"/>
                <w:sz w:val="17"/>
                <w:szCs w:val="17"/>
                <w:i w:val="1"/>
                <w:iCs w:val="1"/>
                <w:color w:val="auto"/>
              </w:rPr>
              <w:t>&amp; Cooling</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cooling systems, indoor air quality equipment, comfort control</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New Construction</w:t>
            </w:r>
          </w:p>
        </w:tc>
        <w:tc>
          <w:tcPr>
            <w:tcW w:w="1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Canada</w:t>
            </w:r>
          </w:p>
        </w:tc>
      </w:tr>
      <w:tr>
        <w:trPr>
          <w:trHeight w:val="221"/>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products, replacement parts and supplies</w:t>
            </w:r>
          </w:p>
        </w:tc>
        <w:tc>
          <w:tcPr>
            <w:tcW w:w="2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22"/>
        </w:trPr>
        <w:tc>
          <w:tcPr>
            <w:tcW w:w="1600" w:type="dxa"/>
            <w:vAlign w:val="bottom"/>
            <w:gridSpan w:val="2"/>
          </w:tcPr>
          <w:p>
            <w:pPr>
              <w:ind w:left="40"/>
              <w:spacing w:after="0"/>
              <w:rPr>
                <w:sz w:val="20"/>
                <w:szCs w:val="20"/>
                <w:color w:val="auto"/>
              </w:rPr>
            </w:pPr>
            <w:r>
              <w:rPr>
                <w:rFonts w:ascii="Arial" w:cs="Arial" w:eastAsia="Arial" w:hAnsi="Arial"/>
                <w:sz w:val="17"/>
                <w:szCs w:val="17"/>
                <w:i w:val="1"/>
                <w:iCs w:val="1"/>
                <w:color w:val="auto"/>
              </w:rPr>
              <w:t>Commercial</w:t>
            </w:r>
          </w:p>
        </w:tc>
        <w:tc>
          <w:tcPr>
            <w:tcW w:w="4740" w:type="dxa"/>
            <w:vAlign w:val="bottom"/>
            <w:gridSpan w:val="2"/>
          </w:tcPr>
          <w:p>
            <w:pPr>
              <w:ind w:left="20"/>
              <w:spacing w:after="0"/>
              <w:rPr>
                <w:sz w:val="20"/>
                <w:szCs w:val="20"/>
                <w:color w:val="auto"/>
              </w:rPr>
            </w:pPr>
            <w:r>
              <w:rPr>
                <w:rFonts w:ascii="Arial" w:cs="Arial" w:eastAsia="Arial" w:hAnsi="Arial"/>
                <w:sz w:val="17"/>
                <w:szCs w:val="17"/>
                <w:color w:val="auto"/>
                <w:w w:val="96"/>
              </w:rPr>
              <w:t>Unitary heating and air conditioning equipment, applied systems,</w:t>
            </w:r>
          </w:p>
        </w:tc>
        <w:tc>
          <w:tcPr>
            <w:tcW w:w="3020" w:type="dxa"/>
            <w:vAlign w:val="bottom"/>
            <w:gridSpan w:val="2"/>
          </w:tcPr>
          <w:p>
            <w:pPr>
              <w:ind w:left="20"/>
              <w:spacing w:after="0"/>
              <w:rPr>
                <w:sz w:val="20"/>
                <w:szCs w:val="20"/>
                <w:color w:val="auto"/>
              </w:rPr>
            </w:pPr>
            <w:r>
              <w:rPr>
                <w:rFonts w:ascii="Arial" w:cs="Arial" w:eastAsia="Arial" w:hAnsi="Arial"/>
                <w:sz w:val="17"/>
                <w:szCs w:val="17"/>
                <w:color w:val="auto"/>
              </w:rPr>
              <w:t>Light Commercial</w:t>
            </w:r>
          </w:p>
        </w:tc>
        <w:tc>
          <w:tcPr>
            <w:tcW w:w="1900" w:type="dxa"/>
            <w:vAlign w:val="bottom"/>
          </w:tcPr>
          <w:p>
            <w:pPr>
              <w:ind w:left="20"/>
              <w:spacing w:after="0"/>
              <w:rPr>
                <w:sz w:val="20"/>
                <w:szCs w:val="20"/>
                <w:color w:val="auto"/>
              </w:rPr>
            </w:pPr>
            <w:r>
              <w:rPr>
                <w:rFonts w:ascii="Arial" w:cs="Arial" w:eastAsia="Arial" w:hAnsi="Arial"/>
                <w:sz w:val="17"/>
                <w:szCs w:val="17"/>
                <w:color w:val="auto"/>
              </w:rPr>
              <w:t>United States</w:t>
            </w:r>
          </w:p>
        </w:tc>
      </w:tr>
      <w:tr>
        <w:trPr>
          <w:trHeight w:val="208"/>
        </w:trPr>
        <w:tc>
          <w:tcPr>
            <w:tcW w:w="1600" w:type="dxa"/>
            <w:vAlign w:val="bottom"/>
            <w:gridSpan w:val="2"/>
          </w:tcPr>
          <w:p>
            <w:pPr>
              <w:ind w:left="40"/>
              <w:spacing w:after="0"/>
              <w:rPr>
                <w:sz w:val="20"/>
                <w:szCs w:val="20"/>
                <w:color w:val="auto"/>
              </w:rPr>
            </w:pPr>
            <w:r>
              <w:rPr>
                <w:rFonts w:ascii="Arial" w:cs="Arial" w:eastAsia="Arial" w:hAnsi="Arial"/>
                <w:sz w:val="17"/>
                <w:szCs w:val="17"/>
                <w:i w:val="1"/>
                <w:iCs w:val="1"/>
                <w:color w:val="auto"/>
              </w:rPr>
              <w:t>Heating &amp; Cooling</w:t>
            </w:r>
          </w:p>
        </w:tc>
        <w:tc>
          <w:tcPr>
            <w:tcW w:w="4740" w:type="dxa"/>
            <w:vAlign w:val="bottom"/>
            <w:gridSpan w:val="2"/>
          </w:tcPr>
          <w:p>
            <w:pPr>
              <w:ind w:left="20"/>
              <w:spacing w:after="0"/>
              <w:rPr>
                <w:sz w:val="20"/>
                <w:szCs w:val="20"/>
                <w:color w:val="auto"/>
              </w:rPr>
            </w:pPr>
            <w:r>
              <w:rPr>
                <w:rFonts w:ascii="Arial" w:cs="Arial" w:eastAsia="Arial" w:hAnsi="Arial"/>
                <w:sz w:val="17"/>
                <w:szCs w:val="17"/>
                <w:color w:val="auto"/>
              </w:rPr>
              <w:t>controls, installation and service of commercial heating and</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20"/>
              <w:spacing w:after="0"/>
              <w:rPr>
                <w:sz w:val="20"/>
                <w:szCs w:val="20"/>
                <w:color w:val="auto"/>
              </w:rPr>
            </w:pPr>
            <w:r>
              <w:rPr>
                <w:rFonts w:ascii="Arial" w:cs="Arial" w:eastAsia="Arial" w:hAnsi="Arial"/>
                <w:sz w:val="17"/>
                <w:szCs w:val="17"/>
                <w:color w:val="auto"/>
              </w:rPr>
              <w:t>Canada</w:t>
            </w:r>
          </w:p>
        </w:tc>
      </w:tr>
      <w:tr>
        <w:trPr>
          <w:trHeight w:val="208"/>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gridSpan w:val="2"/>
          </w:tcPr>
          <w:p>
            <w:pPr>
              <w:ind w:left="20"/>
              <w:spacing w:after="0"/>
              <w:rPr>
                <w:sz w:val="20"/>
                <w:szCs w:val="20"/>
                <w:color w:val="auto"/>
              </w:rPr>
            </w:pPr>
            <w:r>
              <w:rPr>
                <w:rFonts w:ascii="Arial" w:cs="Arial" w:eastAsia="Arial" w:hAnsi="Arial"/>
                <w:sz w:val="17"/>
                <w:szCs w:val="17"/>
                <w:color w:val="auto"/>
              </w:rPr>
              <w:t>cooling equipment, variable refrigerant flow commercial</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21"/>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Arial" w:cs="Arial" w:eastAsia="Arial" w:hAnsi="Arial"/>
                <w:sz w:val="17"/>
                <w:szCs w:val="17"/>
                <w:color w:val="auto"/>
              </w:rPr>
              <w:t>products</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22"/>
        </w:trPr>
        <w:tc>
          <w:tcPr>
            <w:tcW w:w="1600" w:type="dxa"/>
            <w:vAlign w:val="bottom"/>
            <w:gridSpan w:val="2"/>
            <w:shd w:val="clear" w:color="auto" w:fill="CCEEFF"/>
          </w:tcPr>
          <w:p>
            <w:pPr>
              <w:ind w:left="40"/>
              <w:spacing w:after="0" w:line="222" w:lineRule="exact"/>
              <w:rPr>
                <w:sz w:val="20"/>
                <w:szCs w:val="20"/>
                <w:color w:val="auto"/>
              </w:rPr>
            </w:pPr>
            <w:r>
              <w:rPr>
                <w:rFonts w:ascii="Arial" w:cs="Arial" w:eastAsia="Arial" w:hAnsi="Arial"/>
                <w:sz w:val="17"/>
                <w:szCs w:val="17"/>
                <w:i w:val="1"/>
                <w:iCs w:val="1"/>
                <w:color w:val="auto"/>
              </w:rPr>
              <w:t>Refrigeration</w:t>
            </w:r>
            <w:r>
              <w:rPr>
                <w:rFonts w:ascii="Arial" w:cs="Arial" w:eastAsia="Arial" w:hAnsi="Arial"/>
                <w:sz w:val="24"/>
                <w:szCs w:val="24"/>
                <w:i w:val="1"/>
                <w:iCs w:val="1"/>
                <w:color w:val="auto"/>
                <w:vertAlign w:val="superscript"/>
              </w:rPr>
              <w:t>(2)</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Condensing units, unit coolers, fluid coolers, air- cooled</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Light Commercial;</w:t>
            </w:r>
          </w:p>
        </w:tc>
        <w:tc>
          <w:tcPr>
            <w:tcW w:w="1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r>
      <w:tr>
        <w:trPr>
          <w:trHeight w:val="207"/>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condensers, air handlers, process chillers, controls, and</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Food Preservation;</w:t>
            </w:r>
          </w:p>
        </w:tc>
        <w:tc>
          <w:tcPr>
            <w:tcW w:w="1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Canada</w:t>
            </w:r>
          </w:p>
        </w:tc>
      </w:tr>
      <w:tr>
        <w:trPr>
          <w:trHeight w:val="317"/>
        </w:trPr>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compressorized racks</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Non-Food/Industrial</w:t>
            </w:r>
          </w:p>
        </w:tc>
        <w:tc>
          <w:tcPr>
            <w:tcW w:w="1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w:t>
            </w:r>
            <w:r>
              <w:rPr>
                <w:rFonts w:ascii="Arial" w:cs="Arial" w:eastAsia="Arial" w:hAnsi="Arial"/>
                <w:sz w:val="24"/>
                <w:szCs w:val="24"/>
                <w:color w:val="auto"/>
                <w:vertAlign w:val="superscript"/>
              </w:rPr>
              <w:t>(1)</w:t>
            </w:r>
          </w:p>
        </w:tc>
      </w:tr>
      <w:tr>
        <w:trPr>
          <w:trHeight w:val="140"/>
        </w:trPr>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r>
    </w:tbl>
    <w:p>
      <w:pPr>
        <w:spacing w:after="0" w:line="196" w:lineRule="exact"/>
        <w:rPr>
          <w:sz w:val="20"/>
          <w:szCs w:val="20"/>
          <w:color w:val="auto"/>
        </w:rPr>
      </w:pPr>
    </w:p>
    <w:p>
      <w:pPr>
        <w:jc w:val="both"/>
        <w:ind w:firstLine="421"/>
        <w:spacing w:after="0" w:line="249" w:lineRule="auto"/>
        <w:tabs>
          <w:tab w:leader="none" w:pos="602"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Effective January 1, 2019, we realigned our segment structure. We shifted financial reporting of the European Commercial HVAC business from our Commercial Heating &amp; Cooling segment to our Refrigeration segment as we manage both our commercial HVAC and refrigeration operations in Europe together. We have revised our historical segment results to present them on a comparable basis.</w:t>
      </w:r>
    </w:p>
    <w:p>
      <w:pPr>
        <w:spacing w:after="0" w:line="58" w:lineRule="exact"/>
        <w:rPr>
          <w:rFonts w:ascii="Arial" w:cs="Arial" w:eastAsia="Arial" w:hAnsi="Arial"/>
          <w:sz w:val="22"/>
          <w:szCs w:val="22"/>
          <w:color w:val="auto"/>
          <w:vertAlign w:val="superscript"/>
        </w:rPr>
      </w:pPr>
    </w:p>
    <w:p>
      <w:pPr>
        <w:ind w:firstLine="421"/>
        <w:spacing w:after="0" w:line="235" w:lineRule="auto"/>
        <w:tabs>
          <w:tab w:leader="none" w:pos="602"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Descriptions of the products, services, markets and geographic areas of divested businesses were excluded from this table. Refer to Note 7 for details regarding the divestitures of our Australia, Asia, South America and Kysor Warren businesses.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Data</w:t>
      </w:r>
    </w:p>
    <w:p>
      <w:pPr>
        <w:spacing w:after="0" w:line="22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below details the items excluded.</w:t>
      </w:r>
    </w:p>
    <w:p>
      <w:pPr>
        <w:spacing w:after="0" w:line="17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our business. We recorded these share-based awards as Corporate costs because they are determined at the discretion of the Board of Directors and based on the historical practice of doing so for internal reporting purposes.</w:t>
      </w:r>
    </w:p>
    <w:p>
      <w:pPr>
        <w:spacing w:after="0" w:line="175"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Any intercompany sales and associated profit (and any other intercompany items) are eliminated from segment results. There were no significant intercompany eliminations included in the results presented in the table below.</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755" w:right="239" w:bottom="1440" w:gutter="0" w:footer="0" w:header="0"/>
        </w:sectPr>
      </w:pPr>
    </w:p>
    <w:bookmarkStart w:id="46" w:name="page47"/>
    <w:bookmarkEnd w:id="46"/>
    <w:p>
      <w:pPr>
        <w:ind w:left="240"/>
        <w:spacing w:after="0"/>
        <w:rPr>
          <w:sz w:val="20"/>
          <w:szCs w:val="20"/>
          <w:color w:val="auto"/>
        </w:rPr>
      </w:pPr>
      <w:r>
        <w:rPr>
          <w:rFonts w:ascii="Arial" w:cs="Arial" w:eastAsia="Arial" w:hAnsi="Arial"/>
          <w:sz w:val="16"/>
          <w:szCs w:val="16"/>
          <w:color w:val="auto"/>
        </w:rPr>
        <w:t>Net sales and segment profit (loss) by segment, along with a reconciliation of segment profit (loss) to Operating income, are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1700" cy="156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700" cy="156845"/>
                    </a:xfrm>
                    <a:prstGeom prst="rect">
                      <a:avLst/>
                    </a:prstGeom>
                    <a:noFill/>
                  </pic:spPr>
                </pic:pic>
              </a:graphicData>
            </a:graphic>
          </wp:anchor>
        </w:drawing>
      </w:r>
    </w:p>
    <w:p>
      <w:pPr>
        <w:spacing w:after="0" w:line="159"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5153660</wp:posOffset>
            </wp:positionH>
            <wp:positionV relativeFrom="paragraph">
              <wp:posOffset>32385</wp:posOffset>
            </wp:positionV>
            <wp:extent cx="20999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2"/>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8120" w:type="dxa"/>
            <w:vAlign w:val="bottom"/>
            <w:shd w:val="clear" w:color="auto" w:fill="CCEEFF"/>
          </w:tcPr>
          <w:p>
            <w:pPr>
              <w:ind w:left="40"/>
              <w:spacing w:after="0" w:line="253" w:lineRule="exact"/>
              <w:rPr>
                <w:sz w:val="20"/>
                <w:szCs w:val="20"/>
                <w:color w:val="auto"/>
              </w:rPr>
            </w:pPr>
            <w:r>
              <w:rPr>
                <w:rFonts w:ascii="Arial" w:cs="Arial" w:eastAsia="Arial" w:hAnsi="Arial"/>
                <w:sz w:val="17"/>
                <w:szCs w:val="17"/>
                <w:b w:val="1"/>
                <w:bCs w:val="1"/>
                <w:color w:val="auto"/>
              </w:rPr>
              <w:t xml:space="preserve">Net Sales </w:t>
            </w:r>
            <w:r>
              <w:rPr>
                <w:rFonts w:ascii="Arial" w:cs="Arial" w:eastAsia="Arial" w:hAnsi="Arial"/>
                <w:sz w:val="24"/>
                <w:szCs w:val="24"/>
                <w:b w:val="1"/>
                <w:bCs w:val="1"/>
                <w:color w:val="auto"/>
                <w:vertAlign w:val="superscript"/>
              </w:rPr>
              <w:t>(1)</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40"/>
              <w:spacing w:after="0"/>
              <w:rPr>
                <w:sz w:val="20"/>
                <w:szCs w:val="20"/>
                <w:color w:val="auto"/>
              </w:rPr>
            </w:pPr>
            <w:r>
              <w:rPr>
                <w:rFonts w:ascii="Arial" w:cs="Arial" w:eastAsia="Arial" w:hAnsi="Arial"/>
                <w:sz w:val="17"/>
                <w:szCs w:val="17"/>
                <w:color w:val="auto"/>
              </w:rPr>
              <w:t>Residential Heating &amp; Cooling</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2,291.1</w:t>
            </w:r>
          </w:p>
        </w:tc>
        <w:tc>
          <w:tcPr>
            <w:tcW w:w="100" w:type="dxa"/>
            <w:vAlign w:val="bottom"/>
          </w:tcPr>
          <w:p>
            <w:pPr>
              <w:spacing w:after="0"/>
              <w:rPr>
                <w:sz w:val="20"/>
                <w:szCs w:val="20"/>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2,225.0</w:t>
            </w:r>
          </w:p>
        </w:tc>
        <w:tc>
          <w:tcPr>
            <w:tcW w:w="100" w:type="dxa"/>
            <w:vAlign w:val="bottom"/>
          </w:tcPr>
          <w:p>
            <w:pPr>
              <w:spacing w:after="0"/>
              <w:rPr>
                <w:sz w:val="20"/>
                <w:szCs w:val="20"/>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2,140.4</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Commercial Heating &amp; Cooling</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947.4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900.7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819.5</w:t>
            </w:r>
          </w:p>
        </w:tc>
        <w:tc>
          <w:tcPr>
            <w:tcW w:w="0" w:type="dxa"/>
            <w:vAlign w:val="bottom"/>
          </w:tcPr>
          <w:p>
            <w:pPr>
              <w:spacing w:after="0"/>
              <w:rPr>
                <w:sz w:val="1"/>
                <w:szCs w:val="1"/>
                <w:color w:val="auto"/>
              </w:rPr>
            </w:pPr>
          </w:p>
        </w:tc>
      </w:tr>
      <w:tr>
        <w:trPr>
          <w:trHeight w:val="234"/>
        </w:trPr>
        <w:tc>
          <w:tcPr>
            <w:tcW w:w="8120" w:type="dxa"/>
            <w:vAlign w:val="bottom"/>
          </w:tcPr>
          <w:p>
            <w:pPr>
              <w:ind w:left="40"/>
              <w:spacing w:after="0"/>
              <w:rPr>
                <w:sz w:val="20"/>
                <w:szCs w:val="20"/>
                <w:color w:val="auto"/>
              </w:rPr>
            </w:pPr>
            <w:r>
              <w:rPr>
                <w:rFonts w:ascii="Arial" w:cs="Arial" w:eastAsia="Arial" w:hAnsi="Arial"/>
                <w:sz w:val="17"/>
                <w:szCs w:val="17"/>
                <w:color w:val="auto"/>
              </w:rPr>
              <w:t>Refrigeration</w:t>
            </w:r>
          </w:p>
        </w:tc>
        <w:tc>
          <w:tcPr>
            <w:tcW w:w="24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568.7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758.2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879.7</w:t>
            </w:r>
          </w:p>
        </w:tc>
        <w:tc>
          <w:tcPr>
            <w:tcW w:w="0" w:type="dxa"/>
            <w:vAlign w:val="bottom"/>
          </w:tcPr>
          <w:p>
            <w:pPr>
              <w:spacing w:after="0"/>
              <w:rPr>
                <w:sz w:val="1"/>
                <w:szCs w:val="1"/>
                <w:color w:val="auto"/>
              </w:rPr>
            </w:pPr>
          </w:p>
        </w:tc>
      </w:tr>
      <w:tr>
        <w:trPr>
          <w:trHeight w:val="26"/>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3,807.2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3,883.9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3,839.6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b w:val="1"/>
                <w:bCs w:val="1"/>
                <w:color w:val="auto"/>
              </w:rPr>
              <w:t xml:space="preserve">Segment profit (loss) </w:t>
            </w:r>
            <w:r>
              <w:rPr>
                <w:rFonts w:ascii="Arial" w:cs="Arial" w:eastAsia="Arial" w:hAnsi="Arial"/>
                <w:sz w:val="24"/>
                <w:szCs w:val="24"/>
                <w:b w:val="1"/>
                <w:bCs w:val="1"/>
                <w:color w:val="auto"/>
                <w:vertAlign w:val="superscript"/>
              </w:rPr>
              <w:t>(2)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8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Heating &amp; Cooling</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464.6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399.4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373.9</w:t>
            </w:r>
          </w:p>
        </w:tc>
        <w:tc>
          <w:tcPr>
            <w:tcW w:w="0" w:type="dxa"/>
            <w:vAlign w:val="bottom"/>
          </w:tcPr>
          <w:p>
            <w:pPr>
              <w:spacing w:after="0"/>
              <w:rPr>
                <w:sz w:val="1"/>
                <w:szCs w:val="1"/>
                <w:color w:val="auto"/>
              </w:rPr>
            </w:pPr>
          </w:p>
        </w:tc>
      </w:tr>
      <w:tr>
        <w:trPr>
          <w:trHeight w:val="234"/>
        </w:trPr>
        <w:tc>
          <w:tcPr>
            <w:tcW w:w="8120" w:type="dxa"/>
            <w:vAlign w:val="bottom"/>
          </w:tcPr>
          <w:p>
            <w:pPr>
              <w:ind w:left="40"/>
              <w:spacing w:after="0"/>
              <w:rPr>
                <w:sz w:val="20"/>
                <w:szCs w:val="20"/>
                <w:color w:val="auto"/>
              </w:rPr>
            </w:pPr>
            <w:r>
              <w:rPr>
                <w:rFonts w:ascii="Arial" w:cs="Arial" w:eastAsia="Arial" w:hAnsi="Arial"/>
                <w:sz w:val="17"/>
                <w:szCs w:val="17"/>
                <w:color w:val="auto"/>
              </w:rPr>
              <w:t>Commercial Heating &amp; Cooling</w:t>
            </w:r>
          </w:p>
        </w:tc>
        <w:tc>
          <w:tcPr>
            <w:tcW w:w="24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165.4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157.5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149.3</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Refrigeration</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234"/>
        </w:trPr>
        <w:tc>
          <w:tcPr>
            <w:tcW w:w="8120" w:type="dxa"/>
            <w:vAlign w:val="bottom"/>
          </w:tcPr>
          <w:p>
            <w:pPr>
              <w:ind w:left="40"/>
              <w:spacing w:after="0"/>
              <w:rPr>
                <w:sz w:val="20"/>
                <w:szCs w:val="20"/>
                <w:color w:val="auto"/>
              </w:rPr>
            </w:pPr>
            <w:r>
              <w:rPr>
                <w:rFonts w:ascii="Arial" w:cs="Arial" w:eastAsia="Arial" w:hAnsi="Arial"/>
                <w:sz w:val="17"/>
                <w:szCs w:val="17"/>
                <w:color w:val="auto"/>
              </w:rPr>
              <w:t>Corporate and other</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(89.2)</w:t>
            </w:r>
          </w:p>
        </w:tc>
        <w:tc>
          <w:tcPr>
            <w:tcW w:w="0" w:type="dxa"/>
            <w:vAlign w:val="bottom"/>
          </w:tcPr>
          <w:p>
            <w:pPr>
              <w:spacing w:after="0"/>
              <w:rPr>
                <w:sz w:val="1"/>
                <w:szCs w:val="1"/>
                <w:color w:val="auto"/>
              </w:rPr>
            </w:pPr>
          </w:p>
        </w:tc>
      </w:tr>
      <w:tr>
        <w:trPr>
          <w:trHeight w:val="26"/>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segment profit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608.9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540.6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514.6</w:t>
            </w:r>
          </w:p>
        </w:tc>
        <w:tc>
          <w:tcPr>
            <w:tcW w:w="0" w:type="dxa"/>
            <w:vAlign w:val="bottom"/>
          </w:tcPr>
          <w:p>
            <w:pPr>
              <w:spacing w:after="0"/>
              <w:rPr>
                <w:sz w:val="1"/>
                <w:szCs w:val="1"/>
                <w:color w:val="auto"/>
              </w:rPr>
            </w:pPr>
          </w:p>
        </w:tc>
      </w:tr>
      <w:tr>
        <w:trPr>
          <w:trHeight w:val="234"/>
        </w:trPr>
        <w:tc>
          <w:tcPr>
            <w:tcW w:w="8120" w:type="dxa"/>
            <w:vAlign w:val="bottom"/>
          </w:tcPr>
          <w:p>
            <w:pPr>
              <w:ind w:left="40"/>
              <w:spacing w:after="0"/>
              <w:rPr>
                <w:sz w:val="20"/>
                <w:szCs w:val="20"/>
                <w:color w:val="auto"/>
              </w:rPr>
            </w:pPr>
            <w:r>
              <w:rPr>
                <w:rFonts w:ascii="Arial" w:cs="Arial" w:eastAsia="Arial" w:hAnsi="Arial"/>
                <w:sz w:val="17"/>
                <w:szCs w:val="17"/>
                <w:b w:val="1"/>
                <w:bCs w:val="1"/>
                <w:color w:val="auto"/>
              </w:rPr>
              <w:t>Reconciliation to Operating income:</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Special inventory write down</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8120" w:type="dxa"/>
            <w:vAlign w:val="bottom"/>
          </w:tcPr>
          <w:p>
            <w:pPr>
              <w:ind w:left="40"/>
              <w:spacing w:after="0"/>
              <w:rPr>
                <w:sz w:val="20"/>
                <w:szCs w:val="20"/>
                <w:color w:val="auto"/>
              </w:rPr>
            </w:pPr>
            <w:r>
              <w:rPr>
                <w:rFonts w:ascii="Arial" w:cs="Arial" w:eastAsia="Arial" w:hAnsi="Arial"/>
                <w:sz w:val="17"/>
                <w:szCs w:val="17"/>
                <w:color w:val="auto"/>
              </w:rPr>
              <w:t>Special product quality adjustments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(gain), net on sale of businesses and related property</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4"/>
        </w:trPr>
        <w:tc>
          <w:tcPr>
            <w:tcW w:w="8120" w:type="dxa"/>
            <w:vAlign w:val="bottom"/>
          </w:tcPr>
          <w:p>
            <w:pPr>
              <w:ind w:left="40"/>
              <w:spacing w:after="0"/>
              <w:rPr>
                <w:sz w:val="20"/>
                <w:szCs w:val="20"/>
                <w:color w:val="auto"/>
              </w:rPr>
            </w:pPr>
            <w:r>
              <w:rPr>
                <w:rFonts w:ascii="Arial" w:cs="Arial" w:eastAsia="Arial" w:hAnsi="Arial"/>
                <w:sz w:val="17"/>
                <w:szCs w:val="17"/>
                <w:color w:val="auto"/>
              </w:rPr>
              <w:t>Insurance recoveries received for property damage incurred from natural disaster</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8120" w:type="dxa"/>
            <w:vAlign w:val="bottom"/>
            <w:shd w:val="clear" w:color="auto" w:fill="CCEEFF"/>
          </w:tcPr>
          <w:p>
            <w:pPr>
              <w:ind w:left="40"/>
              <w:spacing w:after="0" w:line="260" w:lineRule="exact"/>
              <w:rPr>
                <w:sz w:val="20"/>
                <w:szCs w:val="20"/>
                <w:color w:val="auto"/>
              </w:rPr>
            </w:pPr>
            <w:r>
              <w:rPr>
                <w:rFonts w:ascii="Arial" w:cs="Arial" w:eastAsia="Arial" w:hAnsi="Arial"/>
                <w:sz w:val="17"/>
                <w:szCs w:val="17"/>
                <w:color w:val="auto"/>
              </w:rPr>
              <w:t xml:space="preserve">Items in (Gains) Losses and other expenses, net that are excluded from segment profit (loss) </w:t>
            </w:r>
            <w:r>
              <w:rPr>
                <w:rFonts w:ascii="Arial" w:cs="Arial" w:eastAsia="Arial" w:hAnsi="Arial"/>
                <w:sz w:val="24"/>
                <w:szCs w:val="24"/>
                <w:color w:val="auto"/>
                <w:vertAlign w:val="superscript"/>
              </w:rPr>
              <w:t>(2)</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34"/>
        </w:trPr>
        <w:tc>
          <w:tcPr>
            <w:tcW w:w="812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24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6"/>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656.9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494.5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400" w:hanging="161"/>
        <w:spacing w:after="0" w:line="218" w:lineRule="auto"/>
        <w:tabs>
          <w:tab w:leader="none" w:pos="452"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On a consolidated basis, no revenue from transactions with a single customer were 10% or greater of our consolidated net sales for any of the periods presented.</w:t>
      </w:r>
    </w:p>
    <w:p>
      <w:pPr>
        <w:ind w:left="420" w:hanging="181"/>
        <w:spacing w:after="0" w:line="197" w:lineRule="auto"/>
        <w:tabs>
          <w:tab w:leader="none" w:pos="42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We define segment profit (loss) as a segment’s operating income included in the accompanying Consolidated Statements of Operations, excluding:</w:t>
      </w:r>
    </w:p>
    <w:p>
      <w:pPr>
        <w:spacing w:after="0" w:line="2" w:lineRule="exact"/>
        <w:rPr>
          <w:rFonts w:ascii="Arial" w:cs="Arial" w:eastAsia="Arial" w:hAnsi="Arial"/>
          <w:sz w:val="22"/>
          <w:szCs w:val="22"/>
          <w:color w:val="auto"/>
          <w:vertAlign w:val="superscript"/>
        </w:rPr>
      </w:pPr>
    </w:p>
    <w:p>
      <w:pPr>
        <w:ind w:left="700" w:hanging="227"/>
        <w:spacing w:after="0"/>
        <w:tabs>
          <w:tab w:leader="none" w:pos="7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following items in Losses (gains) and other expenses, net:</w:t>
      </w:r>
    </w:p>
    <w:p>
      <w:pPr>
        <w:spacing w:after="0" w:line="11" w:lineRule="exact"/>
        <w:rPr>
          <w:rFonts w:ascii="Arial" w:cs="Arial" w:eastAsia="Arial" w:hAnsi="Arial"/>
          <w:sz w:val="17"/>
          <w:szCs w:val="17"/>
          <w:color w:val="auto"/>
        </w:rPr>
      </w:pPr>
    </w:p>
    <w:p>
      <w:pPr>
        <w:ind w:left="1340" w:hanging="242"/>
        <w:spacing w:after="0"/>
        <w:tabs>
          <w:tab w:leader="none" w:pos="1340" w:val="left"/>
        </w:tabs>
        <w:numPr>
          <w:ilvl w:val="2"/>
          <w:numId w:val="13"/>
        </w:numPr>
        <w:rPr>
          <w:rFonts w:ascii="Arial" w:cs="Arial" w:eastAsia="Arial" w:hAnsi="Arial"/>
          <w:sz w:val="17"/>
          <w:szCs w:val="17"/>
          <w:color w:val="auto"/>
        </w:rPr>
      </w:pPr>
      <w:r>
        <w:rPr>
          <w:rFonts w:ascii="Arial" w:cs="Arial" w:eastAsia="Arial" w:hAnsi="Arial"/>
          <w:sz w:val="17"/>
          <w:szCs w:val="17"/>
          <w:color w:val="auto"/>
        </w:rPr>
        <w:t>Net change in unrealized losses (gains) on unsettled futures contracts,</w:t>
      </w:r>
    </w:p>
    <w:p>
      <w:pPr>
        <w:spacing w:after="0" w:line="12" w:lineRule="exact"/>
        <w:rPr>
          <w:rFonts w:ascii="Arial" w:cs="Arial" w:eastAsia="Arial" w:hAnsi="Arial"/>
          <w:sz w:val="17"/>
          <w:szCs w:val="17"/>
          <w:color w:val="auto"/>
        </w:rPr>
      </w:pPr>
    </w:p>
    <w:p>
      <w:pPr>
        <w:ind w:left="1340" w:hanging="242"/>
        <w:spacing w:after="0"/>
        <w:tabs>
          <w:tab w:leader="none" w:pos="1340" w:val="left"/>
        </w:tabs>
        <w:numPr>
          <w:ilvl w:val="2"/>
          <w:numId w:val="13"/>
        </w:numPr>
        <w:rPr>
          <w:rFonts w:ascii="Arial" w:cs="Arial" w:eastAsia="Arial" w:hAnsi="Arial"/>
          <w:sz w:val="17"/>
          <w:szCs w:val="17"/>
          <w:color w:val="auto"/>
        </w:rPr>
      </w:pPr>
      <w:r>
        <w:rPr>
          <w:rFonts w:ascii="Arial" w:cs="Arial" w:eastAsia="Arial" w:hAnsi="Arial"/>
          <w:sz w:val="17"/>
          <w:szCs w:val="17"/>
          <w:color w:val="auto"/>
        </w:rPr>
        <w:t>Special legal contingency charges,</w:t>
      </w:r>
    </w:p>
    <w:p>
      <w:pPr>
        <w:spacing w:after="0" w:line="12" w:lineRule="exact"/>
        <w:rPr>
          <w:rFonts w:ascii="Arial" w:cs="Arial" w:eastAsia="Arial" w:hAnsi="Arial"/>
          <w:sz w:val="17"/>
          <w:szCs w:val="17"/>
          <w:color w:val="auto"/>
        </w:rPr>
      </w:pPr>
    </w:p>
    <w:p>
      <w:pPr>
        <w:ind w:left="1340" w:hanging="242"/>
        <w:spacing w:after="0"/>
        <w:tabs>
          <w:tab w:leader="none" w:pos="1340" w:val="left"/>
        </w:tabs>
        <w:numPr>
          <w:ilvl w:val="2"/>
          <w:numId w:val="13"/>
        </w:numPr>
        <w:rPr>
          <w:rFonts w:ascii="Arial" w:cs="Arial" w:eastAsia="Arial" w:hAnsi="Arial"/>
          <w:sz w:val="17"/>
          <w:szCs w:val="17"/>
          <w:color w:val="auto"/>
        </w:rPr>
      </w:pPr>
      <w:r>
        <w:rPr>
          <w:rFonts w:ascii="Arial" w:cs="Arial" w:eastAsia="Arial" w:hAnsi="Arial"/>
          <w:sz w:val="17"/>
          <w:szCs w:val="17"/>
          <w:color w:val="auto"/>
        </w:rPr>
        <w:t>Asbestos-related litigation,</w:t>
      </w:r>
    </w:p>
    <w:p>
      <w:pPr>
        <w:spacing w:after="0" w:line="12" w:lineRule="exact"/>
        <w:rPr>
          <w:rFonts w:ascii="Arial" w:cs="Arial" w:eastAsia="Arial" w:hAnsi="Arial"/>
          <w:sz w:val="17"/>
          <w:szCs w:val="17"/>
          <w:color w:val="auto"/>
        </w:rPr>
      </w:pPr>
    </w:p>
    <w:p>
      <w:pPr>
        <w:ind w:left="1340" w:hanging="242"/>
        <w:spacing w:after="0"/>
        <w:tabs>
          <w:tab w:leader="none" w:pos="1340" w:val="left"/>
        </w:tabs>
        <w:numPr>
          <w:ilvl w:val="2"/>
          <w:numId w:val="13"/>
        </w:numPr>
        <w:rPr>
          <w:rFonts w:ascii="Arial" w:cs="Arial" w:eastAsia="Arial" w:hAnsi="Arial"/>
          <w:sz w:val="17"/>
          <w:szCs w:val="17"/>
          <w:color w:val="auto"/>
        </w:rPr>
      </w:pPr>
      <w:r>
        <w:rPr>
          <w:rFonts w:ascii="Arial" w:cs="Arial" w:eastAsia="Arial" w:hAnsi="Arial"/>
          <w:sz w:val="17"/>
          <w:szCs w:val="17"/>
          <w:color w:val="auto"/>
        </w:rPr>
        <w:t>Environmental liabilities,</w:t>
      </w:r>
    </w:p>
    <w:p>
      <w:pPr>
        <w:spacing w:after="0" w:line="12" w:lineRule="exact"/>
        <w:rPr>
          <w:rFonts w:ascii="Arial" w:cs="Arial" w:eastAsia="Arial" w:hAnsi="Arial"/>
          <w:sz w:val="17"/>
          <w:szCs w:val="17"/>
          <w:color w:val="auto"/>
        </w:rPr>
      </w:pPr>
    </w:p>
    <w:p>
      <w:pPr>
        <w:ind w:left="1340" w:hanging="242"/>
        <w:spacing w:after="0"/>
        <w:tabs>
          <w:tab w:leader="none" w:pos="1340" w:val="left"/>
        </w:tabs>
        <w:numPr>
          <w:ilvl w:val="2"/>
          <w:numId w:val="13"/>
        </w:numPr>
        <w:rPr>
          <w:rFonts w:ascii="Arial" w:cs="Arial" w:eastAsia="Arial" w:hAnsi="Arial"/>
          <w:sz w:val="17"/>
          <w:szCs w:val="17"/>
          <w:color w:val="auto"/>
        </w:rPr>
      </w:pPr>
      <w:r>
        <w:rPr>
          <w:rFonts w:ascii="Arial" w:cs="Arial" w:eastAsia="Arial" w:hAnsi="Arial"/>
          <w:sz w:val="17"/>
          <w:szCs w:val="17"/>
          <w:color w:val="auto"/>
        </w:rPr>
        <w:t>Other items, net,</w:t>
      </w:r>
    </w:p>
    <w:p>
      <w:pPr>
        <w:spacing w:after="0" w:line="12" w:lineRule="exact"/>
        <w:rPr>
          <w:rFonts w:ascii="Arial" w:cs="Arial" w:eastAsia="Arial" w:hAnsi="Arial"/>
          <w:sz w:val="17"/>
          <w:szCs w:val="17"/>
          <w:color w:val="auto"/>
        </w:rPr>
      </w:pPr>
    </w:p>
    <w:p>
      <w:pPr>
        <w:ind w:left="700" w:hanging="227"/>
        <w:spacing w:after="0"/>
        <w:tabs>
          <w:tab w:leader="none" w:pos="7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Special inventory write down,</w:t>
      </w:r>
    </w:p>
    <w:p>
      <w:pPr>
        <w:spacing w:after="0" w:line="12" w:lineRule="exact"/>
        <w:rPr>
          <w:rFonts w:ascii="Arial" w:cs="Arial" w:eastAsia="Arial" w:hAnsi="Arial"/>
          <w:sz w:val="17"/>
          <w:szCs w:val="17"/>
          <w:color w:val="auto"/>
        </w:rPr>
      </w:pPr>
    </w:p>
    <w:p>
      <w:pPr>
        <w:ind w:left="700" w:hanging="227"/>
        <w:spacing w:after="0"/>
        <w:tabs>
          <w:tab w:leader="none" w:pos="7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Special product quality adjustments</w:t>
      </w:r>
    </w:p>
    <w:p>
      <w:pPr>
        <w:spacing w:after="0" w:line="12" w:lineRule="exact"/>
        <w:rPr>
          <w:rFonts w:ascii="Arial" w:cs="Arial" w:eastAsia="Arial" w:hAnsi="Arial"/>
          <w:sz w:val="17"/>
          <w:szCs w:val="17"/>
          <w:color w:val="auto"/>
        </w:rPr>
      </w:pPr>
    </w:p>
    <w:p>
      <w:pPr>
        <w:ind w:left="700" w:hanging="227"/>
        <w:spacing w:after="0"/>
        <w:tabs>
          <w:tab w:leader="none" w:pos="7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Loss (gain), net on sale of businesses and related property,</w:t>
      </w:r>
    </w:p>
    <w:p>
      <w:pPr>
        <w:spacing w:after="0" w:line="12" w:lineRule="exact"/>
        <w:rPr>
          <w:rFonts w:ascii="Arial" w:cs="Arial" w:eastAsia="Arial" w:hAnsi="Arial"/>
          <w:sz w:val="17"/>
          <w:szCs w:val="17"/>
          <w:color w:val="auto"/>
        </w:rPr>
      </w:pPr>
    </w:p>
    <w:p>
      <w:pPr>
        <w:ind w:left="700" w:hanging="227"/>
        <w:spacing w:after="0"/>
        <w:tabs>
          <w:tab w:leader="none" w:pos="7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Insurance recoveries received for property damage incurred from natural disaster, and</w:t>
      </w:r>
    </w:p>
    <w:p>
      <w:pPr>
        <w:spacing w:after="0" w:line="12" w:lineRule="exact"/>
        <w:rPr>
          <w:rFonts w:ascii="Arial" w:cs="Arial" w:eastAsia="Arial" w:hAnsi="Arial"/>
          <w:sz w:val="17"/>
          <w:szCs w:val="17"/>
          <w:color w:val="auto"/>
        </w:rPr>
      </w:pPr>
    </w:p>
    <w:p>
      <w:pPr>
        <w:ind w:left="700" w:hanging="227"/>
        <w:spacing w:after="0"/>
        <w:tabs>
          <w:tab w:leader="none" w:pos="7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Restructuring charges.</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Total assets by segment are shown below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gridSpan w:val="4"/>
          </w:tcPr>
          <w:p>
            <w:pPr>
              <w:ind w:left="80"/>
              <w:spacing w:after="0"/>
              <w:rPr>
                <w:sz w:val="20"/>
                <w:szCs w:val="20"/>
                <w:color w:val="auto"/>
              </w:rPr>
            </w:pPr>
            <w:r>
              <w:rPr>
                <w:rFonts w:ascii="Arial" w:cs="Arial" w:eastAsia="Arial" w:hAnsi="Arial"/>
                <w:sz w:val="16"/>
                <w:szCs w:val="16"/>
                <w:b w:val="1"/>
                <w:bCs w:val="1"/>
                <w:color w:val="auto"/>
                <w:w w:val="91"/>
              </w:rPr>
              <w:t>As of December 31,</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2"/>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1"/>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5"/>
              <w:spacing w:after="0"/>
              <w:rPr>
                <w:sz w:val="20"/>
                <w:szCs w:val="20"/>
                <w:color w:val="auto"/>
              </w:rPr>
            </w:pPr>
            <w:r>
              <w:rPr>
                <w:rFonts w:ascii="Arial" w:cs="Arial" w:eastAsia="Arial" w:hAnsi="Arial"/>
                <w:sz w:val="16"/>
                <w:szCs w:val="16"/>
                <w:b w:val="1"/>
                <w:bCs w:val="1"/>
                <w:color w:val="auto"/>
              </w:rPr>
              <w:t>2017</w:t>
            </w:r>
          </w:p>
        </w:tc>
      </w:tr>
      <w:tr>
        <w:trPr>
          <w:trHeight w:val="32"/>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Assets: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Residential Heating &amp; Cooling</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1,055.7</w:t>
            </w:r>
          </w:p>
        </w:tc>
        <w:tc>
          <w:tcPr>
            <w:tcW w:w="40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837.4</w:t>
            </w:r>
          </w:p>
        </w:tc>
        <w:tc>
          <w:tcPr>
            <w:tcW w:w="100" w:type="dxa"/>
            <w:vAlign w:val="bottom"/>
          </w:tcPr>
          <w:p>
            <w:pPr>
              <w:spacing w:after="0"/>
              <w:rPr>
                <w:sz w:val="20"/>
                <w:szCs w:val="20"/>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771.3</w:t>
            </w: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Commercial Heating &amp; Cooling</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324.3</w:t>
            </w: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Refrigeration</w:t>
            </w:r>
          </w:p>
        </w:tc>
        <w:tc>
          <w:tcPr>
            <w:tcW w:w="30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393.3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462.9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626.5</w:t>
            </w: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169.4</w:t>
            </w:r>
          </w:p>
        </w:tc>
      </w:tr>
      <w:tr>
        <w:trPr>
          <w:trHeight w:val="247"/>
        </w:trPr>
        <w:tc>
          <w:tcPr>
            <w:tcW w:w="7440" w:type="dxa"/>
            <w:vAlign w:val="bottom"/>
          </w:tcPr>
          <w:p>
            <w:pPr>
              <w:ind w:left="260"/>
              <w:spacing w:after="0"/>
              <w:rPr>
                <w:sz w:val="20"/>
                <w:szCs w:val="20"/>
                <w:color w:val="auto"/>
              </w:rPr>
            </w:pPr>
            <w:r>
              <w:rPr>
                <w:rFonts w:ascii="Arial" w:cs="Arial" w:eastAsia="Arial" w:hAnsi="Arial"/>
                <w:sz w:val="17"/>
                <w:szCs w:val="17"/>
                <w:color w:val="auto"/>
              </w:rPr>
              <w:t>Total assets</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2,034.9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1,817.2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1,891.5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assets in the Corporate and other segment primarily consist of cash, short-term investments and deferred tax assets. Assets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544"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recorded in the operating segments represent those assets directly associated with those segments.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Total capital expenditures by segment are shown below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6"/>
          </w:tcPr>
          <w:p>
            <w:pPr>
              <w:jc w:val="center"/>
              <w:ind w:left="436"/>
              <w:spacing w:after="0"/>
              <w:rPr>
                <w:sz w:val="20"/>
                <w:szCs w:val="20"/>
                <w:color w:val="auto"/>
              </w:rPr>
            </w:pPr>
            <w:r>
              <w:rPr>
                <w:rFonts w:ascii="Arial" w:cs="Arial" w:eastAsia="Arial" w:hAnsi="Arial"/>
                <w:sz w:val="16"/>
                <w:szCs w:val="16"/>
                <w:b w:val="1"/>
                <w:bCs w:val="1"/>
                <w:color w:val="auto"/>
                <w:w w:val="87"/>
              </w:rPr>
              <w:t>For the Years Ended December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right="195"/>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5"/>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Capital Expenditures: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Residential Heating &amp; Cooling</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59.2</w:t>
            </w:r>
          </w:p>
        </w:tc>
        <w:tc>
          <w:tcPr>
            <w:tcW w:w="12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45.2</w:t>
            </w:r>
          </w:p>
        </w:tc>
        <w:tc>
          <w:tcPr>
            <w:tcW w:w="100" w:type="dxa"/>
            <w:vAlign w:val="bottom"/>
          </w:tcPr>
          <w:p>
            <w:pPr>
              <w:spacing w:after="0"/>
              <w:rPr>
                <w:sz w:val="20"/>
                <w:szCs w:val="20"/>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Commercial Heating &amp; Cooling</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Refrigeration</w:t>
            </w:r>
          </w:p>
        </w:tc>
        <w:tc>
          <w:tcPr>
            <w:tcW w:w="30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46"/>
        </w:trPr>
        <w:tc>
          <w:tcPr>
            <w:tcW w:w="7440" w:type="dxa"/>
            <w:vAlign w:val="bottom"/>
          </w:tcPr>
          <w:p>
            <w:pPr>
              <w:ind w:left="260"/>
              <w:spacing w:after="0"/>
              <w:rPr>
                <w:sz w:val="20"/>
                <w:szCs w:val="20"/>
                <w:color w:val="auto"/>
              </w:rPr>
            </w:pPr>
            <w:r>
              <w:rPr>
                <w:rFonts w:ascii="Arial" w:cs="Arial" w:eastAsia="Arial" w:hAnsi="Arial"/>
                <w:sz w:val="17"/>
                <w:szCs w:val="17"/>
                <w:color w:val="auto"/>
              </w:rPr>
              <w:t>Total capital expenditures</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105.6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95.2</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98.3</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20"/>
              <w:spacing w:after="0"/>
              <w:rPr>
                <w:sz w:val="20"/>
                <w:szCs w:val="20"/>
                <w:color w:val="auto"/>
              </w:rPr>
            </w:pPr>
            <w:r>
              <w:rPr>
                <w:rFonts w:ascii="Arial" w:cs="Arial" w:eastAsia="Arial" w:hAnsi="Arial"/>
                <w:sz w:val="17"/>
                <w:szCs w:val="17"/>
                <w:color w:val="auto"/>
              </w:rPr>
              <w:t>Depreciation and amortization expenses by segment are shown below (in millions):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6"/>
          </w:tcPr>
          <w:p>
            <w:pPr>
              <w:jc w:val="center"/>
              <w:ind w:left="436"/>
              <w:spacing w:after="0"/>
              <w:rPr>
                <w:sz w:val="20"/>
                <w:szCs w:val="20"/>
                <w:color w:val="auto"/>
              </w:rPr>
            </w:pPr>
            <w:r>
              <w:rPr>
                <w:rFonts w:ascii="Arial" w:cs="Arial" w:eastAsia="Arial" w:hAnsi="Arial"/>
                <w:sz w:val="16"/>
                <w:szCs w:val="16"/>
                <w:b w:val="1"/>
                <w:bCs w:val="1"/>
                <w:color w:val="auto"/>
                <w:w w:val="87"/>
              </w:rPr>
              <w:t>For the Years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right="195"/>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5"/>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Depreciation and 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Residential Heating &amp; Cooling</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20"/>
                <w:szCs w:val="20"/>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Commercial Heating &amp; Cooling</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Refrigeration</w:t>
            </w:r>
          </w:p>
        </w:tc>
        <w:tc>
          <w:tcPr>
            <w:tcW w:w="30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46"/>
        </w:trPr>
        <w:tc>
          <w:tcPr>
            <w:tcW w:w="7440" w:type="dxa"/>
            <w:vAlign w:val="bottom"/>
          </w:tcPr>
          <w:p>
            <w:pPr>
              <w:ind w:left="260"/>
              <w:spacing w:after="0"/>
              <w:rPr>
                <w:sz w:val="20"/>
                <w:szCs w:val="20"/>
                <w:color w:val="auto"/>
              </w:rPr>
            </w:pPr>
            <w:r>
              <w:rPr>
                <w:rFonts w:ascii="Arial" w:cs="Arial" w:eastAsia="Arial" w:hAnsi="Arial"/>
                <w:sz w:val="17"/>
                <w:szCs w:val="17"/>
                <w:color w:val="auto"/>
              </w:rPr>
              <w:t>Total depreciation and amortization</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71.1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20"/>
              <w:spacing w:after="0"/>
              <w:rPr>
                <w:sz w:val="20"/>
                <w:szCs w:val="20"/>
                <w:color w:val="auto"/>
              </w:rPr>
            </w:pPr>
            <w:r>
              <w:rPr>
                <w:rFonts w:ascii="Arial" w:cs="Arial" w:eastAsia="Arial" w:hAnsi="Arial"/>
                <w:sz w:val="17"/>
                <w:szCs w:val="17"/>
                <w:color w:val="auto"/>
              </w:rPr>
              <w:t>The equity method investments are shown below (in millions):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6"/>
          </w:tcPr>
          <w:p>
            <w:pPr>
              <w:jc w:val="center"/>
              <w:ind w:left="436"/>
              <w:spacing w:after="0"/>
              <w:rPr>
                <w:sz w:val="20"/>
                <w:szCs w:val="20"/>
                <w:color w:val="auto"/>
              </w:rPr>
            </w:pPr>
            <w:r>
              <w:rPr>
                <w:rFonts w:ascii="Arial" w:cs="Arial" w:eastAsia="Arial" w:hAnsi="Arial"/>
                <w:sz w:val="16"/>
                <w:szCs w:val="16"/>
                <w:b w:val="1"/>
                <w:bCs w:val="1"/>
                <w:color w:val="auto"/>
                <w:w w:val="87"/>
              </w:rPr>
              <w:t>For the Years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right="195"/>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5"/>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Income from Equity Method Investments: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Residential Heating &amp; Cooling</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8.8</w:t>
            </w:r>
          </w:p>
        </w:tc>
        <w:tc>
          <w:tcPr>
            <w:tcW w:w="12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20"/>
                <w:szCs w:val="20"/>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Commercial Heating &amp; Cooling</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Refrigeration</w:t>
            </w:r>
          </w:p>
        </w:tc>
        <w:tc>
          <w:tcPr>
            <w:tcW w:w="30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6"/>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income from equity method investments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Geographic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for each major geographic area in which we operate, based on the domicile of our operations, are shown below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gridSpan w:val="4"/>
          </w:tcPr>
          <w:p>
            <w:pPr>
              <w:ind w:left="80"/>
              <w:spacing w:after="0"/>
              <w:rPr>
                <w:sz w:val="20"/>
                <w:szCs w:val="20"/>
                <w:color w:val="auto"/>
              </w:rPr>
            </w:pPr>
            <w:r>
              <w:rPr>
                <w:rFonts w:ascii="Arial" w:cs="Arial" w:eastAsia="Arial" w:hAnsi="Arial"/>
                <w:sz w:val="16"/>
                <w:szCs w:val="16"/>
                <w:b w:val="1"/>
                <w:bCs w:val="1"/>
                <w:color w:val="auto"/>
                <w:w w:val="91"/>
              </w:rPr>
              <w:t>As of December 31,</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4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5"/>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2"/>
        </w:trPr>
        <w:tc>
          <w:tcPr>
            <w:tcW w:w="43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Property, Plant and Equipment, net:</w:t>
            </w:r>
          </w:p>
        </w:tc>
        <w:tc>
          <w:tcPr>
            <w:tcW w:w="3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40"/>
              <w:spacing w:after="0"/>
              <w:rPr>
                <w:sz w:val="20"/>
                <w:szCs w:val="20"/>
                <w:color w:val="auto"/>
              </w:rPr>
            </w:pPr>
            <w:r>
              <w:rPr>
                <w:rFonts w:ascii="Arial" w:cs="Arial" w:eastAsia="Arial" w:hAnsi="Arial"/>
                <w:sz w:val="17"/>
                <w:szCs w:val="17"/>
                <w:color w:val="auto"/>
              </w:rPr>
              <w:t>United States</w:t>
            </w:r>
          </w:p>
        </w:tc>
        <w:tc>
          <w:tcPr>
            <w:tcW w:w="340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333.6</w:t>
            </w:r>
          </w:p>
        </w:tc>
        <w:tc>
          <w:tcPr>
            <w:tcW w:w="40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293.3</w:t>
            </w:r>
          </w:p>
        </w:tc>
        <w:tc>
          <w:tcPr>
            <w:tcW w:w="100" w:type="dxa"/>
            <w:vAlign w:val="bottom"/>
          </w:tcPr>
          <w:p>
            <w:pPr>
              <w:spacing w:after="0"/>
              <w:rPr>
                <w:sz w:val="20"/>
                <w:szCs w:val="20"/>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257.6</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Mexico</w:t>
            </w:r>
          </w:p>
        </w:tc>
        <w:tc>
          <w:tcPr>
            <w:tcW w:w="3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79.8</w:t>
            </w:r>
          </w:p>
        </w:tc>
        <w:tc>
          <w:tcPr>
            <w:tcW w:w="0" w:type="dxa"/>
            <w:vAlign w:val="bottom"/>
          </w:tcPr>
          <w:p>
            <w:pPr>
              <w:spacing w:after="0"/>
              <w:rPr>
                <w:sz w:val="1"/>
                <w:szCs w:val="1"/>
                <w:color w:val="auto"/>
              </w:rPr>
            </w:pPr>
          </w:p>
        </w:tc>
      </w:tr>
      <w:tr>
        <w:trPr>
          <w:trHeight w:val="234"/>
        </w:trPr>
        <w:tc>
          <w:tcPr>
            <w:tcW w:w="4340" w:type="dxa"/>
            <w:vAlign w:val="bottom"/>
          </w:tcPr>
          <w:p>
            <w:pPr>
              <w:ind w:left="40"/>
              <w:spacing w:after="0"/>
              <w:rPr>
                <w:sz w:val="20"/>
                <w:szCs w:val="20"/>
                <w:color w:val="auto"/>
              </w:rPr>
            </w:pPr>
            <w:r>
              <w:rPr>
                <w:rFonts w:ascii="Arial" w:cs="Arial" w:eastAsia="Arial" w:hAnsi="Arial"/>
                <w:sz w:val="17"/>
                <w:szCs w:val="17"/>
                <w:color w:val="auto"/>
              </w:rPr>
              <w:t>Canada</w:t>
            </w: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international</w:t>
            </w:r>
          </w:p>
        </w:tc>
        <w:tc>
          <w:tcPr>
            <w:tcW w:w="3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46"/>
        </w:trPr>
        <w:tc>
          <w:tcPr>
            <w:tcW w:w="4340" w:type="dxa"/>
            <w:vAlign w:val="bottom"/>
          </w:tcPr>
          <w:p>
            <w:pPr>
              <w:ind w:left="260"/>
              <w:spacing w:after="0"/>
              <w:rPr>
                <w:sz w:val="20"/>
                <w:szCs w:val="20"/>
                <w:color w:val="auto"/>
              </w:rPr>
            </w:pPr>
            <w:r>
              <w:rPr>
                <w:rFonts w:ascii="Arial" w:cs="Arial" w:eastAsia="Arial" w:hAnsi="Arial"/>
                <w:sz w:val="17"/>
                <w:szCs w:val="17"/>
                <w:color w:val="auto"/>
              </w:rPr>
              <w:t>Total Property, plant and equipment, net</w:t>
            </w:r>
          </w:p>
        </w:tc>
        <w:tc>
          <w:tcPr>
            <w:tcW w:w="3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445.4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408.3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397.8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100" w:type="dxa"/>
            <w:vAlign w:val="bottom"/>
            <w:vMerge w:val="restart"/>
          </w:tcPr>
          <w:p>
            <w:pPr>
              <w:jc w:val="right"/>
              <w:ind w:right="1553"/>
              <w:spacing w:after="0"/>
              <w:rPr>
                <w:sz w:val="20"/>
                <w:szCs w:val="20"/>
                <w:color w:val="auto"/>
              </w:rPr>
            </w:pPr>
            <w:r>
              <w:rPr>
                <w:rFonts w:ascii="Arial" w:cs="Arial" w:eastAsia="Arial" w:hAnsi="Arial"/>
                <w:sz w:val="17"/>
                <w:szCs w:val="17"/>
                <w:color w:val="auto"/>
              </w:rPr>
              <w:t>45</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43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4. Earnings Per Share:</w:t>
      </w:r>
    </w:p>
    <w:p>
      <w:pPr>
        <w:spacing w:after="0" w:line="227"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computations of basic and diluted earnings per share for Income from continuing operations were as follows (in millions, except per share data):</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00" w:type="dxa"/>
            <w:vAlign w:val="bottom"/>
          </w:tcPr>
          <w:p>
            <w:pPr>
              <w:spacing w:after="0"/>
              <w:rPr>
                <w:sz w:val="17"/>
                <w:szCs w:val="17"/>
                <w:color w:val="auto"/>
              </w:rPr>
            </w:pPr>
          </w:p>
        </w:tc>
      </w:tr>
      <w:tr>
        <w:trPr>
          <w:trHeight w:val="32"/>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1"/>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4"/>
              <w:spacing w:after="0"/>
              <w:rPr>
                <w:sz w:val="20"/>
                <w:szCs w:val="20"/>
                <w:color w:val="auto"/>
              </w:rPr>
            </w:pPr>
            <w:r>
              <w:rPr>
                <w:rFonts w:ascii="Arial" w:cs="Arial" w:eastAsia="Arial" w:hAnsi="Arial"/>
                <w:sz w:val="16"/>
                <w:szCs w:val="16"/>
                <w:b w:val="1"/>
                <w:bCs w:val="1"/>
                <w:color w:val="auto"/>
                <w:w w:val="89"/>
              </w:rPr>
              <w:t>2017</w:t>
            </w:r>
          </w:p>
        </w:tc>
      </w:tr>
      <w:tr>
        <w:trPr>
          <w:trHeight w:val="32"/>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income</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408.7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359.0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305.7</w:t>
            </w: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Add: Loss from discontinued operations</w:t>
            </w:r>
          </w:p>
        </w:tc>
        <w:tc>
          <w:tcPr>
            <w:tcW w:w="30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1.4</w:t>
            </w:r>
          </w:p>
        </w:tc>
      </w:tr>
      <w:tr>
        <w:trPr>
          <w:trHeight w:val="26"/>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8"/>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Income from continuing operations</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408.8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360.3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307.1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66"/>
        </w:trPr>
        <w:tc>
          <w:tcPr>
            <w:tcW w:w="7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Weighted-average shares outstanding – basic</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42.2</w:t>
            </w: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Add: Potential effect of diluted securities attributable to stock-based payments</w:t>
            </w:r>
          </w:p>
        </w:tc>
        <w:tc>
          <w:tcPr>
            <w:tcW w:w="30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0.6</w:t>
            </w:r>
          </w:p>
        </w:tc>
      </w:tr>
      <w:tr>
        <w:trPr>
          <w:trHeight w:val="26"/>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8"/>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Weighted-average shares outstanding – diluted</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42.8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66"/>
        </w:trPr>
        <w:tc>
          <w:tcPr>
            <w:tcW w:w="7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Earnings per share - Basic:</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34"/>
        </w:trPr>
        <w:tc>
          <w:tcPr>
            <w:tcW w:w="7440" w:type="dxa"/>
            <w:vAlign w:val="bottom"/>
          </w:tcPr>
          <w:p>
            <w:pPr>
              <w:ind w:left="260"/>
              <w:spacing w:after="0"/>
              <w:rPr>
                <w:sz w:val="20"/>
                <w:szCs w:val="20"/>
                <w:color w:val="auto"/>
              </w:rPr>
            </w:pPr>
            <w:r>
              <w:rPr>
                <w:rFonts w:ascii="Arial" w:cs="Arial" w:eastAsia="Arial" w:hAnsi="Arial"/>
                <w:sz w:val="17"/>
                <w:szCs w:val="17"/>
                <w:color w:val="auto"/>
              </w:rPr>
              <w:t>Income from continuing operations</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10.49</w:t>
            </w:r>
          </w:p>
        </w:tc>
        <w:tc>
          <w:tcPr>
            <w:tcW w:w="12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8.87</w:t>
            </w:r>
          </w:p>
        </w:tc>
        <w:tc>
          <w:tcPr>
            <w:tcW w:w="100" w:type="dxa"/>
            <w:vAlign w:val="bottom"/>
          </w:tcPr>
          <w:p>
            <w:pPr>
              <w:spacing w:after="0"/>
              <w:rPr>
                <w:sz w:val="20"/>
                <w:szCs w:val="20"/>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7.28</w:t>
            </w: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 from discontinued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(0.03)</w:t>
            </w:r>
          </w:p>
        </w:tc>
      </w:tr>
      <w:tr>
        <w:trPr>
          <w:trHeight w:val="227"/>
        </w:trPr>
        <w:tc>
          <w:tcPr>
            <w:tcW w:w="744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10.49</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8.84</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7.25</w:t>
            </w:r>
          </w:p>
        </w:tc>
      </w:tr>
      <w:tr>
        <w:trPr>
          <w:trHeight w:val="66"/>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66"/>
        </w:trPr>
        <w:tc>
          <w:tcPr>
            <w:tcW w:w="7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Earnings per share - Diluted:</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Income from continuing operations</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10.38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7.17</w:t>
            </w:r>
          </w:p>
        </w:tc>
      </w:tr>
      <w:tr>
        <w:trPr>
          <w:trHeight w:val="234"/>
        </w:trPr>
        <w:tc>
          <w:tcPr>
            <w:tcW w:w="7440" w:type="dxa"/>
            <w:vAlign w:val="bottom"/>
          </w:tcPr>
          <w:p>
            <w:pPr>
              <w:ind w:left="260"/>
              <w:spacing w:after="0"/>
              <w:rPr>
                <w:sz w:val="20"/>
                <w:szCs w:val="20"/>
                <w:color w:val="auto"/>
              </w:rPr>
            </w:pPr>
            <w:r>
              <w:rPr>
                <w:rFonts w:ascii="Arial" w:cs="Arial" w:eastAsia="Arial" w:hAnsi="Arial"/>
                <w:sz w:val="17"/>
                <w:szCs w:val="17"/>
                <w:color w:val="auto"/>
              </w:rPr>
              <w:t>Loss from discontinued operations</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(0.03)</w:t>
            </w:r>
          </w:p>
        </w:tc>
      </w:tr>
      <w:tr>
        <w:trPr>
          <w:trHeight w:val="26"/>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8"/>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7.14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An insignificant number of stock appreciation rights and Restricted Stock Units were outstanding but not included in the diluted earnings per share calculation because the assumed exercise of such rights would have been anti-dilutive.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21" w:lineRule="exact"/>
        <w:rPr>
          <w:sz w:val="20"/>
          <w:szCs w:val="20"/>
          <w:color w:val="auto"/>
        </w:rPr>
      </w:pPr>
    </w:p>
    <w:p>
      <w:pPr>
        <w:jc w:val="both"/>
        <w:ind w:firstLine="221"/>
        <w:spacing w:after="0" w:line="283" w:lineRule="auto"/>
        <w:rPr>
          <w:sz w:val="20"/>
          <w:szCs w:val="20"/>
          <w:color w:val="auto"/>
        </w:rPr>
      </w:pPr>
      <w:r>
        <w:rPr>
          <w:rFonts w:ascii="Arial" w:cs="Arial" w:eastAsia="Arial" w:hAnsi="Arial"/>
          <w:sz w:val="16"/>
          <w:szCs w:val="16"/>
          <w:color w:val="auto"/>
        </w:rPr>
        <w:t>We adopted ASC 842 on January 1, 2019, using the modified retrospective method, with the cumulative-effect adjustment to the opening balance sheet of retained earnings as of the effective date. The financial results reported in periods prior to January 1, 2019 are unchanged. Upon adoption, we recognized almost all of our leases greater than one year in duration on the balance sheet as right-of-use assets and lease liabilities. For income statement purposes, the FASB retained a dual model, requiring leases to be classified as either operating or finance. Classification is based on criteria that are largely similar to those previously applied. We have made certain assumptions in judgments when applying ASC 842. Those judgments of most significance are as follows:</w:t>
      </w:r>
    </w:p>
    <w:p>
      <w:pPr>
        <w:spacing w:after="0" w:line="165" w:lineRule="exact"/>
        <w:rPr>
          <w:sz w:val="20"/>
          <w:szCs w:val="20"/>
          <w:color w:val="auto"/>
        </w:rPr>
      </w:pPr>
    </w:p>
    <w:p>
      <w:pPr>
        <w:ind w:left="900" w:hanging="310"/>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elected the package of practical expedients available for transition which allow us to not reassess:</w:t>
      </w:r>
    </w:p>
    <w:p>
      <w:pPr>
        <w:spacing w:after="0" w:line="25" w:lineRule="exact"/>
        <w:rPr>
          <w:rFonts w:ascii="Arial" w:cs="Arial" w:eastAsia="Arial" w:hAnsi="Arial"/>
          <w:sz w:val="17"/>
          <w:szCs w:val="17"/>
          <w:color w:val="auto"/>
        </w:rPr>
      </w:pPr>
    </w:p>
    <w:p>
      <w:pPr>
        <w:ind w:left="1520" w:hanging="305"/>
        <w:spacing w:after="0"/>
        <w:tabs>
          <w:tab w:leader="none" w:pos="15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Whether expired or existing contracts contain leases under the new definition of a lease;</w:t>
      </w:r>
    </w:p>
    <w:p>
      <w:pPr>
        <w:spacing w:after="0" w:line="12" w:lineRule="exact"/>
        <w:rPr>
          <w:rFonts w:ascii="Arial" w:cs="Arial" w:eastAsia="Arial" w:hAnsi="Arial"/>
          <w:sz w:val="17"/>
          <w:szCs w:val="17"/>
          <w:color w:val="auto"/>
        </w:rPr>
      </w:pPr>
    </w:p>
    <w:p>
      <w:pPr>
        <w:ind w:left="1520" w:hanging="305"/>
        <w:spacing w:after="0"/>
        <w:tabs>
          <w:tab w:leader="none" w:pos="15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Lease classification for expired or existing leases; and</w:t>
      </w:r>
    </w:p>
    <w:p>
      <w:pPr>
        <w:spacing w:after="0" w:line="12" w:lineRule="exact"/>
        <w:rPr>
          <w:rFonts w:ascii="Arial" w:cs="Arial" w:eastAsia="Arial" w:hAnsi="Arial"/>
          <w:sz w:val="17"/>
          <w:szCs w:val="17"/>
          <w:color w:val="auto"/>
        </w:rPr>
      </w:pPr>
    </w:p>
    <w:p>
      <w:pPr>
        <w:ind w:left="1520" w:hanging="305"/>
        <w:spacing w:after="0"/>
        <w:tabs>
          <w:tab w:leader="none" w:pos="15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Whether previously capitalized initial direct costs would qualify for capitalization under ASC 842.</w:t>
      </w:r>
    </w:p>
    <w:p>
      <w:pPr>
        <w:spacing w:after="0" w:line="12" w:lineRule="exact"/>
        <w:rPr>
          <w:rFonts w:ascii="Arial" w:cs="Arial" w:eastAsia="Arial" w:hAnsi="Arial"/>
          <w:sz w:val="17"/>
          <w:szCs w:val="17"/>
          <w:color w:val="auto"/>
        </w:rPr>
      </w:pPr>
    </w:p>
    <w:p>
      <w:pPr>
        <w:ind w:left="900" w:hanging="310"/>
        <w:spacing w:after="0" w:line="255"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did not elect to use hindsight for transition when considering judgments and estimates such as assessments of lessee options to extend or terminate a lease or purchase the underlying asset.</w:t>
      </w:r>
    </w:p>
    <w:p>
      <w:pPr>
        <w:spacing w:after="0" w:line="1" w:lineRule="exact"/>
        <w:rPr>
          <w:rFonts w:ascii="Arial" w:cs="Arial" w:eastAsia="Arial" w:hAnsi="Arial"/>
          <w:sz w:val="17"/>
          <w:szCs w:val="17"/>
          <w:color w:val="auto"/>
        </w:rPr>
      </w:pPr>
    </w:p>
    <w:p>
      <w:pPr>
        <w:ind w:left="900" w:hanging="310"/>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did not elect to reassess whether land easements meet the definition of a lease if they were not accounted for as leases under the former rules.</w:t>
      </w:r>
    </w:p>
    <w:p>
      <w:pPr>
        <w:spacing w:after="0" w:line="24" w:lineRule="exact"/>
        <w:rPr>
          <w:rFonts w:ascii="Arial" w:cs="Arial" w:eastAsia="Arial" w:hAnsi="Arial"/>
          <w:sz w:val="16"/>
          <w:szCs w:val="16"/>
          <w:color w:val="auto"/>
        </w:rPr>
      </w:pPr>
    </w:p>
    <w:p>
      <w:pPr>
        <w:ind w:left="900" w:hanging="310"/>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all asset classes, we elected to not recognize a right-of-use asset and lease liability for leases with a term of 12 months or less.</w:t>
      </w:r>
    </w:p>
    <w:p>
      <w:pPr>
        <w:spacing w:after="0" w:line="12" w:lineRule="exact"/>
        <w:rPr>
          <w:rFonts w:ascii="Arial" w:cs="Arial" w:eastAsia="Arial" w:hAnsi="Arial"/>
          <w:sz w:val="17"/>
          <w:szCs w:val="17"/>
          <w:color w:val="auto"/>
        </w:rPr>
      </w:pPr>
    </w:p>
    <w:p>
      <w:pPr>
        <w:ind w:left="900" w:hanging="310"/>
        <w:spacing w:after="0" w:line="271"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all asset classes, we elected to not separate non-lease components from lease components to which they relate and have accounted for the combined lease and non-lease components as a single lease component.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538" w:right="239" w:bottom="1440" w:gutter="0" w:footer="0" w:header="0"/>
        </w:sectPr>
      </w:pPr>
    </w:p>
    <w:bookmarkStart w:id="49" w:name="page50"/>
    <w:bookmarkEnd w:id="49"/>
    <w:p>
      <w:pPr>
        <w:jc w:val="both"/>
        <w:ind w:firstLine="221"/>
        <w:spacing w:after="0" w:line="277" w:lineRule="auto"/>
        <w:rPr>
          <w:sz w:val="20"/>
          <w:szCs w:val="20"/>
          <w:color w:val="auto"/>
        </w:rPr>
      </w:pPr>
      <w:r>
        <w:rPr>
          <w:rFonts w:ascii="Arial" w:cs="Arial" w:eastAsia="Arial" w:hAnsi="Arial"/>
          <w:sz w:val="16"/>
          <w:szCs w:val="16"/>
          <w:color w:val="auto"/>
        </w:rPr>
        <w:t>We determine if an arrangement is a lease at inception. Operating leases are included in our Consolidated Balance Sheet as of December 31, 2019 as Right-of-use assets from operating leases, Current operating lease liabilities and Long-term operating lease liabilities. Finance leases are included in Property, plant and equipment, Current maturities of long-term debt and Long-term debt in our Consolidated Balance Sheet. 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which is the date we enter the leased space and begin to make improvements in preparation for its intended use. Variable lease components represent amounts that are not fixed in nature and are not tied to an index or rate, and are recognized as incurred.</w:t>
      </w:r>
    </w:p>
    <w:p>
      <w:pPr>
        <w:spacing w:after="0" w:line="172" w:lineRule="exact"/>
        <w:rPr>
          <w:sz w:val="20"/>
          <w:szCs w:val="20"/>
          <w:color w:val="auto"/>
        </w:rPr>
      </w:pPr>
    </w:p>
    <w:p>
      <w:pPr>
        <w:jc w:val="both"/>
        <w:ind w:firstLine="221"/>
        <w:spacing w:after="0" w:line="286" w:lineRule="auto"/>
        <w:rPr>
          <w:sz w:val="20"/>
          <w:szCs w:val="20"/>
          <w:color w:val="auto"/>
        </w:rPr>
      </w:pPr>
      <w:r>
        <w:rPr>
          <w:rFonts w:ascii="Arial" w:cs="Arial" w:eastAsia="Arial" w:hAnsi="Arial"/>
          <w:sz w:val="17"/>
          <w:szCs w:val="17"/>
          <w:color w:val="auto"/>
        </w:rPr>
        <w:t>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159" w:lineRule="exact"/>
        <w:rPr>
          <w:sz w:val="20"/>
          <w:szCs w:val="20"/>
          <w:color w:val="auto"/>
        </w:rPr>
      </w:pPr>
    </w:p>
    <w:p>
      <w:pPr>
        <w:jc w:val="both"/>
        <w:ind w:firstLine="221"/>
        <w:spacing w:after="0" w:line="263" w:lineRule="auto"/>
        <w:rPr>
          <w:sz w:val="20"/>
          <w:szCs w:val="20"/>
          <w:color w:val="auto"/>
        </w:rPr>
      </w:pPr>
      <w:r>
        <w:rPr>
          <w:rFonts w:ascii="Arial" w:cs="Arial" w:eastAsia="Arial" w:hAnsi="Arial"/>
          <w:sz w:val="17"/>
          <w:szCs w:val="17"/>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tenors (ranging from 1-year through 30-years), a comparable market yield curve consistent with our credit quality was calibrated to our publicly outstanding debt instruments.</w:t>
      </w:r>
    </w:p>
    <w:p>
      <w:pPr>
        <w:spacing w:after="0" w:line="179" w:lineRule="exact"/>
        <w:rPr>
          <w:sz w:val="20"/>
          <w:szCs w:val="20"/>
          <w:color w:val="auto"/>
        </w:rPr>
      </w:pPr>
    </w:p>
    <w:p>
      <w:pPr>
        <w:jc w:val="both"/>
        <w:ind w:firstLine="221"/>
        <w:spacing w:after="0" w:line="319" w:lineRule="auto"/>
        <w:rPr>
          <w:sz w:val="20"/>
          <w:szCs w:val="20"/>
          <w:color w:val="auto"/>
        </w:rPr>
      </w:pPr>
      <w:r>
        <w:rPr>
          <w:rFonts w:ascii="Arial" w:cs="Arial" w:eastAsia="Arial" w:hAnsi="Arial"/>
          <w:sz w:val="16"/>
          <w:szCs w:val="16"/>
          <w:color w:val="auto"/>
        </w:rPr>
        <w:t>We lease certain real and personal property under non-cancelable operating leases. Approximately 74% of our right-of-use assets and lease liabilities relate to our leases of real estate with the remaining amounts relating to our leases of IT equipment, fleet vehicles and manufacturing and distribution equipment.</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components of lease expense were as follows (in millions):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ind w:right="215"/>
              <w:spacing w:after="0"/>
              <w:rPr>
                <w:sz w:val="20"/>
                <w:szCs w:val="20"/>
                <w:color w:val="auto"/>
              </w:rPr>
            </w:pPr>
            <w:r>
              <w:rPr>
                <w:rFonts w:ascii="Arial" w:cs="Arial" w:eastAsia="Arial" w:hAnsi="Arial"/>
                <w:sz w:val="16"/>
                <w:szCs w:val="16"/>
                <w:b w:val="1"/>
                <w:bCs w:val="1"/>
                <w:color w:val="auto"/>
                <w:w w:val="94"/>
              </w:rPr>
              <w:t>For the Year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ind w:right="235"/>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Finance lease cost:</w:t>
            </w:r>
          </w:p>
        </w:tc>
        <w:tc>
          <w:tcPr>
            <w:tcW w:w="4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gridSpan w:val="2"/>
          </w:tcPr>
          <w:p>
            <w:pPr>
              <w:ind w:left="240"/>
              <w:spacing w:after="0"/>
              <w:rPr>
                <w:sz w:val="20"/>
                <w:szCs w:val="20"/>
                <w:color w:val="auto"/>
              </w:rPr>
            </w:pPr>
            <w:r>
              <w:rPr>
                <w:rFonts w:ascii="Arial" w:cs="Arial" w:eastAsia="Arial" w:hAnsi="Arial"/>
                <w:sz w:val="17"/>
                <w:szCs w:val="17"/>
                <w:color w:val="auto"/>
              </w:rPr>
              <w:t>Amortization of right-of-use assets</w:t>
            </w:r>
          </w:p>
        </w:tc>
        <w:tc>
          <w:tcPr>
            <w:tcW w:w="4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Interest on lease liabilities</w:t>
            </w:r>
          </w:p>
        </w:tc>
        <w:tc>
          <w:tcPr>
            <w:tcW w:w="4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7"/>
                <w:szCs w:val="17"/>
                <w:color w:val="auto"/>
              </w:rPr>
              <w:t>Operating lease cost</w:t>
            </w: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59.7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Short-term lease cost</w:t>
            </w:r>
          </w:p>
        </w:tc>
        <w:tc>
          <w:tcPr>
            <w:tcW w:w="4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7"/>
                <w:szCs w:val="17"/>
                <w:color w:val="auto"/>
              </w:rPr>
              <w:t>Variable lease cost</w:t>
            </w: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CEEFF"/>
          </w:tcPr>
          <w:p>
            <w:pPr>
              <w:spacing w:after="0"/>
              <w:rPr>
                <w:sz w:val="21"/>
                <w:szCs w:val="21"/>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lease cost</w:t>
            </w:r>
          </w:p>
        </w:tc>
        <w:tc>
          <w:tcPr>
            <w:tcW w:w="4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17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92.4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Other information</w:t>
            </w:r>
          </w:p>
        </w:tc>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5380" w:type="dxa"/>
            <w:vAlign w:val="bottom"/>
            <w:gridSpan w:val="2"/>
            <w:vMerge w:val="continue"/>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Cash paid for amounts included in the measurement lease liabilities:</w:t>
            </w:r>
          </w:p>
        </w:tc>
        <w:tc>
          <w:tcPr>
            <w:tcW w:w="4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gridSpan w:val="2"/>
          </w:tcPr>
          <w:p>
            <w:pPr>
              <w:ind w:left="240"/>
              <w:spacing w:after="0"/>
              <w:rPr>
                <w:sz w:val="20"/>
                <w:szCs w:val="20"/>
                <w:color w:val="auto"/>
              </w:rPr>
            </w:pPr>
            <w:r>
              <w:rPr>
                <w:rFonts w:ascii="Arial" w:cs="Arial" w:eastAsia="Arial" w:hAnsi="Arial"/>
                <w:sz w:val="17"/>
                <w:szCs w:val="17"/>
                <w:color w:val="auto"/>
              </w:rPr>
              <w:t>Operating cash flows from operating leases</w:t>
            </w:r>
          </w:p>
        </w:tc>
        <w:tc>
          <w:tcPr>
            <w:tcW w:w="4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Financing cash flows from finance leases</w:t>
            </w:r>
          </w:p>
        </w:tc>
        <w:tc>
          <w:tcPr>
            <w:tcW w:w="4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7"/>
                <w:szCs w:val="17"/>
                <w:color w:val="auto"/>
                <w:w w:val="97"/>
              </w:rPr>
              <w:t>Right-of-use assets obtained in exchange for new finance lease liabilities</w:t>
            </w: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w w:val="95"/>
              </w:rPr>
              <w:t>Right-of-use assets obtained in exchange for new operating lease liabilities</w:t>
            </w:r>
          </w:p>
        </w:tc>
        <w:tc>
          <w:tcPr>
            <w:tcW w:w="4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20" w:type="dxa"/>
            <w:vAlign w:val="bottom"/>
          </w:tcPr>
          <w:p>
            <w:pPr>
              <w:jc w:val="right"/>
              <w:ind w:right="3593"/>
              <w:spacing w:after="0"/>
              <w:rPr>
                <w:sz w:val="20"/>
                <w:szCs w:val="20"/>
                <w:color w:val="auto"/>
              </w:rPr>
            </w:pPr>
            <w:r>
              <w:rPr>
                <w:rFonts w:ascii="Arial" w:cs="Arial" w:eastAsia="Arial" w:hAnsi="Arial"/>
                <w:sz w:val="17"/>
                <w:szCs w:val="17"/>
                <w:color w:val="auto"/>
              </w:rPr>
              <w:t>47</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52"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jc w:val="right"/>
              <w:ind w:right="154"/>
              <w:spacing w:after="0"/>
              <w:rPr>
                <w:sz w:val="20"/>
                <w:szCs w:val="20"/>
                <w:color w:val="auto"/>
              </w:rPr>
            </w:pPr>
            <w:r>
              <w:rPr>
                <w:rFonts w:ascii="Arial" w:cs="Arial" w:eastAsia="Arial" w:hAnsi="Arial"/>
                <w:sz w:val="16"/>
                <w:szCs w:val="16"/>
                <w:b w:val="1"/>
                <w:bCs w:val="1"/>
                <w:color w:val="auto"/>
                <w:w w:val="89"/>
              </w:rPr>
              <w:t>As of December 31, 2019</w:t>
            </w:r>
          </w:p>
        </w:tc>
      </w:tr>
      <w:tr>
        <w:trPr>
          <w:trHeight w:val="32"/>
        </w:trPr>
        <w:tc>
          <w:tcPr>
            <w:tcW w:w="9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3"/>
        </w:trPr>
        <w:tc>
          <w:tcPr>
            <w:tcW w:w="9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Finance lease right-of-use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28.4</w:t>
            </w:r>
          </w:p>
        </w:tc>
      </w:tr>
      <w:tr>
        <w:trPr>
          <w:trHeight w:val="234"/>
        </w:trPr>
        <w:tc>
          <w:tcPr>
            <w:tcW w:w="9300" w:type="dxa"/>
            <w:vAlign w:val="bottom"/>
          </w:tcPr>
          <w:p>
            <w:pPr>
              <w:ind w:left="40"/>
              <w:spacing w:after="0"/>
              <w:rPr>
                <w:sz w:val="20"/>
                <w:szCs w:val="20"/>
                <w:color w:val="auto"/>
              </w:rPr>
            </w:pPr>
            <w:r>
              <w:rPr>
                <w:rFonts w:ascii="Arial" w:cs="Arial" w:eastAsia="Arial" w:hAnsi="Arial"/>
                <w:sz w:val="17"/>
                <w:szCs w:val="17"/>
                <w:color w:val="auto"/>
              </w:rPr>
              <w:t>Operating lease right-of-use assets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94"/>
              <w:spacing w:after="0"/>
              <w:rPr>
                <w:sz w:val="20"/>
                <w:szCs w:val="20"/>
                <w:color w:val="auto"/>
              </w:rPr>
            </w:pPr>
            <w:r>
              <w:rPr>
                <w:rFonts w:ascii="Arial" w:cs="Arial" w:eastAsia="Arial" w:hAnsi="Arial"/>
                <w:sz w:val="17"/>
                <w:szCs w:val="17"/>
                <w:color w:val="auto"/>
              </w:rPr>
              <w:t>181.6</w:t>
            </w:r>
          </w:p>
        </w:tc>
      </w:tr>
      <w:tr>
        <w:trPr>
          <w:trHeight w:val="26"/>
        </w:trPr>
        <w:tc>
          <w:tcPr>
            <w:tcW w:w="9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9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Finance lease liability, 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7.8</w:t>
            </w:r>
          </w:p>
        </w:tc>
      </w:tr>
      <w:tr>
        <w:trPr>
          <w:trHeight w:val="234"/>
        </w:trPr>
        <w:tc>
          <w:tcPr>
            <w:tcW w:w="9300" w:type="dxa"/>
            <w:vAlign w:val="bottom"/>
          </w:tcPr>
          <w:p>
            <w:pPr>
              <w:ind w:left="40"/>
              <w:spacing w:after="0"/>
              <w:rPr>
                <w:sz w:val="20"/>
                <w:szCs w:val="20"/>
                <w:color w:val="auto"/>
              </w:rPr>
            </w:pPr>
            <w:r>
              <w:rPr>
                <w:rFonts w:ascii="Arial" w:cs="Arial" w:eastAsia="Arial" w:hAnsi="Arial"/>
                <w:sz w:val="17"/>
                <w:szCs w:val="17"/>
                <w:color w:val="auto"/>
              </w:rPr>
              <w:t>Finance lease liability, non-current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94"/>
              <w:spacing w:after="0"/>
              <w:rPr>
                <w:sz w:val="20"/>
                <w:szCs w:val="20"/>
                <w:color w:val="auto"/>
              </w:rPr>
            </w:pPr>
            <w:r>
              <w:rPr>
                <w:rFonts w:ascii="Arial" w:cs="Arial" w:eastAsia="Arial" w:hAnsi="Arial"/>
                <w:sz w:val="17"/>
                <w:szCs w:val="17"/>
                <w:color w:val="auto"/>
              </w:rPr>
              <w:t>25.9</w:t>
            </w:r>
          </w:p>
        </w:tc>
      </w:tr>
      <w:tr>
        <w:trPr>
          <w:trHeight w:val="26"/>
        </w:trPr>
        <w:tc>
          <w:tcPr>
            <w:tcW w:w="9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9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 liability, 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52.7</w:t>
            </w:r>
          </w:p>
        </w:tc>
      </w:tr>
      <w:tr>
        <w:trPr>
          <w:trHeight w:val="234"/>
        </w:trPr>
        <w:tc>
          <w:tcPr>
            <w:tcW w:w="9300" w:type="dxa"/>
            <w:vAlign w:val="bottom"/>
          </w:tcPr>
          <w:p>
            <w:pPr>
              <w:ind w:left="40"/>
              <w:spacing w:after="0"/>
              <w:rPr>
                <w:sz w:val="20"/>
                <w:szCs w:val="20"/>
                <w:color w:val="auto"/>
              </w:rPr>
            </w:pPr>
            <w:r>
              <w:rPr>
                <w:rFonts w:ascii="Arial" w:cs="Arial" w:eastAsia="Arial" w:hAnsi="Arial"/>
                <w:sz w:val="17"/>
                <w:szCs w:val="17"/>
                <w:color w:val="auto"/>
              </w:rPr>
              <w:t>Operating lease liability, non-current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94"/>
              <w:spacing w:after="0"/>
              <w:rPr>
                <w:sz w:val="20"/>
                <w:szCs w:val="20"/>
                <w:color w:val="auto"/>
              </w:rPr>
            </w:pPr>
            <w:r>
              <w:rPr>
                <w:rFonts w:ascii="Arial" w:cs="Arial" w:eastAsia="Arial" w:hAnsi="Arial"/>
                <w:sz w:val="17"/>
                <w:szCs w:val="17"/>
                <w:color w:val="auto"/>
              </w:rPr>
              <w:t>131.0</w:t>
            </w:r>
          </w:p>
        </w:tc>
      </w:tr>
      <w:tr>
        <w:trPr>
          <w:trHeight w:val="26"/>
        </w:trPr>
        <w:tc>
          <w:tcPr>
            <w:tcW w:w="9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9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Weighted-average remaining lease term - finance leases</w:t>
            </w:r>
          </w:p>
        </w:tc>
        <w:tc>
          <w:tcPr>
            <w:tcW w:w="1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4.9 years</w:t>
            </w:r>
          </w:p>
        </w:tc>
      </w:tr>
      <w:tr>
        <w:trPr>
          <w:trHeight w:val="234"/>
        </w:trPr>
        <w:tc>
          <w:tcPr>
            <w:tcW w:w="9300" w:type="dxa"/>
            <w:vAlign w:val="bottom"/>
          </w:tcPr>
          <w:p>
            <w:pPr>
              <w:ind w:left="40"/>
              <w:spacing w:after="0"/>
              <w:rPr>
                <w:sz w:val="20"/>
                <w:szCs w:val="20"/>
                <w:color w:val="auto"/>
              </w:rPr>
            </w:pPr>
            <w:r>
              <w:rPr>
                <w:rFonts w:ascii="Arial" w:cs="Arial" w:eastAsia="Arial" w:hAnsi="Arial"/>
                <w:sz w:val="17"/>
                <w:szCs w:val="17"/>
                <w:color w:val="auto"/>
              </w:rPr>
              <w:t>Weighted-average remaining lease term - operating leases</w:t>
            </w:r>
          </w:p>
        </w:tc>
        <w:tc>
          <w:tcPr>
            <w:tcW w:w="180" w:type="dxa"/>
            <w:vAlign w:val="bottom"/>
          </w:tcPr>
          <w:p>
            <w:pPr>
              <w:spacing w:after="0"/>
              <w:rPr>
                <w:sz w:val="20"/>
                <w:szCs w:val="20"/>
                <w:color w:val="auto"/>
              </w:rPr>
            </w:pPr>
          </w:p>
        </w:tc>
        <w:tc>
          <w:tcPr>
            <w:tcW w:w="1940" w:type="dxa"/>
            <w:vAlign w:val="bottom"/>
          </w:tcPr>
          <w:p>
            <w:pPr>
              <w:jc w:val="right"/>
              <w:ind w:right="94"/>
              <w:spacing w:after="0"/>
              <w:rPr>
                <w:sz w:val="20"/>
                <w:szCs w:val="20"/>
                <w:color w:val="auto"/>
              </w:rPr>
            </w:pPr>
            <w:r>
              <w:rPr>
                <w:rFonts w:ascii="Arial" w:cs="Arial" w:eastAsia="Arial" w:hAnsi="Arial"/>
                <w:sz w:val="17"/>
                <w:szCs w:val="17"/>
                <w:color w:val="auto"/>
              </w:rPr>
              <w:t>4.5 years</w:t>
            </w:r>
          </w:p>
        </w:tc>
      </w:tr>
      <w:tr>
        <w:trPr>
          <w:trHeight w:val="26"/>
        </w:trPr>
        <w:tc>
          <w:tcPr>
            <w:tcW w:w="9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9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Weighted-average discount rate - finance leases</w:t>
            </w:r>
          </w:p>
        </w:tc>
        <w:tc>
          <w:tcPr>
            <w:tcW w:w="1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2.71%</w:t>
            </w:r>
          </w:p>
        </w:tc>
      </w:tr>
      <w:tr>
        <w:trPr>
          <w:trHeight w:val="234"/>
        </w:trPr>
        <w:tc>
          <w:tcPr>
            <w:tcW w:w="9300" w:type="dxa"/>
            <w:vAlign w:val="bottom"/>
          </w:tcPr>
          <w:p>
            <w:pPr>
              <w:ind w:left="40"/>
              <w:spacing w:after="0"/>
              <w:rPr>
                <w:sz w:val="20"/>
                <w:szCs w:val="20"/>
                <w:color w:val="auto"/>
              </w:rPr>
            </w:pPr>
            <w:r>
              <w:rPr>
                <w:rFonts w:ascii="Arial" w:cs="Arial" w:eastAsia="Arial" w:hAnsi="Arial"/>
                <w:sz w:val="17"/>
                <w:szCs w:val="17"/>
                <w:color w:val="auto"/>
              </w:rPr>
              <w:t>Weighted-average discount rate – operating leases</w:t>
            </w:r>
          </w:p>
        </w:tc>
        <w:tc>
          <w:tcPr>
            <w:tcW w:w="1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3.69%</w:t>
            </w:r>
          </w:p>
        </w:tc>
      </w:tr>
    </w:tbl>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Future annual minimum lease payments and finance lease commitments as of December 31, 2019 were as follows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Pr>
          <w:p>
            <w:pPr>
              <w:spacing w:after="0"/>
              <w:rPr>
                <w:sz w:val="17"/>
                <w:szCs w:val="17"/>
                <w:color w:val="auto"/>
              </w:rPr>
            </w:pPr>
          </w:p>
        </w:tc>
        <w:tc>
          <w:tcPr>
            <w:tcW w:w="1380" w:type="dxa"/>
            <w:vAlign w:val="bottom"/>
          </w:tcPr>
          <w:p>
            <w:pPr>
              <w:jc w:val="right"/>
              <w:ind w:right="194"/>
              <w:spacing w:after="0"/>
              <w:rPr>
                <w:sz w:val="20"/>
                <w:szCs w:val="20"/>
                <w:color w:val="auto"/>
              </w:rPr>
            </w:pPr>
            <w:r>
              <w:rPr>
                <w:rFonts w:ascii="Arial" w:cs="Arial" w:eastAsia="Arial" w:hAnsi="Arial"/>
                <w:sz w:val="16"/>
                <w:szCs w:val="16"/>
                <w:b w:val="1"/>
                <w:bCs w:val="1"/>
                <w:color w:val="auto"/>
                <w:w w:val="90"/>
              </w:rPr>
              <w:t>Finance Leases</w:t>
            </w:r>
          </w:p>
        </w:tc>
      </w:tr>
      <w:tr>
        <w:trPr>
          <w:trHeight w:val="32"/>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58.4</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8.4</w:t>
            </w:r>
          </w:p>
        </w:tc>
      </w:tr>
      <w:tr>
        <w:trPr>
          <w:trHeight w:val="234"/>
        </w:trPr>
        <w:tc>
          <w:tcPr>
            <w:tcW w:w="8000" w:type="dxa"/>
            <w:vAlign w:val="bottom"/>
          </w:tcPr>
          <w:p>
            <w:pPr>
              <w:ind w:left="40"/>
              <w:spacing w:after="0"/>
              <w:rPr>
                <w:sz w:val="20"/>
                <w:szCs w:val="20"/>
                <w:color w:val="auto"/>
              </w:rPr>
            </w:pPr>
            <w:r>
              <w:rPr>
                <w:rFonts w:ascii="Arial" w:cs="Arial" w:eastAsia="Arial" w:hAnsi="Arial"/>
                <w:sz w:val="17"/>
                <w:szCs w:val="17"/>
                <w:color w:val="auto"/>
              </w:rPr>
              <w:t>2021</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7"/>
                <w:szCs w:val="17"/>
                <w:color w:val="auto"/>
              </w:rPr>
              <w:t>46.3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6.8</w:t>
            </w:r>
          </w:p>
        </w:tc>
      </w:tr>
      <w:tr>
        <w:trPr>
          <w:trHeight w:val="26"/>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33.8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4.9</w:t>
            </w:r>
          </w:p>
        </w:tc>
      </w:tr>
      <w:tr>
        <w:trPr>
          <w:trHeight w:val="234"/>
        </w:trPr>
        <w:tc>
          <w:tcPr>
            <w:tcW w:w="8000" w:type="dxa"/>
            <w:vAlign w:val="bottom"/>
          </w:tcPr>
          <w:p>
            <w:pPr>
              <w:ind w:left="40"/>
              <w:spacing w:after="0"/>
              <w:rPr>
                <w:sz w:val="20"/>
                <w:szCs w:val="20"/>
                <w:color w:val="auto"/>
              </w:rPr>
            </w:pPr>
            <w:r>
              <w:rPr>
                <w:rFonts w:ascii="Arial" w:cs="Arial" w:eastAsia="Arial" w:hAnsi="Arial"/>
                <w:sz w:val="17"/>
                <w:szCs w:val="17"/>
                <w:color w:val="auto"/>
              </w:rPr>
              <w:t>2023</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7"/>
                <w:szCs w:val="17"/>
                <w:color w:val="auto"/>
              </w:rPr>
              <w:t>26.7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2.5</w:t>
            </w:r>
          </w:p>
        </w:tc>
      </w:tr>
      <w:tr>
        <w:trPr>
          <w:trHeight w:val="26"/>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17.0</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0.6</w:t>
            </w:r>
          </w:p>
        </w:tc>
      </w:tr>
      <w:tr>
        <w:trPr>
          <w:trHeight w:val="234"/>
        </w:trPr>
        <w:tc>
          <w:tcPr>
            <w:tcW w:w="800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7"/>
                <w:szCs w:val="17"/>
                <w:color w:val="auto"/>
              </w:rPr>
              <w:t>17.1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11.7</w:t>
            </w:r>
          </w:p>
        </w:tc>
      </w:tr>
      <w:tr>
        <w:trPr>
          <w:trHeight w:val="26"/>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minimum lease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199.3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34.9</w:t>
            </w:r>
          </w:p>
        </w:tc>
      </w:tr>
      <w:tr>
        <w:trPr>
          <w:trHeight w:val="234"/>
        </w:trPr>
        <w:tc>
          <w:tcPr>
            <w:tcW w:w="8000" w:type="dxa"/>
            <w:vAlign w:val="bottom"/>
          </w:tcPr>
          <w:p>
            <w:pPr>
              <w:ind w:left="40"/>
              <w:spacing w:after="0"/>
              <w:rPr>
                <w:sz w:val="20"/>
                <w:szCs w:val="20"/>
                <w:color w:val="auto"/>
              </w:rPr>
            </w:pPr>
            <w:r>
              <w:rPr>
                <w:rFonts w:ascii="Arial" w:cs="Arial" w:eastAsia="Arial" w:hAnsi="Arial"/>
                <w:sz w:val="17"/>
                <w:szCs w:val="17"/>
                <w:color w:val="auto"/>
              </w:rPr>
              <w:t>Less imputed interest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6"/>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Present value of minimum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183.7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33.7</w:t>
            </w: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adopted ASU 2016-02 on January 1, 2019 as noted above, and as required, the following disclosure is provided for periods prior to adoption.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Future annual minimum lease payments and capital lease commitments as of December 31, 2018 were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Pr>
          <w:p>
            <w:pPr>
              <w:spacing w:after="0"/>
              <w:rPr>
                <w:sz w:val="17"/>
                <w:szCs w:val="17"/>
                <w:color w:val="auto"/>
              </w:rPr>
            </w:pPr>
          </w:p>
        </w:tc>
        <w:tc>
          <w:tcPr>
            <w:tcW w:w="1380" w:type="dxa"/>
            <w:vAlign w:val="bottom"/>
          </w:tcPr>
          <w:p>
            <w:pPr>
              <w:jc w:val="right"/>
              <w:ind w:right="214"/>
              <w:spacing w:after="0"/>
              <w:rPr>
                <w:sz w:val="20"/>
                <w:szCs w:val="20"/>
                <w:color w:val="auto"/>
              </w:rPr>
            </w:pPr>
            <w:r>
              <w:rPr>
                <w:rFonts w:ascii="Arial" w:cs="Arial" w:eastAsia="Arial" w:hAnsi="Arial"/>
                <w:sz w:val="16"/>
                <w:szCs w:val="16"/>
                <w:b w:val="1"/>
                <w:bCs w:val="1"/>
                <w:color w:val="auto"/>
                <w:w w:val="94"/>
              </w:rPr>
              <w:t>Capital Leases</w:t>
            </w:r>
          </w:p>
        </w:tc>
        <w:tc>
          <w:tcPr>
            <w:tcW w:w="0" w:type="dxa"/>
            <w:vAlign w:val="bottom"/>
          </w:tcPr>
          <w:p>
            <w:pPr>
              <w:spacing w:after="0"/>
              <w:rPr>
                <w:sz w:val="1"/>
                <w:szCs w:val="1"/>
                <w:color w:val="auto"/>
              </w:rPr>
            </w:pPr>
          </w:p>
        </w:tc>
      </w:tr>
      <w:tr>
        <w:trPr>
          <w:trHeight w:val="32"/>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47.4</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34"/>
        </w:trPr>
        <w:tc>
          <w:tcPr>
            <w:tcW w:w="8000" w:type="dxa"/>
            <w:vAlign w:val="bottom"/>
          </w:tcPr>
          <w:p>
            <w:pPr>
              <w:ind w:left="40"/>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7"/>
                <w:szCs w:val="17"/>
                <w:color w:val="auto"/>
              </w:rPr>
              <w:t>38.4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6"/>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27.2</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34"/>
        </w:trPr>
        <w:tc>
          <w:tcPr>
            <w:tcW w:w="8000" w:type="dxa"/>
            <w:vAlign w:val="bottom"/>
          </w:tcPr>
          <w:p>
            <w:pPr>
              <w:ind w:left="40"/>
              <w:spacing w:after="0"/>
              <w:rPr>
                <w:sz w:val="20"/>
                <w:szCs w:val="20"/>
                <w:color w:val="auto"/>
              </w:rPr>
            </w:pPr>
            <w:r>
              <w:rPr>
                <w:rFonts w:ascii="Arial" w:cs="Arial" w:eastAsia="Arial" w:hAnsi="Arial"/>
                <w:sz w:val="17"/>
                <w:szCs w:val="17"/>
                <w:color w:val="auto"/>
              </w:rPr>
              <w:t>2022</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7"/>
                <w:szCs w:val="17"/>
                <w:color w:val="auto"/>
              </w:rPr>
              <w:t>17.9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6"/>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2023</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12.7</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34"/>
        </w:trPr>
        <w:tc>
          <w:tcPr>
            <w:tcW w:w="800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7"/>
                <w:szCs w:val="17"/>
                <w:color w:val="auto"/>
              </w:rPr>
              <w:t>16.1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6"/>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159.7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Arial" w:cs="Arial" w:eastAsia="Arial" w:hAnsi="Arial"/>
                <w:sz w:val="17"/>
                <w:szCs w:val="17"/>
                <w:color w:val="auto"/>
              </w:rPr>
              <w:t>Less amount representing interest</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line="20" w:lineRule="exact"/>
              <w:rPr>
                <w:sz w:val="1"/>
                <w:szCs w:val="1"/>
                <w:color w:val="auto"/>
              </w:rPr>
            </w:pPr>
          </w:p>
        </w:tc>
      </w:tr>
      <w:tr>
        <w:trPr>
          <w:trHeight w:val="220"/>
        </w:trPr>
        <w:tc>
          <w:tcPr>
            <w:tcW w:w="8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Present value of minimum payments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234"/>
        <w:spacing w:after="0" w:line="279" w:lineRule="auto"/>
        <w:rPr>
          <w:sz w:val="20"/>
          <w:szCs w:val="20"/>
          <w:color w:val="auto"/>
        </w:rPr>
      </w:pPr>
      <w:r>
        <w:rPr>
          <w:rFonts w:ascii="Arial" w:cs="Arial" w:eastAsia="Arial" w:hAnsi="Arial"/>
          <w:sz w:val="16"/>
          <w:szCs w:val="16"/>
          <w:color w:val="auto"/>
        </w:rPr>
        <w:t>On March 1, 2019, we entered into an agreement with a financial institution to renew the lease of our corporate headquarters in Richardson, Texas for a term of five years through March 1, 2024 (the “Lake Park Renewal”). The leased property consists of an office building of approximately 192,000 square feet, land and related improvements. During the lease term, we are obligated to pay base rent in quarterly installments, payable in arrears. At the end of the lease term, we must do one of the following: (i) purchase the property for $41.2 million; (ii) vacate the property and return it in good condition; (iii) arrange for the sale of the leased property to a third party; or (iv) renew the lease under mutually agreeable terms. If we elect to sell the property to a third party and the sales proceeds are less than the lease balance of $41.2 million, we must pay any such deficit to the financial institution. Any such deficit payment cannot exceed 87% of the lease balance. The headquarters lease is classified as an operating lease and its future annual minimum lease payments are included in the table above.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712" w:right="239" w:bottom="1440" w:gutter="0" w:footer="0" w:header="0"/>
        </w:sectPr>
      </w:pPr>
    </w:p>
    <w:bookmarkStart w:id="51" w:name="page52"/>
    <w:bookmarkEnd w:id="51"/>
    <w:p>
      <w:pPr>
        <w:jc w:val="both"/>
        <w:ind w:firstLine="234"/>
        <w:spacing w:after="0" w:line="266" w:lineRule="auto"/>
        <w:rPr>
          <w:sz w:val="20"/>
          <w:szCs w:val="20"/>
          <w:color w:val="auto"/>
        </w:rPr>
      </w:pPr>
      <w:r>
        <w:rPr>
          <w:rFonts w:ascii="Arial" w:cs="Arial" w:eastAsia="Arial" w:hAnsi="Arial"/>
          <w:sz w:val="17"/>
          <w:szCs w:val="17"/>
          <w:color w:val="auto"/>
        </w:rPr>
        <w:t>Our obligations under the Lake Park Renewal are secured by a pledge of our interest in the leased property. The Lake Park Renewal contains customary lease covenants and events of default as well as events of default if (i) indebtedness of $75 million or more is not paid when due, (ii) there is a change of control or (iii) we fail to comply with certain covenants incorporated from our existing credit facility agreement. We believe we were in compliance with these financial covenants as of December 31, 2019.</w:t>
      </w:r>
    </w:p>
    <w:p>
      <w:pPr>
        <w:spacing w:after="0" w:line="175"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In 2008, we expanded our Tifton, Georgia manufacturing facility using the proceeds from industrial development bonds (“IDBs”). We entered into a lease agreement with the owner of the property and the issuer of the IDBs, and through our lease payments fund the interest payments to investors in the IDBs. We also guaranteed the repayment of the IDBs and have outstanding letters of credit totaling $11.7 million to fund a potential repurchase of the IDBs in the event investors exercised their right to tender the IDBs to the trustee. We had finance lease obligations of $11.7 million related to these transactions as of December 31, 2019 and 2018.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w:t>
      </w:r>
    </w:p>
    <w:p>
      <w:pPr>
        <w:spacing w:after="0" w:line="221" w:lineRule="exact"/>
        <w:rPr>
          <w:sz w:val="20"/>
          <w:szCs w:val="20"/>
          <w:color w:val="auto"/>
        </w:rPr>
      </w:pPr>
    </w:p>
    <w:p>
      <w:pPr>
        <w:jc w:val="both"/>
        <w:ind w:firstLine="234"/>
        <w:spacing w:after="0" w:line="283" w:lineRule="auto"/>
        <w:rPr>
          <w:sz w:val="20"/>
          <w:szCs w:val="20"/>
          <w:color w:val="auto"/>
        </w:rPr>
      </w:pPr>
      <w:r>
        <w:rPr>
          <w:rFonts w:ascii="Arial" w:cs="Arial" w:eastAsia="Arial" w:hAnsi="Arial"/>
          <w:sz w:val="16"/>
          <w:szCs w:val="16"/>
          <w:color w:val="auto"/>
        </w:rPr>
        <w:t>Environmental laws and regulations in the locations we operate can potentially impose obligations to remediate hazardous substances at our properties, properties formerly owned or operated by us, and facilities to which we have sent or send waste for treatment or disposal. We are aware of contamination at some facilities; however, we do not believe that any future remediation related to those facilities will be material to our results of operations. Total environmental accruals are included Accrued expenses and Other liabilities on the accompanying Consolidated Balance Sheets. Future environmental costs are estimates and may be subject to change due to changes in environmental remediation regulations, technology or site-specific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Warranties and Product Related Contingencies</w:t>
      </w:r>
    </w:p>
    <w:p>
      <w:pPr>
        <w:spacing w:after="0" w:line="22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We incur the risk of liability for claims related to the installation and service of heating and air conditioning products, and we maintain liabilities for those claims that we self-insure. We are involved in various claims and lawsuits related to our products. Our product liability insurance policies have limits that, if exceeded, may result in substantial costs that could have an adverse effect on our results of operations. In addition, warranty claims and certain product liability claims are not covered by our product liability insurance.</w:t>
      </w:r>
    </w:p>
    <w:p>
      <w:pPr>
        <w:spacing w:after="0" w:line="175"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Total product warranty liabilities related to continuing operations are included in the following captions on the accompanying Consolidated Balance Sheets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7"/>
              </w:rPr>
              <w:t>As of December 31,</w:t>
            </w:r>
          </w:p>
        </w:tc>
        <w:tc>
          <w:tcPr>
            <w:tcW w:w="900" w:type="dxa"/>
            <w:vAlign w:val="bottom"/>
          </w:tcPr>
          <w:p>
            <w:pPr>
              <w:spacing w:after="0"/>
              <w:rPr>
                <w:sz w:val="17"/>
                <w:szCs w:val="17"/>
                <w:color w:val="auto"/>
              </w:rPr>
            </w:pPr>
          </w:p>
        </w:tc>
      </w:tr>
      <w:tr>
        <w:trPr>
          <w:trHeight w:val="32"/>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1"/>
        </w:trPr>
        <w:tc>
          <w:tcPr>
            <w:tcW w:w="8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495"/>
              <w:spacing w:after="0"/>
              <w:rPr>
                <w:sz w:val="20"/>
                <w:szCs w:val="20"/>
                <w:color w:val="auto"/>
              </w:rPr>
            </w:pPr>
            <w:r>
              <w:rPr>
                <w:rFonts w:ascii="Arial" w:cs="Arial" w:eastAsia="Arial" w:hAnsi="Arial"/>
                <w:sz w:val="16"/>
                <w:szCs w:val="16"/>
                <w:b w:val="1"/>
                <w:bCs w:val="1"/>
                <w:color w:val="auto"/>
                <w:w w:val="84"/>
              </w:rPr>
              <w:t>2018</w:t>
            </w:r>
          </w:p>
        </w:tc>
      </w:tr>
      <w:tr>
        <w:trPr>
          <w:trHeight w:val="32"/>
        </w:trPr>
        <w:tc>
          <w:tcPr>
            <w:tcW w:w="8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expenses</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38.2</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37.9</w:t>
            </w:r>
          </w:p>
        </w:tc>
      </w:tr>
      <w:tr>
        <w:trPr>
          <w:trHeight w:val="234"/>
        </w:trPr>
        <w:tc>
          <w:tcPr>
            <w:tcW w:w="8240" w:type="dxa"/>
            <w:vAlign w:val="bottom"/>
          </w:tcPr>
          <w:p>
            <w:pPr>
              <w:ind w:left="40"/>
              <w:spacing w:after="0"/>
              <w:rPr>
                <w:sz w:val="20"/>
                <w:szCs w:val="20"/>
                <w:color w:val="auto"/>
              </w:rPr>
            </w:pPr>
            <w:r>
              <w:rPr>
                <w:rFonts w:ascii="Arial" w:cs="Arial" w:eastAsia="Arial" w:hAnsi="Arial"/>
                <w:sz w:val="17"/>
                <w:szCs w:val="17"/>
                <w:color w:val="auto"/>
              </w:rPr>
              <w:t>Other liabilities</w:t>
            </w:r>
          </w:p>
        </w:tc>
        <w:tc>
          <w:tcPr>
            <w:tcW w:w="920" w:type="dxa"/>
            <w:vAlign w:val="bottom"/>
          </w:tcPr>
          <w:p>
            <w:pPr>
              <w:spacing w:after="0"/>
              <w:rPr>
                <w:sz w:val="20"/>
                <w:szCs w:val="20"/>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74.6</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73.7</w:t>
            </w:r>
          </w:p>
        </w:tc>
      </w:tr>
      <w:tr>
        <w:trPr>
          <w:trHeight w:val="26"/>
        </w:trPr>
        <w:tc>
          <w:tcPr>
            <w:tcW w:w="8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8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product warranty liabilities</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112.8</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changes in product warranty liabilities related to continuing operations for the years ended December 31, 2019 and 2018 were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0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Total warranty liability as of December 31, 2017</w:t>
            </w:r>
          </w:p>
        </w:tc>
        <w:tc>
          <w:tcPr>
            <w:tcW w:w="53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109.9</w:t>
            </w:r>
          </w:p>
        </w:tc>
        <w:tc>
          <w:tcPr>
            <w:tcW w:w="0" w:type="dxa"/>
            <w:vAlign w:val="bottom"/>
          </w:tcPr>
          <w:p>
            <w:pPr>
              <w:spacing w:after="0"/>
              <w:rPr>
                <w:sz w:val="1"/>
                <w:szCs w:val="1"/>
                <w:color w:val="auto"/>
              </w:rPr>
            </w:pPr>
          </w:p>
        </w:tc>
      </w:tr>
      <w:tr>
        <w:trPr>
          <w:trHeight w:val="234"/>
        </w:trPr>
        <w:tc>
          <w:tcPr>
            <w:tcW w:w="5020" w:type="dxa"/>
            <w:vAlign w:val="bottom"/>
          </w:tcPr>
          <w:p>
            <w:pPr>
              <w:ind w:left="260"/>
              <w:spacing w:after="0"/>
              <w:rPr>
                <w:sz w:val="20"/>
                <w:szCs w:val="20"/>
                <w:color w:val="auto"/>
              </w:rPr>
            </w:pPr>
            <w:r>
              <w:rPr>
                <w:rFonts w:ascii="Arial" w:cs="Arial" w:eastAsia="Arial" w:hAnsi="Arial"/>
                <w:sz w:val="17"/>
                <w:szCs w:val="17"/>
                <w:color w:val="auto"/>
              </w:rPr>
              <w:t>Payments made in 2018</w:t>
            </w:r>
          </w:p>
        </w:tc>
        <w:tc>
          <w:tcPr>
            <w:tcW w:w="4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Changes resulting from issuance of new warranties</w:t>
            </w:r>
          </w:p>
        </w:tc>
        <w:tc>
          <w:tcPr>
            <w:tcW w:w="45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34"/>
        </w:trPr>
        <w:tc>
          <w:tcPr>
            <w:tcW w:w="5020" w:type="dxa"/>
            <w:vAlign w:val="bottom"/>
          </w:tcPr>
          <w:p>
            <w:pPr>
              <w:ind w:left="260"/>
              <w:spacing w:after="0"/>
              <w:rPr>
                <w:sz w:val="20"/>
                <w:szCs w:val="20"/>
                <w:color w:val="auto"/>
              </w:rPr>
            </w:pPr>
            <w:r>
              <w:rPr>
                <w:rFonts w:ascii="Arial" w:cs="Arial" w:eastAsia="Arial" w:hAnsi="Arial"/>
                <w:sz w:val="17"/>
                <w:szCs w:val="17"/>
                <w:color w:val="auto"/>
              </w:rPr>
              <w:t>Changes in estimates associated with pre-existing liabilities</w:t>
            </w:r>
          </w:p>
        </w:tc>
        <w:tc>
          <w:tcPr>
            <w:tcW w:w="4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Changes in foreign currency translation rates and other</w:t>
            </w:r>
          </w:p>
        </w:tc>
        <w:tc>
          <w:tcPr>
            <w:tcW w:w="45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34"/>
        </w:trPr>
        <w:tc>
          <w:tcPr>
            <w:tcW w:w="5020" w:type="dxa"/>
            <w:vAlign w:val="bottom"/>
          </w:tcPr>
          <w:p>
            <w:pPr>
              <w:ind w:left="260"/>
              <w:spacing w:after="0"/>
              <w:rPr>
                <w:sz w:val="20"/>
                <w:szCs w:val="20"/>
                <w:color w:val="auto"/>
              </w:rPr>
            </w:pPr>
            <w:r>
              <w:rPr>
                <w:rFonts w:ascii="Arial" w:cs="Arial" w:eastAsia="Arial" w:hAnsi="Arial"/>
                <w:sz w:val="17"/>
                <w:szCs w:val="17"/>
                <w:color w:val="auto"/>
              </w:rPr>
              <w:t>Warranty liability from divestitures</w:t>
            </w:r>
          </w:p>
        </w:tc>
        <w:tc>
          <w:tcPr>
            <w:tcW w:w="4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warranty liability as of December 31, 2018</w:t>
            </w:r>
          </w:p>
        </w:tc>
        <w:tc>
          <w:tcPr>
            <w:tcW w:w="530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111.6</w:t>
            </w:r>
          </w:p>
        </w:tc>
        <w:tc>
          <w:tcPr>
            <w:tcW w:w="0" w:type="dxa"/>
            <w:vAlign w:val="bottom"/>
          </w:tcPr>
          <w:p>
            <w:pPr>
              <w:spacing w:after="0"/>
              <w:rPr>
                <w:sz w:val="1"/>
                <w:szCs w:val="1"/>
                <w:color w:val="auto"/>
              </w:rPr>
            </w:pPr>
          </w:p>
        </w:tc>
      </w:tr>
      <w:tr>
        <w:trPr>
          <w:trHeight w:val="234"/>
        </w:trPr>
        <w:tc>
          <w:tcPr>
            <w:tcW w:w="5020" w:type="dxa"/>
            <w:vAlign w:val="bottom"/>
          </w:tcPr>
          <w:p>
            <w:pPr>
              <w:ind w:left="260"/>
              <w:spacing w:after="0"/>
              <w:rPr>
                <w:sz w:val="20"/>
                <w:szCs w:val="20"/>
                <w:color w:val="auto"/>
              </w:rPr>
            </w:pPr>
            <w:r>
              <w:rPr>
                <w:rFonts w:ascii="Arial" w:cs="Arial" w:eastAsia="Arial" w:hAnsi="Arial"/>
                <w:sz w:val="17"/>
                <w:szCs w:val="17"/>
                <w:color w:val="auto"/>
              </w:rPr>
              <w:t>Payments made in 2019</w:t>
            </w:r>
          </w:p>
        </w:tc>
        <w:tc>
          <w:tcPr>
            <w:tcW w:w="4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Changes resulting from issuance of new warranties</w:t>
            </w:r>
          </w:p>
        </w:tc>
        <w:tc>
          <w:tcPr>
            <w:tcW w:w="45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34"/>
        </w:trPr>
        <w:tc>
          <w:tcPr>
            <w:tcW w:w="5020" w:type="dxa"/>
            <w:vAlign w:val="bottom"/>
          </w:tcPr>
          <w:p>
            <w:pPr>
              <w:ind w:left="260"/>
              <w:spacing w:after="0"/>
              <w:rPr>
                <w:sz w:val="20"/>
                <w:szCs w:val="20"/>
                <w:color w:val="auto"/>
              </w:rPr>
            </w:pPr>
            <w:r>
              <w:rPr>
                <w:rFonts w:ascii="Arial" w:cs="Arial" w:eastAsia="Arial" w:hAnsi="Arial"/>
                <w:sz w:val="17"/>
                <w:szCs w:val="17"/>
                <w:color w:val="auto"/>
              </w:rPr>
              <w:t>Changes in estimates associated with pre-existing liabilities</w:t>
            </w:r>
          </w:p>
        </w:tc>
        <w:tc>
          <w:tcPr>
            <w:tcW w:w="4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Changes in foreign currency translation rates and other</w:t>
            </w:r>
          </w:p>
        </w:tc>
        <w:tc>
          <w:tcPr>
            <w:tcW w:w="45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020" w:type="dxa"/>
            <w:vAlign w:val="bottom"/>
          </w:tcPr>
          <w:p>
            <w:pPr>
              <w:ind w:left="260"/>
              <w:spacing w:after="0"/>
              <w:rPr>
                <w:sz w:val="20"/>
                <w:szCs w:val="20"/>
                <w:color w:val="auto"/>
              </w:rPr>
            </w:pPr>
            <w:r>
              <w:rPr>
                <w:rFonts w:ascii="Arial" w:cs="Arial" w:eastAsia="Arial" w:hAnsi="Arial"/>
                <w:sz w:val="17"/>
                <w:szCs w:val="17"/>
                <w:color w:val="auto"/>
              </w:rPr>
              <w:t>Warranty liability from divestitures</w:t>
            </w:r>
          </w:p>
        </w:tc>
        <w:tc>
          <w:tcPr>
            <w:tcW w:w="4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warranty liability as of December 31, 2019</w:t>
            </w:r>
          </w:p>
        </w:tc>
        <w:tc>
          <w:tcPr>
            <w:tcW w:w="530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112.8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jc w:val="right"/>
              <w:ind w:right="3713"/>
              <w:spacing w:after="0"/>
              <w:rPr>
                <w:sz w:val="20"/>
                <w:szCs w:val="20"/>
                <w:color w:val="auto"/>
              </w:rPr>
            </w:pPr>
            <w:r>
              <w:rPr>
                <w:rFonts w:ascii="Arial" w:cs="Arial" w:eastAsia="Arial" w:hAnsi="Arial"/>
                <w:sz w:val="17"/>
                <w:szCs w:val="17"/>
                <w:color w:val="auto"/>
              </w:rPr>
              <w:t>49</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50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 above. Also, to satisfy our customers and protect our brands, we have repaired or replaced installed products experiencing quality-related issues, and will likely continue such repairs and replacements.</w:t>
      </w:r>
    </w:p>
    <w:p>
      <w:pPr>
        <w:spacing w:after="0" w:line="17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During the second quarter of 2017, we identified a product quality issue in a defective vendor-supplied component affecting a product line in the Residential Heating &amp; Cooling segment. This defect was isolated, the vendor is supplying corrected components, and we are manufacturing products with the corrected components. We incurred and recorded insignificant expenses associated with this product quality issue in 2017. In the second quarter of 2019, the vendor agreed to reimburse us for certain losses incurred due to this quality issue. These reimbursements include cash payments in 2019 and price reductions on annual qualifying purchases from this vendor through 2024.</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Self-Insurance</w:t>
      </w:r>
    </w:p>
    <w:p>
      <w:pPr>
        <w:spacing w:after="0" w:line="221" w:lineRule="exact"/>
        <w:rPr>
          <w:sz w:val="20"/>
          <w:szCs w:val="20"/>
          <w:color w:val="auto"/>
        </w:rPr>
      </w:pPr>
    </w:p>
    <w:p>
      <w:pPr>
        <w:jc w:val="both"/>
        <w:ind w:firstLine="221"/>
        <w:spacing w:after="0" w:line="260" w:lineRule="auto"/>
        <w:rPr>
          <w:sz w:val="20"/>
          <w:szCs w:val="20"/>
          <w:color w:val="auto"/>
        </w:rPr>
      </w:pPr>
      <w:r>
        <w:rPr>
          <w:rFonts w:ascii="Arial" w:cs="Arial" w:eastAsia="Arial" w:hAnsi="Arial"/>
          <w:sz w:val="17"/>
          <w:szCs w:val="17"/>
          <w:color w:val="auto"/>
        </w:rPr>
        <w:t>We use a combination of third-party insurance and self-insurance plans to provide protection against claims relating to workers’ compensation/employers’ liability, general liability, product liability, auto liability, auto physical damage and other exposures. We use large deductible insurance plans, written through third-party insurance providers, for workers’ compensation/employers’ liability, general liability, product liability and auto liability. We also carry umbrella or excess liability insurance for all third-party and self-insurance plans, except for directors’ and officers’ liability, property damage and certain other insurance programs. For directors’ and officers’ liability, property damage and certain other exposures, we use third-party insurance plans that may include per occurrence and annual aggregate limits. We believe the deductibles and liability limits for all of our insurance policies are appropriate for our business and are adequate for companies of our size in our industry.</w:t>
      </w:r>
    </w:p>
    <w:p>
      <w:pPr>
        <w:spacing w:after="0" w:line="184"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We maintain safety and manufacturing programs that are designed to remove risk, improve the effectiveness of our business processes and reduce the likelihood and significance of our various retained and insured risks. In recent years, our actual claims experience has collectively trended favorably and, as a result, both self-insurance expense and the related liability have decreased.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Total self-insurance liabilities were included in the following captions on the accompanying Consolidated Balance Sheets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7"/>
              </w:rPr>
              <w:t>As of December 31,</w:t>
            </w:r>
          </w:p>
        </w:tc>
        <w:tc>
          <w:tcPr>
            <w:tcW w:w="900" w:type="dxa"/>
            <w:vAlign w:val="bottom"/>
          </w:tcPr>
          <w:p>
            <w:pPr>
              <w:spacing w:after="0"/>
              <w:rPr>
                <w:sz w:val="17"/>
                <w:szCs w:val="17"/>
                <w:color w:val="auto"/>
              </w:rPr>
            </w:pPr>
          </w:p>
        </w:tc>
      </w:tr>
      <w:tr>
        <w:trPr>
          <w:trHeight w:val="32"/>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1"/>
        </w:trPr>
        <w:tc>
          <w:tcPr>
            <w:tcW w:w="8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495"/>
              <w:spacing w:after="0"/>
              <w:rPr>
                <w:sz w:val="20"/>
                <w:szCs w:val="20"/>
                <w:color w:val="auto"/>
              </w:rPr>
            </w:pPr>
            <w:r>
              <w:rPr>
                <w:rFonts w:ascii="Arial" w:cs="Arial" w:eastAsia="Arial" w:hAnsi="Arial"/>
                <w:sz w:val="16"/>
                <w:szCs w:val="16"/>
                <w:b w:val="1"/>
                <w:bCs w:val="1"/>
                <w:color w:val="auto"/>
                <w:w w:val="84"/>
              </w:rPr>
              <w:t>2018</w:t>
            </w:r>
          </w:p>
        </w:tc>
      </w:tr>
      <w:tr>
        <w:trPr>
          <w:trHeight w:val="32"/>
        </w:trPr>
        <w:tc>
          <w:tcPr>
            <w:tcW w:w="8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expenses</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5.2</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w:t>
            </w:r>
          </w:p>
        </w:tc>
      </w:tr>
      <w:tr>
        <w:trPr>
          <w:trHeight w:val="234"/>
        </w:trPr>
        <w:tc>
          <w:tcPr>
            <w:tcW w:w="8240" w:type="dxa"/>
            <w:vAlign w:val="bottom"/>
          </w:tcPr>
          <w:p>
            <w:pPr>
              <w:ind w:left="40"/>
              <w:spacing w:after="0"/>
              <w:rPr>
                <w:sz w:val="20"/>
                <w:szCs w:val="20"/>
                <w:color w:val="auto"/>
              </w:rPr>
            </w:pPr>
            <w:r>
              <w:rPr>
                <w:rFonts w:ascii="Arial" w:cs="Arial" w:eastAsia="Arial" w:hAnsi="Arial"/>
                <w:sz w:val="17"/>
                <w:szCs w:val="17"/>
                <w:color w:val="auto"/>
              </w:rPr>
              <w:t>Other liabilities</w:t>
            </w:r>
          </w:p>
        </w:tc>
        <w:tc>
          <w:tcPr>
            <w:tcW w:w="920" w:type="dxa"/>
            <w:vAlign w:val="bottom"/>
          </w:tcPr>
          <w:p>
            <w:pPr>
              <w:spacing w:after="0"/>
              <w:rPr>
                <w:sz w:val="20"/>
                <w:szCs w:val="20"/>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19.4</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19.5</w:t>
            </w:r>
          </w:p>
        </w:tc>
      </w:tr>
      <w:tr>
        <w:trPr>
          <w:trHeight w:val="26"/>
        </w:trPr>
        <w:tc>
          <w:tcPr>
            <w:tcW w:w="8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7"/>
        </w:trPr>
        <w:tc>
          <w:tcPr>
            <w:tcW w:w="8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self-insurance liabilities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24.6</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25.5</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221" w:lineRule="exact"/>
        <w:rPr>
          <w:sz w:val="20"/>
          <w:szCs w:val="20"/>
          <w:color w:val="auto"/>
        </w:rPr>
      </w:pPr>
    </w:p>
    <w:p>
      <w:pPr>
        <w:jc w:val="both"/>
        <w:ind w:firstLine="234"/>
        <w:spacing w:after="0" w:line="319" w:lineRule="auto"/>
        <w:rPr>
          <w:sz w:val="20"/>
          <w:szCs w:val="20"/>
          <w:color w:val="auto"/>
        </w:rPr>
      </w:pPr>
      <w:r>
        <w:rPr>
          <w:rFonts w:ascii="Arial" w:cs="Arial" w:eastAsia="Arial" w:hAnsi="Arial"/>
          <w:sz w:val="16"/>
          <w:szCs w:val="16"/>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136"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w:t>
      </w:r>
    </w:p>
    <w:p>
      <w:pPr>
        <w:spacing w:after="0" w:line="175" w:lineRule="exact"/>
        <w:rPr>
          <w:sz w:val="20"/>
          <w:szCs w:val="20"/>
          <w:color w:val="auto"/>
        </w:rPr>
      </w:pPr>
    </w:p>
    <w:p>
      <w:pPr>
        <w:jc w:val="both"/>
        <w:ind w:firstLine="234"/>
        <w:spacing w:after="0" w:line="278" w:lineRule="auto"/>
        <w:rPr>
          <w:sz w:val="20"/>
          <w:szCs w:val="20"/>
          <w:color w:val="auto"/>
        </w:rPr>
      </w:pPr>
      <w:r>
        <w:rPr>
          <w:rFonts w:ascii="Arial" w:cs="Arial" w:eastAsia="Arial" w:hAnsi="Arial"/>
          <w:sz w:val="16"/>
          <w:szCs w:val="16"/>
          <w:color w:val="auto"/>
        </w:rPr>
        <w:t>Our defense costs for asbestos-related claims are generally covered by insurance; however, our insurance coverage for settlements and judgments for asbestos-related claims vary depending on several factors, and are subject to policy limits, so we may have greater financial exposure for future settlements and judgments. For the years ended December 31, 2019 and 2018, we estimated our probable liability for known cases at $10.2 million and $9.7 million, respectively, and these amounts were recorded in Accrued expenses in the Consolidated Balance Sheets. For the years ended December 31, 2019 and 2018, we estimated future asbestos-related litigation cases to be $22.1 million and $19.3 million, respectively, before consideration of probable insurance recoveries and these amounts were recorded in Other liabilities in the Consolidated Balance Sheets. For the years ended December 31, 2019, 2018 and 2017, we recorded expense of $3.1 million, $4.0 million and $3.5 million, respectively, net of probable insurance recoveries, for known and future asbestos-related litigation and is recorded in Losses (gains) and other expenses, net in the Consolidated Statements of Operations.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544" w:right="239" w:bottom="1440" w:gutter="0" w:footer="0" w:header="0"/>
        </w:sectPr>
      </w:pPr>
    </w:p>
    <w:bookmarkStart w:id="53" w:name="page54"/>
    <w:bookmarkEnd w:id="53"/>
    <w:p>
      <w:pPr>
        <w:jc w:val="both"/>
        <w:ind w:firstLine="234"/>
        <w:spacing w:after="0" w:line="271" w:lineRule="auto"/>
        <w:rPr>
          <w:sz w:val="20"/>
          <w:szCs w:val="20"/>
          <w:color w:val="auto"/>
        </w:rPr>
      </w:pPr>
      <w:r>
        <w:rPr>
          <w:rFonts w:ascii="Arial" w:cs="Arial" w:eastAsia="Arial" w:hAnsi="Arial"/>
          <w:sz w:val="17"/>
          <w:szCs w:val="17"/>
          <w:color w:val="auto"/>
        </w:rPr>
        <w:t>It is management’s opinion that none of these claims or lawsuits or any threatened litigation will have a material adverse effect, individually or in the aggregate, on our financial condition, results of operations or cash flows. Claims and lawsuits, however, involve uncertainties and it is possible that their eventual outcome could adversely affect our results of operations in a future period.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Marshalltown Tornado and Recovery</w:t>
      </w:r>
    </w:p>
    <w:p>
      <w:pPr>
        <w:spacing w:after="0" w:line="22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On July 19, 2018, our manufacturing facility in Marshalltown, Iowa was severely damaged by a tornado. We have insurance for the repair or replacement of our assets that suffered damage or loss, and we worked closely with our insurance carriers and claims adjusters to ascertain the amount of insurance recoveries due to us as a result of the damage and loss we suffered. Our insurance policies also provide business interruption coverage, including lost profits, and reimbursement for other expenses and costs that have been incurred relating to the damages and losses suffered.</w:t>
      </w:r>
    </w:p>
    <w:p>
      <w:pPr>
        <w:spacing w:after="0" w:line="175"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For the years ended December 31, 2019 and 2018, we incurred expenses and losses of $64.4 million and $86.0 million, respectively, related to damages caused by the tornado. These amounts included site clean-up and demolition, factory inefficiencies, freight to move product to other warehouses, professional fees, and sales and marketing promotional costs.</w:t>
      </w:r>
    </w:p>
    <w:p>
      <w:pPr>
        <w:spacing w:after="0" w:line="17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In December 2019, we reached a final settlement with our insurance carriers for the losses we suffered from the tornado. The settlement allowed for total cumulative insurance recoveries of $367.5 million, of which $243.2 million and $124.3 million were received in the years ended December 31, 2019 and 2018, respectively.</w:t>
      </w:r>
    </w:p>
    <w:p>
      <w:pPr>
        <w:spacing w:after="0" w:line="17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These costs and insurance recoveries are shown in Gain from insurance recoveries, net of losses incurred in the Consolidated Statements of Operations. The following table summarizes the Gain from insurance recoveries, net of losses incurred:</w:t>
      </w:r>
    </w:p>
    <w:p>
      <w:pPr>
        <w:spacing w:after="0" w:line="93"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(Amounts in millions)</w:t>
            </w:r>
          </w:p>
        </w:tc>
        <w:tc>
          <w:tcPr>
            <w:tcW w:w="312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28"/>
        </w:trPr>
        <w:tc>
          <w:tcPr>
            <w:tcW w:w="7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1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2"/>
        </w:trPr>
        <w:tc>
          <w:tcPr>
            <w:tcW w:w="7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Insurance recoveries received</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243.2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124.3</w:t>
            </w:r>
          </w:p>
        </w:tc>
        <w:tc>
          <w:tcPr>
            <w:tcW w:w="0" w:type="dxa"/>
            <w:vAlign w:val="bottom"/>
          </w:tcPr>
          <w:p>
            <w:pPr>
              <w:spacing w:after="0"/>
              <w:rPr>
                <w:sz w:val="1"/>
                <w:szCs w:val="1"/>
                <w:color w:val="auto"/>
              </w:rPr>
            </w:pPr>
          </w:p>
        </w:tc>
      </w:tr>
      <w:tr>
        <w:trPr>
          <w:trHeight w:val="227"/>
        </w:trPr>
        <w:tc>
          <w:tcPr>
            <w:tcW w:w="7680" w:type="dxa"/>
            <w:vAlign w:val="bottom"/>
          </w:tcPr>
          <w:p>
            <w:pPr>
              <w:ind w:left="260"/>
              <w:spacing w:after="0"/>
              <w:rPr>
                <w:sz w:val="20"/>
                <w:szCs w:val="20"/>
                <w:color w:val="auto"/>
              </w:rPr>
            </w:pPr>
            <w:r>
              <w:rPr>
                <w:rFonts w:ascii="Arial" w:cs="Arial" w:eastAsia="Arial" w:hAnsi="Arial"/>
                <w:sz w:val="17"/>
                <w:szCs w:val="17"/>
                <w:color w:val="auto"/>
              </w:rPr>
              <w:t>Less losses and expenses incurred:</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Site clean-up and remediation</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34"/>
        </w:trPr>
        <w:tc>
          <w:tcPr>
            <w:tcW w:w="7680" w:type="dxa"/>
            <w:vAlign w:val="bottom"/>
          </w:tcPr>
          <w:p>
            <w:pPr>
              <w:ind w:left="360"/>
              <w:spacing w:after="0"/>
              <w:rPr>
                <w:sz w:val="20"/>
                <w:szCs w:val="20"/>
                <w:color w:val="auto"/>
              </w:rPr>
            </w:pPr>
            <w:r>
              <w:rPr>
                <w:rFonts w:ascii="Arial" w:cs="Arial" w:eastAsia="Arial" w:hAnsi="Arial"/>
                <w:sz w:val="17"/>
                <w:szCs w:val="17"/>
                <w:color w:val="auto"/>
              </w:rPr>
              <w:t>Factory inefficiencies due to lower productivity</w:t>
            </w:r>
          </w:p>
        </w:tc>
        <w:tc>
          <w:tcPr>
            <w:tcW w:w="34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Write-off of property, plant and equipment</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34"/>
        </w:trPr>
        <w:tc>
          <w:tcPr>
            <w:tcW w:w="7680" w:type="dxa"/>
            <w:vAlign w:val="bottom"/>
          </w:tcPr>
          <w:p>
            <w:pPr>
              <w:ind w:left="360"/>
              <w:spacing w:after="0"/>
              <w:rPr>
                <w:sz w:val="20"/>
                <w:szCs w:val="20"/>
                <w:color w:val="auto"/>
              </w:rPr>
            </w:pPr>
            <w:r>
              <w:rPr>
                <w:rFonts w:ascii="Arial" w:cs="Arial" w:eastAsia="Arial" w:hAnsi="Arial"/>
                <w:sz w:val="17"/>
                <w:szCs w:val="17"/>
                <w:color w:val="auto"/>
              </w:rPr>
              <w:t>Write-off of inventory</w:t>
            </w:r>
          </w:p>
        </w:tc>
        <w:tc>
          <w:tcPr>
            <w:tcW w:w="3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27"/>
        </w:trPr>
        <w:tc>
          <w:tcPr>
            <w:tcW w:w="7680" w:type="dxa"/>
            <w:vAlign w:val="bottom"/>
          </w:tcPr>
          <w:p>
            <w:pPr>
              <w:ind w:left="140"/>
              <w:spacing w:after="0"/>
              <w:rPr>
                <w:sz w:val="20"/>
                <w:szCs w:val="20"/>
                <w:color w:val="auto"/>
              </w:rPr>
            </w:pPr>
            <w:r>
              <w:rPr>
                <w:rFonts w:ascii="Arial" w:cs="Arial" w:eastAsia="Arial" w:hAnsi="Arial"/>
                <w:sz w:val="17"/>
                <w:szCs w:val="17"/>
                <w:b w:val="1"/>
                <w:bCs w:val="1"/>
                <w:color w:val="auto"/>
              </w:rPr>
              <w:t>Total losses and expenses</w:t>
            </w: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64.4</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86.0</w:t>
            </w:r>
          </w:p>
        </w:tc>
        <w:tc>
          <w:tcPr>
            <w:tcW w:w="0" w:type="dxa"/>
            <w:vAlign w:val="bottom"/>
          </w:tcPr>
          <w:p>
            <w:pPr>
              <w:spacing w:after="0"/>
              <w:rPr>
                <w:sz w:val="1"/>
                <w:szCs w:val="1"/>
                <w:color w:val="auto"/>
              </w:rPr>
            </w:pPr>
          </w:p>
        </w:tc>
      </w:tr>
      <w:tr>
        <w:trPr>
          <w:trHeight w:val="26"/>
        </w:trPr>
        <w:tc>
          <w:tcPr>
            <w:tcW w:w="7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Gain from insurance recoveries, net of losses incurred</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178.8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38.3</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Components of Gain from insurance recoveries, net of losses incurred: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6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Insurance proceeds for lost profits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34"/>
        </w:trPr>
        <w:tc>
          <w:tcPr>
            <w:tcW w:w="7680" w:type="dxa"/>
            <w:vAlign w:val="bottom"/>
          </w:tcPr>
          <w:p>
            <w:pPr>
              <w:ind w:left="140"/>
              <w:spacing w:after="0"/>
              <w:rPr>
                <w:sz w:val="20"/>
                <w:szCs w:val="20"/>
                <w:color w:val="auto"/>
              </w:rPr>
            </w:pPr>
            <w:r>
              <w:rPr>
                <w:rFonts w:ascii="Arial" w:cs="Arial" w:eastAsia="Arial" w:hAnsi="Arial"/>
                <w:sz w:val="17"/>
                <w:szCs w:val="17"/>
                <w:color w:val="auto"/>
              </w:rPr>
              <w:t>Insurance proceeds for property damage incurred from natural disaster</w:t>
            </w:r>
          </w:p>
        </w:tc>
        <w:tc>
          <w:tcPr>
            <w:tcW w:w="34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79.6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Repurchases:</w:t>
      </w:r>
    </w:p>
    <w:p>
      <w:pPr>
        <w:spacing w:after="0" w:line="227"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Our Board of Directors have authorized a total of $3 billion to repurchase shares of our common stock , including an incremental $500 million share repurchase authorization in December 2019, under our Share Repurchase Plans. The Share Repurchase Plans allow us to repurchase shares from time to time in open market transactions and in privately negotiated transactions based on business, market, applicable legal requirements and other considerations. The Share Repurchase Plans do not require the repurchase of a specific number of shares and may be terminated at any time. As of December 31, 2019, $546 million of shares may yet be repurchased under the Share Repurchase Plans.</w:t>
      </w:r>
    </w:p>
    <w:p>
      <w:pPr>
        <w:spacing w:after="0" w:line="179"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We repurchased 0.4 million shares for $100.0 million during the first quarter of 2019, 0.6 million shares for $150.0 million during the second quarter of 2019 and 0.5 million shares for $150.0 million during the third quarter of 2019, respectively, from open market transactions.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544" w:right="239" w:bottom="1440" w:gutter="0" w:footer="0" w:header="0"/>
        </w:sectPr>
      </w:pPr>
    </w:p>
    <w:bookmarkStart w:id="54" w:name="page55"/>
    <w:bookmarkEnd w:id="54"/>
    <w:p>
      <w:pPr>
        <w:jc w:val="both"/>
        <w:ind w:firstLine="234"/>
        <w:spacing w:after="0" w:line="319" w:lineRule="auto"/>
        <w:rPr>
          <w:sz w:val="20"/>
          <w:szCs w:val="20"/>
          <w:color w:val="auto"/>
        </w:rPr>
      </w:pPr>
      <w:r>
        <w:rPr>
          <w:rFonts w:ascii="Arial" w:cs="Arial" w:eastAsia="Arial" w:hAnsi="Arial"/>
          <w:sz w:val="16"/>
          <w:szCs w:val="16"/>
          <w:color w:val="auto"/>
        </w:rPr>
        <w:t>We also repurchased 0.1 million shares for $24.0 million and 0.1 million shares for $26.9 million for the years ended December 31, 2019 and 2018, respectively, from employees who tendered their shares to satisfy minimum tax withholding obligation upon the vesting of stock-based compensation awards.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Divestitures: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Divestiture:</w:t>
      </w:r>
    </w:p>
    <w:p>
      <w:pPr>
        <w:spacing w:after="0" w:line="221" w:lineRule="exact"/>
        <w:rPr>
          <w:sz w:val="20"/>
          <w:szCs w:val="20"/>
          <w:color w:val="auto"/>
        </w:rPr>
      </w:pPr>
    </w:p>
    <w:p>
      <w:pPr>
        <w:jc w:val="both"/>
        <w:ind w:firstLine="234"/>
        <w:spacing w:after="0" w:line="356" w:lineRule="auto"/>
        <w:rPr>
          <w:sz w:val="20"/>
          <w:szCs w:val="20"/>
          <w:color w:val="auto"/>
        </w:rPr>
      </w:pPr>
      <w:r>
        <w:rPr>
          <w:rFonts w:ascii="Arial" w:cs="Arial" w:eastAsia="Arial" w:hAnsi="Arial"/>
          <w:sz w:val="15"/>
          <w:szCs w:val="15"/>
          <w:color w:val="auto"/>
        </w:rPr>
        <w:t>During the first quarter of 2019, we obtained Board of Directors’ approval and signed an agreement with EPTA S.p.A., a private Italian company, for the sale of our Kysor Warren business. The sale was completed on March 29, 2019. The following table summarizes the net loss recognized in connection with this divestiture: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right"/>
              <w:ind w:right="36"/>
              <w:spacing w:after="0"/>
              <w:rPr>
                <w:sz w:val="20"/>
                <w:szCs w:val="20"/>
                <w:color w:val="auto"/>
              </w:rPr>
            </w:pPr>
            <w:r>
              <w:rPr>
                <w:rFonts w:ascii="Arial" w:cs="Arial" w:eastAsia="Arial" w:hAnsi="Arial"/>
                <w:sz w:val="16"/>
                <w:szCs w:val="16"/>
                <w:b w:val="1"/>
                <w:bCs w:val="1"/>
                <w:color w:val="auto"/>
                <w:w w:val="88"/>
              </w:rPr>
              <w:t>For the Year Ended December</w:t>
            </w:r>
          </w:p>
        </w:tc>
      </w:tr>
      <w:tr>
        <w:trPr>
          <w:trHeight w:val="203"/>
        </w:trPr>
        <w:tc>
          <w:tcPr>
            <w:tcW w:w="91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120" w:type="dxa"/>
            <w:vAlign w:val="bottom"/>
          </w:tcPr>
          <w:p>
            <w:pPr>
              <w:spacing w:after="0"/>
              <w:rPr>
                <w:sz w:val="17"/>
                <w:szCs w:val="17"/>
                <w:color w:val="auto"/>
              </w:rPr>
            </w:pPr>
          </w:p>
        </w:tc>
        <w:tc>
          <w:tcPr>
            <w:tcW w:w="2160" w:type="dxa"/>
            <w:vAlign w:val="bottom"/>
          </w:tcPr>
          <w:p>
            <w:pPr>
              <w:jc w:val="right"/>
              <w:ind w:right="776"/>
              <w:spacing w:after="0"/>
              <w:rPr>
                <w:sz w:val="20"/>
                <w:szCs w:val="20"/>
                <w:color w:val="auto"/>
              </w:rPr>
            </w:pPr>
            <w:r>
              <w:rPr>
                <w:rFonts w:ascii="Arial" w:cs="Arial" w:eastAsia="Arial" w:hAnsi="Arial"/>
                <w:sz w:val="16"/>
                <w:szCs w:val="16"/>
                <w:b w:val="1"/>
                <w:bCs w:val="1"/>
                <w:color w:val="auto"/>
              </w:rPr>
              <w:t>31, 2019</w:t>
            </w:r>
          </w:p>
        </w:tc>
      </w:tr>
      <w:tr>
        <w:trPr>
          <w:trHeight w:val="32"/>
        </w:trPr>
        <w:tc>
          <w:tcPr>
            <w:tcW w:w="9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3"/>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received from the buyer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49.0</w:t>
            </w:r>
          </w:p>
        </w:tc>
      </w:tr>
      <w:tr>
        <w:trPr>
          <w:trHeight w:val="234"/>
        </w:trPr>
        <w:tc>
          <w:tcPr>
            <w:tcW w:w="9140" w:type="dxa"/>
            <w:vAlign w:val="bottom"/>
          </w:tcPr>
          <w:p>
            <w:pPr>
              <w:ind w:left="40"/>
              <w:spacing w:after="0"/>
              <w:rPr>
                <w:sz w:val="20"/>
                <w:szCs w:val="20"/>
                <w:color w:val="auto"/>
              </w:rPr>
            </w:pPr>
            <w:r>
              <w:rPr>
                <w:rFonts w:ascii="Arial" w:cs="Arial" w:eastAsia="Arial" w:hAnsi="Arial"/>
                <w:sz w:val="17"/>
                <w:szCs w:val="17"/>
                <w:color w:val="auto"/>
              </w:rPr>
              <w:t>Net assets sold</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(52.0)</w:t>
            </w:r>
          </w:p>
        </w:tc>
      </w:tr>
      <w:tr>
        <w:trPr>
          <w:trHeight w:val="26"/>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AOCI reclassification adjustments, primarily foreign currency translation</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34"/>
        </w:trPr>
        <w:tc>
          <w:tcPr>
            <w:tcW w:w="9140" w:type="dxa"/>
            <w:vAlign w:val="bottom"/>
          </w:tcPr>
          <w:p>
            <w:pPr>
              <w:ind w:left="40"/>
              <w:spacing w:after="0"/>
              <w:rPr>
                <w:sz w:val="20"/>
                <w:szCs w:val="20"/>
                <w:color w:val="auto"/>
              </w:rPr>
            </w:pPr>
            <w:r>
              <w:rPr>
                <w:rFonts w:ascii="Arial" w:cs="Arial" w:eastAsia="Arial" w:hAnsi="Arial"/>
                <w:sz w:val="17"/>
                <w:szCs w:val="17"/>
                <w:color w:val="auto"/>
              </w:rPr>
              <w:t>Direct costs to sell</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6"/>
        </w:trPr>
        <w:tc>
          <w:tcPr>
            <w:tcW w:w="9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7"/>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Loss on sale of business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(10.6)</w:t>
            </w:r>
          </w:p>
        </w:tc>
      </w:tr>
      <w:tr>
        <w:trPr>
          <w:trHeight w:val="20"/>
        </w:trPr>
        <w:tc>
          <w:tcPr>
            <w:tcW w:w="9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2018 Divestitures: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 and Asia Divestiture</w:t>
      </w:r>
    </w:p>
    <w:p>
      <w:pPr>
        <w:spacing w:after="0" w:line="22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During the first quarter of 2018, we obtained Board of Directors’ approval and signed an agreement with Beijer Ref AB, a Stockholm Stock Exchange-listed company, for the sale of our Australia and Asia business except for the Milperra property. The Milperra property was sold to another purchaser during the second quarter of 2018. We completed the sale to Beijer Ref AB in the second quarter of 2018 with the final post-completion adjustment being recorded in the third quarter of 2018. The following table summarizes the net loss recognized in connection with this divestiture: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36"/>
              <w:spacing w:after="0"/>
              <w:rPr>
                <w:sz w:val="20"/>
                <w:szCs w:val="20"/>
                <w:color w:val="auto"/>
              </w:rPr>
            </w:pPr>
            <w:r>
              <w:rPr>
                <w:rFonts w:ascii="Arial" w:cs="Arial" w:eastAsia="Arial" w:hAnsi="Arial"/>
                <w:sz w:val="16"/>
                <w:szCs w:val="16"/>
                <w:b w:val="1"/>
                <w:bCs w:val="1"/>
                <w:color w:val="auto"/>
                <w:w w:val="88"/>
              </w:rPr>
              <w:t>For the Year Ended December</w:t>
            </w:r>
          </w:p>
        </w:tc>
      </w:tr>
      <w:tr>
        <w:trPr>
          <w:trHeight w:val="235"/>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6"/>
                <w:szCs w:val="16"/>
                <w:b w:val="1"/>
                <w:bCs w:val="1"/>
                <w:color w:val="auto"/>
              </w:rPr>
              <w:t>31, 2018</w:t>
            </w:r>
          </w:p>
        </w:tc>
      </w:tr>
      <w:tr>
        <w:trPr>
          <w:trHeight w:val="227"/>
        </w:trPr>
        <w:tc>
          <w:tcPr>
            <w:tcW w:w="9140" w:type="dxa"/>
            <w:vAlign w:val="bottom"/>
          </w:tcPr>
          <w:p>
            <w:pPr>
              <w:ind w:left="40"/>
              <w:spacing w:after="0"/>
              <w:rPr>
                <w:sz w:val="20"/>
                <w:szCs w:val="20"/>
                <w:color w:val="auto"/>
              </w:rPr>
            </w:pPr>
            <w:r>
              <w:rPr>
                <w:rFonts w:ascii="Arial" w:cs="Arial" w:eastAsia="Arial" w:hAnsi="Arial"/>
                <w:sz w:val="17"/>
                <w:szCs w:val="17"/>
                <w:color w:val="auto"/>
              </w:rPr>
              <w:t>Cash received from the buyer</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1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82.9</w:t>
            </w:r>
          </w:p>
        </w:tc>
      </w:tr>
      <w:tr>
        <w:trPr>
          <w:trHeight w:val="26"/>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0"/>
        </w:trPr>
        <w:tc>
          <w:tcPr>
            <w:tcW w:w="9140" w:type="dxa"/>
            <w:vAlign w:val="bottom"/>
            <w:shd w:val="clear" w:color="auto" w:fill="CCEEFF"/>
          </w:tcPr>
          <w:p>
            <w:pPr>
              <w:ind w:left="40"/>
              <w:spacing w:after="0" w:line="260" w:lineRule="exact"/>
              <w:rPr>
                <w:sz w:val="20"/>
                <w:szCs w:val="20"/>
                <w:color w:val="auto"/>
              </w:rPr>
            </w:pPr>
            <w:r>
              <w:rPr>
                <w:rFonts w:ascii="Arial" w:cs="Arial" w:eastAsia="Arial" w:hAnsi="Arial"/>
                <w:sz w:val="17"/>
                <w:szCs w:val="17"/>
                <w:color w:val="auto"/>
              </w:rPr>
              <w:t xml:space="preserve">Net assets sold </w:t>
            </w:r>
            <w:r>
              <w:rPr>
                <w:rFonts w:ascii="Arial" w:cs="Arial" w:eastAsia="Arial" w:hAnsi="Arial"/>
                <w:sz w:val="24"/>
                <w:szCs w:val="24"/>
                <w:color w:val="auto"/>
                <w:vertAlign w:val="superscript"/>
              </w:rPr>
              <w:t>(1)</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w:t>
            </w:r>
          </w:p>
        </w:tc>
      </w:tr>
      <w:tr>
        <w:trPr>
          <w:trHeight w:val="234"/>
        </w:trPr>
        <w:tc>
          <w:tcPr>
            <w:tcW w:w="9140" w:type="dxa"/>
            <w:vAlign w:val="bottom"/>
          </w:tcPr>
          <w:p>
            <w:pPr>
              <w:ind w:left="40"/>
              <w:spacing w:after="0"/>
              <w:rPr>
                <w:sz w:val="20"/>
                <w:szCs w:val="20"/>
                <w:color w:val="auto"/>
              </w:rPr>
            </w:pPr>
            <w:r>
              <w:rPr>
                <w:rFonts w:ascii="Arial" w:cs="Arial" w:eastAsia="Arial" w:hAnsi="Arial"/>
                <w:sz w:val="17"/>
                <w:szCs w:val="17"/>
                <w:color w:val="auto"/>
              </w:rPr>
              <w:t>AOCL reclassification adjustments, primarily foreign currency translation</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6"/>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Direct costs to sell</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47"/>
        </w:trPr>
        <w:tc>
          <w:tcPr>
            <w:tcW w:w="9140" w:type="dxa"/>
            <w:vAlign w:val="bottom"/>
          </w:tcPr>
          <w:p>
            <w:pPr>
              <w:ind w:left="260"/>
              <w:spacing w:after="0"/>
              <w:rPr>
                <w:sz w:val="20"/>
                <w:szCs w:val="20"/>
                <w:color w:val="auto"/>
              </w:rPr>
            </w:pPr>
            <w:r>
              <w:rPr>
                <w:rFonts w:ascii="Arial" w:cs="Arial" w:eastAsia="Arial" w:hAnsi="Arial"/>
                <w:sz w:val="17"/>
                <w:szCs w:val="17"/>
                <w:b w:val="1"/>
                <w:bCs w:val="1"/>
                <w:color w:val="auto"/>
              </w:rPr>
              <w:t>Loss on sale of business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w:t>
            </w:r>
          </w:p>
        </w:tc>
      </w:tr>
      <w:tr>
        <w:trPr>
          <w:trHeight w:val="20"/>
        </w:trPr>
        <w:tc>
          <w:tcPr>
            <w:tcW w:w="9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firstLine="473"/>
        <w:spacing w:after="0" w:line="235" w:lineRule="auto"/>
        <w:tabs>
          <w:tab w:leader="none" w:pos="654"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Includes $10.3 million of net assets that were written down during the quarter ended March 31, 2018 based on the expected proceeds from the sale, net of selling costs for the sale for our Australia and Asia business.</w:t>
      </w:r>
    </w:p>
    <w:p>
      <w:pPr>
        <w:spacing w:after="0" w:line="197"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The Milperra property was sold during the quarter ended June 30, 2018. We received net cash proceeds of $37.2 million net of direct costs to sell of $1.5 million. The net gain recognized in connection with this sale was $23.8 million.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South America Divestiture</w:t>
      </w:r>
    </w:p>
    <w:p>
      <w:pPr>
        <w:spacing w:after="0" w:line="22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During the second quarter of 2018, we obtained Board of Directors’ approval and signed an agreement with Elgin SA, a private Brazilian company, for the sale of our South America business. The sale was subject to Brazilian antitrust approval. We obtained antitrust approval and completed the sale to Elgin SA in the third quarter of 2018. The following table summarizes the net loss recognized in connection with this divestiture: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544"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9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36"/>
              <w:spacing w:after="0"/>
              <w:rPr>
                <w:sz w:val="20"/>
                <w:szCs w:val="20"/>
                <w:color w:val="auto"/>
              </w:rPr>
            </w:pPr>
            <w:r>
              <w:rPr>
                <w:rFonts w:ascii="Arial" w:cs="Arial" w:eastAsia="Arial" w:hAnsi="Arial"/>
                <w:sz w:val="16"/>
                <w:szCs w:val="16"/>
                <w:b w:val="1"/>
                <w:bCs w:val="1"/>
                <w:color w:val="auto"/>
                <w:w w:val="88"/>
              </w:rPr>
              <w:t>For the Year Ended December</w:t>
            </w:r>
          </w:p>
        </w:tc>
      </w:tr>
      <w:tr>
        <w:trPr>
          <w:trHeight w:val="235"/>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6"/>
                <w:szCs w:val="16"/>
                <w:b w:val="1"/>
                <w:bCs w:val="1"/>
                <w:color w:val="auto"/>
              </w:rPr>
              <w:t>31, 2018</w:t>
            </w:r>
          </w:p>
        </w:tc>
      </w:tr>
      <w:tr>
        <w:trPr>
          <w:trHeight w:val="227"/>
        </w:trPr>
        <w:tc>
          <w:tcPr>
            <w:tcW w:w="9140" w:type="dxa"/>
            <w:vAlign w:val="bottom"/>
          </w:tcPr>
          <w:p>
            <w:pPr>
              <w:ind w:left="40"/>
              <w:spacing w:after="0"/>
              <w:rPr>
                <w:sz w:val="20"/>
                <w:szCs w:val="20"/>
                <w:color w:val="auto"/>
              </w:rPr>
            </w:pPr>
            <w:r>
              <w:rPr>
                <w:rFonts w:ascii="Arial" w:cs="Arial" w:eastAsia="Arial" w:hAnsi="Arial"/>
                <w:sz w:val="17"/>
                <w:szCs w:val="17"/>
                <w:color w:val="auto"/>
              </w:rPr>
              <w:t>Cash received from the buyer</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1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4.2</w:t>
            </w:r>
          </w:p>
        </w:tc>
      </w:tr>
      <w:tr>
        <w:trPr>
          <w:trHeight w:val="26"/>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0"/>
        </w:trPr>
        <w:tc>
          <w:tcPr>
            <w:tcW w:w="9140" w:type="dxa"/>
            <w:vAlign w:val="bottom"/>
            <w:shd w:val="clear" w:color="auto" w:fill="CCEEFF"/>
          </w:tcPr>
          <w:p>
            <w:pPr>
              <w:ind w:left="40"/>
              <w:spacing w:after="0" w:line="260" w:lineRule="exact"/>
              <w:rPr>
                <w:sz w:val="20"/>
                <w:szCs w:val="20"/>
                <w:color w:val="auto"/>
              </w:rPr>
            </w:pPr>
            <w:r>
              <w:rPr>
                <w:rFonts w:ascii="Arial" w:cs="Arial" w:eastAsia="Arial" w:hAnsi="Arial"/>
                <w:sz w:val="17"/>
                <w:szCs w:val="17"/>
                <w:color w:val="auto"/>
              </w:rPr>
              <w:t xml:space="preserve">Net assets sold </w:t>
            </w:r>
            <w:r>
              <w:rPr>
                <w:rFonts w:ascii="Arial" w:cs="Arial" w:eastAsia="Arial" w:hAnsi="Arial"/>
                <w:sz w:val="24"/>
                <w:szCs w:val="24"/>
                <w:color w:val="auto"/>
                <w:vertAlign w:val="superscript"/>
              </w:rPr>
              <w:t>(2)</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34"/>
        </w:trPr>
        <w:tc>
          <w:tcPr>
            <w:tcW w:w="9140" w:type="dxa"/>
            <w:vAlign w:val="bottom"/>
          </w:tcPr>
          <w:p>
            <w:pPr>
              <w:ind w:left="40"/>
              <w:spacing w:after="0"/>
              <w:rPr>
                <w:sz w:val="20"/>
                <w:szCs w:val="20"/>
                <w:color w:val="auto"/>
              </w:rPr>
            </w:pPr>
            <w:r>
              <w:rPr>
                <w:rFonts w:ascii="Arial" w:cs="Arial" w:eastAsia="Arial" w:hAnsi="Arial"/>
                <w:sz w:val="17"/>
                <w:szCs w:val="17"/>
                <w:color w:val="auto"/>
              </w:rPr>
              <w:t>AOCL reclassification adjustments, primarily foreign currency translation</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(24.7)</w:t>
            </w:r>
          </w:p>
        </w:tc>
      </w:tr>
      <w:tr>
        <w:trPr>
          <w:trHeight w:val="26"/>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Direct costs to sell</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47"/>
        </w:trPr>
        <w:tc>
          <w:tcPr>
            <w:tcW w:w="9140" w:type="dxa"/>
            <w:vAlign w:val="bottom"/>
          </w:tcPr>
          <w:p>
            <w:pPr>
              <w:ind w:left="260"/>
              <w:spacing w:after="0"/>
              <w:rPr>
                <w:sz w:val="20"/>
                <w:szCs w:val="20"/>
                <w:color w:val="auto"/>
              </w:rPr>
            </w:pPr>
            <w:r>
              <w:rPr>
                <w:rFonts w:ascii="Arial" w:cs="Arial" w:eastAsia="Arial" w:hAnsi="Arial"/>
                <w:sz w:val="17"/>
                <w:szCs w:val="17"/>
                <w:b w:val="1"/>
                <w:bCs w:val="1"/>
                <w:color w:val="auto"/>
              </w:rPr>
              <w:t>Loss on sale of business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(37.5)</w:t>
            </w:r>
          </w:p>
        </w:tc>
      </w:tr>
      <w:tr>
        <w:trPr>
          <w:trHeight w:val="20"/>
        </w:trPr>
        <w:tc>
          <w:tcPr>
            <w:tcW w:w="9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firstLine="473"/>
        <w:spacing w:after="0" w:line="223" w:lineRule="auto"/>
        <w:tabs>
          <w:tab w:leader="none" w:pos="667"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Includes $1.2 of net assets that were written down during the quarter ended June 30, 2018 based on the expected proceeds from the sale, net of selling costs for the sale for our South America business.</w:t>
      </w:r>
    </w:p>
    <w:p>
      <w:pPr>
        <w:spacing w:after="0" w:line="250"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The total Loss (gain), net on sale of businesses and related property in our Consolidated Statements of Operations of $10.6 million for the year ended December 31, 2019 is comprised of the loss on the sale of the Kysor Warren business. The total Loss (gain), net on sale of businesses and related property for the year ended December 31, 2018 of $27.0 million is comprised of the $13.3 million loss on the sale of our Australia and Asia business, the $23.8 million gain on the sale of our Milperra property, and the $37.5 million loss on the sale of our South America business.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Restructuring Charges:</w:t>
      </w:r>
    </w:p>
    <w:p>
      <w:pPr>
        <w:spacing w:after="0" w:line="227" w:lineRule="exact"/>
        <w:rPr>
          <w:sz w:val="20"/>
          <w:szCs w:val="20"/>
          <w:color w:val="auto"/>
        </w:rPr>
      </w:pPr>
    </w:p>
    <w:p>
      <w:pPr>
        <w:jc w:val="both"/>
        <w:ind w:firstLine="234"/>
        <w:spacing w:after="0" w:line="312" w:lineRule="auto"/>
        <w:rPr>
          <w:sz w:val="20"/>
          <w:szCs w:val="20"/>
          <w:color w:val="auto"/>
        </w:rPr>
      </w:pPr>
      <w:r>
        <w:rPr>
          <w:rFonts w:ascii="Arial" w:cs="Arial" w:eastAsia="Arial" w:hAnsi="Arial"/>
          <w:sz w:val="15"/>
          <w:szCs w:val="15"/>
          <w:color w:val="auto"/>
        </w:rPr>
        <w:t>We record restructuring charges associated with management-approved restructuring plans to reorganize or to remove duplicative headcount and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3.</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Activities in 2019</w:t>
      </w:r>
    </w:p>
    <w:p>
      <w:pPr>
        <w:spacing w:after="0" w:line="221" w:lineRule="exact"/>
        <w:rPr>
          <w:sz w:val="20"/>
          <w:szCs w:val="20"/>
          <w:color w:val="auto"/>
        </w:rPr>
      </w:pPr>
    </w:p>
    <w:p>
      <w:pPr>
        <w:jc w:val="both"/>
        <w:ind w:firstLine="234"/>
        <w:spacing w:after="0" w:line="295" w:lineRule="auto"/>
        <w:rPr>
          <w:sz w:val="20"/>
          <w:szCs w:val="20"/>
          <w:color w:val="auto"/>
        </w:rPr>
      </w:pPr>
      <w:r>
        <w:rPr>
          <w:rFonts w:ascii="Arial" w:cs="Arial" w:eastAsia="Arial" w:hAnsi="Arial"/>
          <w:sz w:val="16"/>
          <w:szCs w:val="16"/>
          <w:color w:val="auto"/>
        </w:rPr>
        <w:t>In the third quarter of 2019, the Commercial Heating &amp; Cooling and Corporate segments incurred restructuring charges primarily related to activities to re-align resources and its product portfolio. In the fourth quarter of 2019, the Residential Heating &amp; Cooling and Commercial Heating &amp; Cooling segments incurred restructuring charges, primarily related to activities to close certain Lennox Stores and related to reductions of management and support staff.</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Information regarding the restructuring charges for all ongoing activities are presented in the table below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Incurred in 2019</w:t>
            </w:r>
          </w:p>
        </w:tc>
        <w:tc>
          <w:tcPr>
            <w:tcW w:w="14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Incurred to Date</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14"/>
                <w:szCs w:val="14"/>
                <w:b w:val="1"/>
                <w:bCs w:val="1"/>
                <w:color w:val="auto"/>
                <w:w w:val="89"/>
              </w:rPr>
              <w:t>Total Expected to</w:t>
            </w:r>
          </w:p>
        </w:tc>
        <w:tc>
          <w:tcPr>
            <w:tcW w:w="0" w:type="dxa"/>
            <w:vAlign w:val="bottom"/>
          </w:tcPr>
          <w:p>
            <w:pPr>
              <w:spacing w:after="0"/>
              <w:rPr>
                <w:sz w:val="1"/>
                <w:szCs w:val="1"/>
                <w:color w:val="auto"/>
              </w:rPr>
            </w:pPr>
          </w:p>
        </w:tc>
      </w:tr>
      <w:tr>
        <w:trPr>
          <w:trHeight w:val="192"/>
        </w:trPr>
        <w:tc>
          <w:tcPr>
            <w:tcW w:w="7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38"/>
              <w:spacing w:after="0"/>
              <w:rPr>
                <w:sz w:val="20"/>
                <w:szCs w:val="20"/>
                <w:color w:val="auto"/>
              </w:rPr>
            </w:pPr>
            <w:r>
              <w:rPr>
                <w:rFonts w:ascii="Arial" w:cs="Arial" w:eastAsia="Arial" w:hAnsi="Arial"/>
                <w:sz w:val="14"/>
                <w:szCs w:val="14"/>
                <w:b w:val="1"/>
                <w:bCs w:val="1"/>
                <w:color w:val="auto"/>
              </w:rPr>
              <w:t>be Incurred</w:t>
            </w:r>
          </w:p>
        </w:tc>
        <w:tc>
          <w:tcPr>
            <w:tcW w:w="0" w:type="dxa"/>
            <w:vAlign w:val="bottom"/>
          </w:tcPr>
          <w:p>
            <w:pPr>
              <w:spacing w:after="0"/>
              <w:rPr>
                <w:sz w:val="1"/>
                <w:szCs w:val="1"/>
                <w:color w:val="auto"/>
              </w:rPr>
            </w:pPr>
          </w:p>
        </w:tc>
      </w:tr>
      <w:tr>
        <w:trPr>
          <w:trHeight w:val="227"/>
        </w:trPr>
        <w:tc>
          <w:tcPr>
            <w:tcW w:w="7080" w:type="dxa"/>
            <w:vAlign w:val="bottom"/>
          </w:tcPr>
          <w:p>
            <w:pPr>
              <w:ind w:left="40"/>
              <w:spacing w:after="0"/>
              <w:rPr>
                <w:sz w:val="20"/>
                <w:szCs w:val="20"/>
                <w:color w:val="auto"/>
              </w:rPr>
            </w:pPr>
            <w:r>
              <w:rPr>
                <w:rFonts w:ascii="Arial" w:cs="Arial" w:eastAsia="Arial" w:hAnsi="Arial"/>
                <w:sz w:val="17"/>
                <w:szCs w:val="17"/>
                <w:color w:val="auto"/>
              </w:rPr>
              <w:t>Severance and related 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6"/>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Asset write-offs and accelerated depreciation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34"/>
        </w:trPr>
        <w:tc>
          <w:tcPr>
            <w:tcW w:w="7080" w:type="dxa"/>
            <w:vAlign w:val="bottom"/>
          </w:tcPr>
          <w:p>
            <w:pPr>
              <w:ind w:left="40"/>
              <w:spacing w:after="0"/>
              <w:rPr>
                <w:sz w:val="20"/>
                <w:szCs w:val="20"/>
                <w:color w:val="auto"/>
              </w:rPr>
            </w:pPr>
            <w:r>
              <w:rPr>
                <w:rFonts w:ascii="Arial" w:cs="Arial" w:eastAsia="Arial" w:hAnsi="Arial"/>
                <w:sz w:val="17"/>
                <w:szCs w:val="17"/>
                <w:color w:val="auto"/>
              </w:rPr>
              <w:t>Accelerated depreciation on right-of-use assets from operating leases</w:t>
            </w:r>
          </w:p>
        </w:tc>
        <w:tc>
          <w:tcPr>
            <w:tcW w:w="16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6"/>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7"/>
        </w:trPr>
        <w:tc>
          <w:tcPr>
            <w:tcW w:w="7080" w:type="dxa"/>
            <w:vAlign w:val="bottom"/>
          </w:tcPr>
          <w:p>
            <w:pPr>
              <w:ind w:left="260"/>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6"/>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While restructuring charges are excluded from our calculation of segment profit (loss), the table below presents the restructuring charges associated with each segment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Incurred in 2019</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Incurred to Date</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78"/>
              <w:spacing w:after="0"/>
              <w:rPr>
                <w:sz w:val="20"/>
                <w:szCs w:val="20"/>
                <w:color w:val="auto"/>
              </w:rPr>
            </w:pPr>
            <w:r>
              <w:rPr>
                <w:rFonts w:ascii="Arial" w:cs="Arial" w:eastAsia="Arial" w:hAnsi="Arial"/>
                <w:sz w:val="14"/>
                <w:szCs w:val="14"/>
                <w:b w:val="1"/>
                <w:bCs w:val="1"/>
                <w:color w:val="auto"/>
                <w:w w:val="89"/>
              </w:rPr>
              <w:t>Total Expected to</w:t>
            </w:r>
          </w:p>
        </w:tc>
        <w:tc>
          <w:tcPr>
            <w:tcW w:w="0" w:type="dxa"/>
            <w:vAlign w:val="bottom"/>
          </w:tcPr>
          <w:p>
            <w:pPr>
              <w:spacing w:after="0"/>
              <w:rPr>
                <w:sz w:val="1"/>
                <w:szCs w:val="1"/>
                <w:color w:val="auto"/>
              </w:rPr>
            </w:pPr>
          </w:p>
        </w:tc>
      </w:tr>
      <w:tr>
        <w:trPr>
          <w:trHeight w:val="186"/>
        </w:trPr>
        <w:tc>
          <w:tcPr>
            <w:tcW w:w="3940" w:type="dxa"/>
            <w:vAlign w:val="bottom"/>
            <w:tcBorders>
              <w:bottom w:val="single" w:sz="8" w:color="CCEEFF"/>
            </w:tcBorders>
          </w:tcPr>
          <w:p>
            <w:pPr>
              <w:spacing w:after="0"/>
              <w:rPr>
                <w:sz w:val="16"/>
                <w:szCs w:val="16"/>
                <w:color w:val="auto"/>
              </w:rPr>
            </w:pPr>
          </w:p>
        </w:tc>
        <w:tc>
          <w:tcPr>
            <w:tcW w:w="3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be Incurred</w:t>
            </w:r>
          </w:p>
        </w:tc>
        <w:tc>
          <w:tcPr>
            <w:tcW w:w="0" w:type="dxa"/>
            <w:vAlign w:val="bottom"/>
          </w:tcPr>
          <w:p>
            <w:pPr>
              <w:spacing w:after="0"/>
              <w:rPr>
                <w:sz w:val="1"/>
                <w:szCs w:val="1"/>
                <w:color w:val="auto"/>
              </w:rPr>
            </w:pPr>
          </w:p>
        </w:tc>
      </w:tr>
      <w:tr>
        <w:trPr>
          <w:trHeight w:val="23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Heating &amp; Cooling</w:t>
            </w:r>
          </w:p>
        </w:tc>
        <w:tc>
          <w:tcPr>
            <w:tcW w:w="3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34"/>
        </w:trPr>
        <w:tc>
          <w:tcPr>
            <w:tcW w:w="3940" w:type="dxa"/>
            <w:vAlign w:val="bottom"/>
          </w:tcPr>
          <w:p>
            <w:pPr>
              <w:ind w:left="40"/>
              <w:spacing w:after="0"/>
              <w:rPr>
                <w:sz w:val="20"/>
                <w:szCs w:val="20"/>
                <w:color w:val="auto"/>
              </w:rPr>
            </w:pPr>
            <w:r>
              <w:rPr>
                <w:rFonts w:ascii="Arial" w:cs="Arial" w:eastAsia="Arial" w:hAnsi="Arial"/>
                <w:sz w:val="17"/>
                <w:szCs w:val="17"/>
                <w:color w:val="auto"/>
              </w:rPr>
              <w:t>Commercial Heating &amp; Cooling</w:t>
            </w: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Refrigeration</w:t>
            </w:r>
          </w:p>
        </w:tc>
        <w:tc>
          <w:tcPr>
            <w:tcW w:w="3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4"/>
        </w:trPr>
        <w:tc>
          <w:tcPr>
            <w:tcW w:w="3940" w:type="dxa"/>
            <w:vAlign w:val="bottom"/>
          </w:tcPr>
          <w:p>
            <w:pPr>
              <w:ind w:left="40"/>
              <w:spacing w:after="0"/>
              <w:rPr>
                <w:sz w:val="20"/>
                <w:szCs w:val="20"/>
                <w:color w:val="auto"/>
              </w:rPr>
            </w:pPr>
            <w:r>
              <w:rPr>
                <w:rFonts w:ascii="Arial" w:cs="Arial" w:eastAsia="Arial" w:hAnsi="Arial"/>
                <w:sz w:val="17"/>
                <w:szCs w:val="17"/>
                <w:color w:val="auto"/>
              </w:rPr>
              <w:t>Corporate &amp; Other</w:t>
            </w: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6"/>
        </w:trPr>
        <w:tc>
          <w:tcPr>
            <w:tcW w:w="39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3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1193"/>
              <w:spacing w:after="0"/>
              <w:rPr>
                <w:sz w:val="20"/>
                <w:szCs w:val="20"/>
                <w:color w:val="auto"/>
              </w:rPr>
            </w:pPr>
            <w:r>
              <w:rPr>
                <w:rFonts w:ascii="Arial" w:cs="Arial" w:eastAsia="Arial" w:hAnsi="Arial"/>
                <w:sz w:val="17"/>
                <w:szCs w:val="17"/>
                <w:color w:val="auto"/>
              </w:rPr>
              <w:t>53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39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56" w:name="page57"/>
    <w:bookmarkEnd w:id="56"/>
    <w:p>
      <w:pPr>
        <w:ind w:left="240"/>
        <w:spacing w:after="0"/>
        <w:rPr>
          <w:sz w:val="20"/>
          <w:szCs w:val="20"/>
          <w:color w:val="auto"/>
        </w:rPr>
      </w:pPr>
      <w:r>
        <w:rPr>
          <w:rFonts w:ascii="Arial" w:cs="Arial" w:eastAsia="Arial" w:hAnsi="Arial"/>
          <w:sz w:val="17"/>
          <w:szCs w:val="17"/>
          <w:color w:val="auto"/>
        </w:rPr>
        <w:t>Restructuring accruals are included in Accrued expenses in the accompanying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Revenue Recognition:</w:t>
      </w:r>
    </w:p>
    <w:p>
      <w:pPr>
        <w:spacing w:after="0" w:line="227"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The following table disaggregates our revenue by business segment by geography which provides information as to the major sources of revenue. See Note 3 for additional description of our reportable business segments and the products and services being sold in each segment.</w:t>
      </w:r>
    </w:p>
    <w:p>
      <w:pPr>
        <w:spacing w:after="0" w:line="302" w:lineRule="exact"/>
        <w:rPr>
          <w:sz w:val="20"/>
          <w:szCs w:val="20"/>
          <w:color w:val="auto"/>
        </w:rPr>
      </w:pPr>
    </w:p>
    <w:tbl>
      <w:tblPr>
        <w:tblLayout w:type="fixed"/>
        <w:tblInd w:w="160" w:type="dxa"/>
        <w:tblCellMar>
          <w:top w:w="0" w:type="dxa"/>
          <w:left w:w="0" w:type="dxa"/>
          <w:bottom w:w="0" w:type="dxa"/>
          <w:right w:w="0" w:type="dxa"/>
        </w:tblCellMar>
      </w:tblPr>
      <w:tr>
        <w:trPr>
          <w:trHeight w:val="260"/>
        </w:trPr>
        <w:tc>
          <w:tcPr>
            <w:tcW w:w="3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gridSpan w:val="5"/>
            <w:shd w:val="clear" w:color="auto" w:fill="CCEEFF"/>
          </w:tcPr>
          <w:p>
            <w:pPr>
              <w:ind w:left="400"/>
              <w:spacing w:after="0"/>
              <w:rPr>
                <w:sz w:val="20"/>
                <w:szCs w:val="20"/>
                <w:color w:val="auto"/>
              </w:rPr>
            </w:pPr>
            <w:r>
              <w:rPr>
                <w:rFonts w:ascii="Arial" w:cs="Arial" w:eastAsia="Arial" w:hAnsi="Arial"/>
                <w:sz w:val="16"/>
                <w:szCs w:val="16"/>
                <w:b w:val="1"/>
                <w:bCs w:val="1"/>
                <w:color w:val="auto"/>
              </w:rPr>
              <w:t>For the Year Ended December 31, 2019</w:t>
            </w: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0"/>
        </w:trPr>
        <w:tc>
          <w:tcPr>
            <w:tcW w:w="3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1"/>
              </w:rPr>
              <w:t>Residential Heating &amp;</w:t>
            </w:r>
          </w:p>
        </w:tc>
        <w:tc>
          <w:tcPr>
            <w:tcW w:w="1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1"/>
              </w:rPr>
              <w:t>Commercial Heating &amp;</w:t>
            </w: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03"/>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20" w:type="dxa"/>
            <w:vAlign w:val="bottom"/>
          </w:tcPr>
          <w:p>
            <w:pPr>
              <w:spacing w:after="0"/>
              <w:rPr>
                <w:sz w:val="17"/>
                <w:szCs w:val="17"/>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Cooling</w:t>
            </w:r>
          </w:p>
        </w:tc>
        <w:tc>
          <w:tcPr>
            <w:tcW w:w="120" w:type="dxa"/>
            <w:vAlign w:val="bottom"/>
          </w:tcPr>
          <w:p>
            <w:pPr>
              <w:spacing w:after="0"/>
              <w:rPr>
                <w:sz w:val="17"/>
                <w:szCs w:val="17"/>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Cooling</w:t>
            </w: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Refrigeration</w:t>
            </w:r>
          </w:p>
        </w:tc>
        <w:tc>
          <w:tcPr>
            <w:tcW w:w="280" w:type="dxa"/>
            <w:vAlign w:val="bottom"/>
          </w:tcPr>
          <w:p>
            <w:pPr>
              <w:spacing w:after="0"/>
              <w:rPr>
                <w:sz w:val="17"/>
                <w:szCs w:val="17"/>
                <w:color w:val="auto"/>
              </w:rPr>
            </w:pPr>
          </w:p>
        </w:tc>
        <w:tc>
          <w:tcPr>
            <w:tcW w:w="1480" w:type="dxa"/>
            <w:vAlign w:val="bottom"/>
          </w:tcPr>
          <w:p>
            <w:pPr>
              <w:jc w:val="right"/>
              <w:ind w:right="362"/>
              <w:spacing w:after="0"/>
              <w:rPr>
                <w:sz w:val="20"/>
                <w:szCs w:val="20"/>
                <w:color w:val="auto"/>
              </w:rPr>
            </w:pPr>
            <w:r>
              <w:rPr>
                <w:rFonts w:ascii="Arial" w:cs="Arial" w:eastAsia="Arial" w:hAnsi="Arial"/>
                <w:sz w:val="16"/>
                <w:szCs w:val="16"/>
                <w:b w:val="1"/>
                <w:bCs w:val="1"/>
                <w:color w:val="auto"/>
              </w:rPr>
              <w:t>Consolidated</w:t>
            </w:r>
          </w:p>
        </w:tc>
      </w:tr>
      <w:tr>
        <w:trPr>
          <w:trHeight w:val="32"/>
        </w:trPr>
        <w:tc>
          <w:tcPr>
            <w:tcW w:w="3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2,135.6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847.1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321.9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3,304.6</w:t>
            </w:r>
          </w:p>
        </w:tc>
      </w:tr>
      <w:tr>
        <w:trPr>
          <w:trHeight w:val="228"/>
        </w:trPr>
        <w:tc>
          <w:tcPr>
            <w:tcW w:w="3680" w:type="dxa"/>
            <w:vAlign w:val="bottom"/>
          </w:tcPr>
          <w:p>
            <w:pPr>
              <w:ind w:left="20"/>
              <w:spacing w:after="0"/>
              <w:rPr>
                <w:sz w:val="20"/>
                <w:szCs w:val="20"/>
                <w:color w:val="auto"/>
              </w:rPr>
            </w:pPr>
            <w:r>
              <w:rPr>
                <w:rFonts w:ascii="Arial" w:cs="Arial" w:eastAsia="Arial" w:hAnsi="Arial"/>
                <w:sz w:val="16"/>
                <w:szCs w:val="16"/>
                <w:color w:val="auto"/>
              </w:rPr>
              <w:t>Canada</w:t>
            </w:r>
          </w:p>
        </w:tc>
        <w:tc>
          <w:tcPr>
            <w:tcW w:w="120" w:type="dxa"/>
            <w:vAlign w:val="bottom"/>
          </w:tcPr>
          <w:p>
            <w:pPr>
              <w:spacing w:after="0"/>
              <w:rPr>
                <w:sz w:val="19"/>
                <w:szCs w:val="19"/>
                <w:color w:val="auto"/>
              </w:rPr>
            </w:pP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155.5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ind w:right="42"/>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254.7</w:t>
            </w:r>
          </w:p>
        </w:tc>
      </w:tr>
      <w:tr>
        <w:trPr>
          <w:trHeight w:val="32"/>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247.9</w:t>
            </w:r>
          </w:p>
        </w:tc>
      </w:tr>
      <w:tr>
        <w:trPr>
          <w:trHeight w:val="233"/>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2,291.1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947.4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568.7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3,807.2</w:t>
            </w:r>
          </w:p>
        </w:tc>
      </w:tr>
      <w:tr>
        <w:trPr>
          <w:trHeight w:val="20"/>
        </w:trPr>
        <w:tc>
          <w:tcPr>
            <w:tcW w:w="3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25"/>
        </w:trPr>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0"/>
        </w:trPr>
        <w:tc>
          <w:tcPr>
            <w:tcW w:w="3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gridSpan w:val="5"/>
            <w:shd w:val="clear" w:color="auto" w:fill="CCEEFF"/>
          </w:tcPr>
          <w:p>
            <w:pPr>
              <w:ind w:left="400"/>
              <w:spacing w:after="0"/>
              <w:rPr>
                <w:sz w:val="20"/>
                <w:szCs w:val="20"/>
                <w:color w:val="auto"/>
              </w:rPr>
            </w:pPr>
            <w:r>
              <w:rPr>
                <w:rFonts w:ascii="Arial" w:cs="Arial" w:eastAsia="Arial" w:hAnsi="Arial"/>
                <w:sz w:val="16"/>
                <w:szCs w:val="16"/>
                <w:b w:val="1"/>
                <w:bCs w:val="1"/>
                <w:color w:val="auto"/>
              </w:rPr>
              <w:t>For the Year Ended December 31, 2018</w:t>
            </w: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0"/>
        </w:trPr>
        <w:tc>
          <w:tcPr>
            <w:tcW w:w="3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1"/>
              </w:rPr>
              <w:t>Residential Heating &amp;</w:t>
            </w:r>
          </w:p>
        </w:tc>
        <w:tc>
          <w:tcPr>
            <w:tcW w:w="1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1"/>
              </w:rPr>
              <w:t>Commercial Heating &amp;</w:t>
            </w: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03"/>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20" w:type="dxa"/>
            <w:vAlign w:val="bottom"/>
          </w:tcPr>
          <w:p>
            <w:pPr>
              <w:spacing w:after="0"/>
              <w:rPr>
                <w:sz w:val="17"/>
                <w:szCs w:val="17"/>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Cooling</w:t>
            </w:r>
          </w:p>
        </w:tc>
        <w:tc>
          <w:tcPr>
            <w:tcW w:w="120" w:type="dxa"/>
            <w:vAlign w:val="bottom"/>
          </w:tcPr>
          <w:p>
            <w:pPr>
              <w:spacing w:after="0"/>
              <w:rPr>
                <w:sz w:val="17"/>
                <w:szCs w:val="17"/>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Cooling</w:t>
            </w: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Refrigeration</w:t>
            </w:r>
          </w:p>
        </w:tc>
        <w:tc>
          <w:tcPr>
            <w:tcW w:w="280" w:type="dxa"/>
            <w:vAlign w:val="bottom"/>
          </w:tcPr>
          <w:p>
            <w:pPr>
              <w:spacing w:after="0"/>
              <w:rPr>
                <w:sz w:val="17"/>
                <w:szCs w:val="17"/>
                <w:color w:val="auto"/>
              </w:rPr>
            </w:pPr>
          </w:p>
        </w:tc>
        <w:tc>
          <w:tcPr>
            <w:tcW w:w="1480" w:type="dxa"/>
            <w:vAlign w:val="bottom"/>
          </w:tcPr>
          <w:p>
            <w:pPr>
              <w:jc w:val="right"/>
              <w:ind w:right="362"/>
              <w:spacing w:after="0"/>
              <w:rPr>
                <w:sz w:val="20"/>
                <w:szCs w:val="20"/>
                <w:color w:val="auto"/>
              </w:rPr>
            </w:pPr>
            <w:r>
              <w:rPr>
                <w:rFonts w:ascii="Arial" w:cs="Arial" w:eastAsia="Arial" w:hAnsi="Arial"/>
                <w:sz w:val="16"/>
                <w:szCs w:val="16"/>
                <w:b w:val="1"/>
                <w:bCs w:val="1"/>
                <w:color w:val="auto"/>
              </w:rPr>
              <w:t>Consolidated</w:t>
            </w:r>
          </w:p>
        </w:tc>
      </w:tr>
      <w:tr>
        <w:trPr>
          <w:trHeight w:val="32"/>
        </w:trPr>
        <w:tc>
          <w:tcPr>
            <w:tcW w:w="3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2,066.7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805.4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403.2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3,275.3</w:t>
            </w:r>
          </w:p>
        </w:tc>
      </w:tr>
      <w:tr>
        <w:trPr>
          <w:trHeight w:val="228"/>
        </w:trPr>
        <w:tc>
          <w:tcPr>
            <w:tcW w:w="3680" w:type="dxa"/>
            <w:vAlign w:val="bottom"/>
          </w:tcPr>
          <w:p>
            <w:pPr>
              <w:ind w:left="20"/>
              <w:spacing w:after="0"/>
              <w:rPr>
                <w:sz w:val="20"/>
                <w:szCs w:val="20"/>
                <w:color w:val="auto"/>
              </w:rPr>
            </w:pPr>
            <w:r>
              <w:rPr>
                <w:rFonts w:ascii="Arial" w:cs="Arial" w:eastAsia="Arial" w:hAnsi="Arial"/>
                <w:sz w:val="16"/>
                <w:szCs w:val="16"/>
                <w:color w:val="auto"/>
              </w:rPr>
              <w:t>Canada</w:t>
            </w:r>
          </w:p>
        </w:tc>
        <w:tc>
          <w:tcPr>
            <w:tcW w:w="120" w:type="dxa"/>
            <w:vAlign w:val="bottom"/>
          </w:tcPr>
          <w:p>
            <w:pPr>
              <w:spacing w:after="0"/>
              <w:rPr>
                <w:sz w:val="19"/>
                <w:szCs w:val="19"/>
                <w:color w:val="auto"/>
              </w:rPr>
            </w:pP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158.3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ind w:right="42"/>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255.5</w:t>
            </w:r>
          </w:p>
        </w:tc>
      </w:tr>
      <w:tr>
        <w:trPr>
          <w:trHeight w:val="32"/>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353.1</w:t>
            </w:r>
          </w:p>
        </w:tc>
      </w:tr>
      <w:tr>
        <w:trPr>
          <w:trHeight w:val="233"/>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2,225.0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900.7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758.2</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3,883.9</w:t>
            </w:r>
          </w:p>
        </w:tc>
      </w:tr>
      <w:tr>
        <w:trPr>
          <w:trHeight w:val="20"/>
        </w:trPr>
        <w:tc>
          <w:tcPr>
            <w:tcW w:w="3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234"/>
        <w:spacing w:after="0" w:line="260" w:lineRule="auto"/>
        <w:rPr>
          <w:sz w:val="20"/>
          <w:szCs w:val="20"/>
          <w:color w:val="auto"/>
        </w:rPr>
      </w:pPr>
      <w:r>
        <w:rPr>
          <w:rFonts w:ascii="Arial" w:cs="Arial" w:eastAsia="Arial" w:hAnsi="Arial"/>
          <w:sz w:val="17"/>
          <w:szCs w:val="17"/>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w:t>
      </w:r>
    </w:p>
    <w:p>
      <w:pPr>
        <w:spacing w:after="0" w:line="184" w:lineRule="exact"/>
        <w:rPr>
          <w:sz w:val="20"/>
          <w:szCs w:val="20"/>
          <w:color w:val="auto"/>
        </w:rPr>
      </w:pPr>
    </w:p>
    <w:p>
      <w:pPr>
        <w:jc w:val="both"/>
        <w:ind w:firstLine="234"/>
        <w:spacing w:after="0" w:line="287" w:lineRule="auto"/>
        <w:rPr>
          <w:sz w:val="20"/>
          <w:szCs w:val="20"/>
          <w:color w:val="auto"/>
        </w:rPr>
      </w:pPr>
      <w:r>
        <w:rPr>
          <w:rFonts w:ascii="Arial" w:cs="Arial" w:eastAsia="Arial" w:hAnsi="Arial"/>
          <w:sz w:val="16"/>
          <w:szCs w:val="16"/>
          <w:color w:val="auto"/>
        </w:rPr>
        <w:t>For our businesses that provide services, revenue is recognized at the time services are completed. Our Commercial Heating &amp; Cooling segment also provides sales, installation, maintenance and repair services under fixed-price contracts. Revenue for services is recognized as the services are performed under the contract based on the relative fair value of the services provided. We allocate a portion of the revenue for extended labor warranty obligations and recognize the revenue over the term of the extended warranty. Revenue from extended warranties is insignificant. See Note 5 for more information on product warranties.</w:t>
      </w:r>
    </w:p>
    <w:p>
      <w:pPr>
        <w:spacing w:after="0" w:line="156" w:lineRule="exact"/>
        <w:rPr>
          <w:sz w:val="20"/>
          <w:szCs w:val="20"/>
          <w:color w:val="auto"/>
        </w:rPr>
      </w:pPr>
    </w:p>
    <w:p>
      <w:pPr>
        <w:jc w:val="both"/>
        <w:ind w:firstLine="234"/>
        <w:spacing w:after="0" w:line="282" w:lineRule="auto"/>
        <w:rPr>
          <w:sz w:val="20"/>
          <w:szCs w:val="20"/>
          <w:color w:val="auto"/>
        </w:rPr>
      </w:pPr>
      <w:r>
        <w:rPr>
          <w:rFonts w:ascii="Arial" w:cs="Arial" w:eastAsia="Arial" w:hAnsi="Arial"/>
          <w:sz w:val="16"/>
          <w:szCs w:val="16"/>
          <w:b w:val="1"/>
          <w:bCs w:val="1"/>
          <w:color w:val="auto"/>
        </w:rPr>
        <w:t xml:space="preserve">Residential Heating &amp; Cooling </w:t>
      </w:r>
      <w:r>
        <w:rPr>
          <w:rFonts w:ascii="Arial" w:cs="Arial" w:eastAsia="Arial" w:hAnsi="Arial"/>
          <w:sz w:val="16"/>
          <w:szCs w:val="16"/>
          <w:color w:val="auto"/>
        </w:rPr>
        <w:t>- We manufacture and market a broad range of furnaces, air conditioners, heat pumps, packaged heating and cooling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years ended December 31, 2019 and 2018, direct sales represented 75% and 76% of revenues, respectively, and sales to independent distributors represented the remainder. Given the nature of our business, customer product orders are fulfilled at a point in time and not over a period of time.</w:t>
      </w:r>
    </w:p>
    <w:p>
      <w:pPr>
        <w:spacing w:after="0" w:line="161" w:lineRule="exact"/>
        <w:rPr>
          <w:sz w:val="20"/>
          <w:szCs w:val="20"/>
          <w:color w:val="auto"/>
        </w:rPr>
      </w:pPr>
    </w:p>
    <w:p>
      <w:pPr>
        <w:jc w:val="both"/>
        <w:ind w:firstLine="234"/>
        <w:spacing w:after="0" w:line="282" w:lineRule="auto"/>
        <w:rPr>
          <w:sz w:val="20"/>
          <w:szCs w:val="20"/>
          <w:color w:val="auto"/>
        </w:rPr>
      </w:pPr>
      <w:r>
        <w:rPr>
          <w:rFonts w:ascii="Arial" w:cs="Arial" w:eastAsia="Arial" w:hAnsi="Arial"/>
          <w:sz w:val="16"/>
          <w:szCs w:val="16"/>
          <w:b w:val="1"/>
          <w:bCs w:val="1"/>
          <w:color w:val="auto"/>
        </w:rPr>
        <w:t xml:space="preserve">Commercial Heating &amp; Cooling </w:t>
      </w:r>
      <w:r>
        <w:rPr>
          <w:rFonts w:ascii="Arial" w:cs="Arial" w:eastAsia="Arial" w:hAnsi="Arial"/>
          <w:sz w:val="16"/>
          <w:szCs w:val="16"/>
          <w:color w:val="auto"/>
        </w:rPr>
        <w:t>- In North America, we manufacture and sell unitary heating and cooling equipment used in light commercial applications,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544" w:right="239" w:bottom="1440" w:gutter="0" w:footer="0" w:header="0"/>
        </w:sectPr>
      </w:pPr>
    </w:p>
    <w:bookmarkStart w:id="57" w:name="page58"/>
    <w:bookmarkEnd w:id="57"/>
    <w:p>
      <w:pPr>
        <w:jc w:val="both"/>
        <w:spacing w:after="0" w:line="286" w:lineRule="auto"/>
        <w:rPr>
          <w:sz w:val="20"/>
          <w:szCs w:val="20"/>
          <w:color w:val="auto"/>
        </w:rPr>
      </w:pPr>
      <w:r>
        <w:rPr>
          <w:rFonts w:ascii="Arial" w:cs="Arial" w:eastAsia="Arial" w:hAnsi="Arial"/>
          <w:sz w:val="17"/>
          <w:szCs w:val="17"/>
          <w:color w:val="auto"/>
        </w:rPr>
        <w:t>For the years ended December 31, 2019 and 2018, equipment sales represented 86% of revenues and the remainder of our revenue was generated from our service business.</w:t>
      </w:r>
    </w:p>
    <w:p>
      <w:pPr>
        <w:spacing w:after="0" w:line="153"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b w:val="1"/>
          <w:bCs w:val="1"/>
          <w:color w:val="auto"/>
        </w:rPr>
        <w:t xml:space="preserve">Refrigeration </w:t>
      </w:r>
      <w:r>
        <w:rPr>
          <w:rFonts w:ascii="Arial" w:cs="Arial" w:eastAsia="Arial" w:hAnsi="Arial"/>
          <w:sz w:val="17"/>
          <w:szCs w:val="17"/>
          <w:color w:val="auto"/>
        </w:rPr>
        <w:t>- We manufacture and market equipment for the global commercial refrigeration markets under the Heatcraft Worldwide Refrigeration name. Our</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Substantially all segment revenue was related to these types of equipment and systems and is recognized at a point in time when control transfers to the customer, which is generally at time of shipment. Approximately 1% of segment revenue relates to services for start-up and commissioning activities.</w:t>
      </w:r>
    </w:p>
    <w:p>
      <w:pPr>
        <w:spacing w:after="0" w:line="173" w:lineRule="exact"/>
        <w:rPr>
          <w:sz w:val="20"/>
          <w:szCs w:val="20"/>
          <w:color w:val="auto"/>
        </w:rPr>
      </w:pPr>
    </w:p>
    <w:p>
      <w:pPr>
        <w:jc w:val="both"/>
        <w:ind w:firstLine="234"/>
        <w:spacing w:after="0" w:line="290" w:lineRule="auto"/>
        <w:rPr>
          <w:sz w:val="20"/>
          <w:szCs w:val="20"/>
          <w:color w:val="auto"/>
        </w:rPr>
      </w:pPr>
      <w:r>
        <w:rPr>
          <w:rFonts w:ascii="Arial" w:cs="Arial" w:eastAsia="Arial" w:hAnsi="Arial"/>
          <w:sz w:val="16"/>
          <w:szCs w:val="16"/>
          <w:b w:val="1"/>
          <w:bCs w:val="1"/>
          <w:color w:val="auto"/>
        </w:rPr>
        <w:t xml:space="preserve">Variable Consideration </w:t>
      </w:r>
      <w:r>
        <w:rPr>
          <w:rFonts w:ascii="Arial" w:cs="Arial" w:eastAsia="Arial" w:hAnsi="Arial"/>
          <w:sz w:val="16"/>
          <w:szCs w:val="16"/>
          <w:color w:val="auto"/>
        </w:rPr>
        <w:t>- We engage in cooperative advertising, customer rebate, and other miscellaneous programs that result in payments or credits being</w:t>
      </w:r>
      <w:r>
        <w:rPr>
          <w:rFonts w:ascii="Arial" w:cs="Arial" w:eastAsia="Arial" w:hAnsi="Arial"/>
          <w:sz w:val="16"/>
          <w:szCs w:val="16"/>
          <w:b w:val="1"/>
          <w:bCs w:val="1"/>
          <w:color w:val="auto"/>
        </w:rPr>
        <w:t xml:space="preserve"> </w:t>
      </w:r>
      <w:r>
        <w:rPr>
          <w:rFonts w:ascii="Arial" w:cs="Arial" w:eastAsia="Arial" w:hAnsi="Arial"/>
          <w:sz w:val="16"/>
          <w:szCs w:val="16"/>
          <w:color w:val="auto"/>
        </w:rPr>
        <w:t>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SG&amp;A expenses. All other advertising, promotions and marketing costs are expensed as incurred.</w:t>
      </w:r>
    </w:p>
    <w:p>
      <w:pPr>
        <w:spacing w:after="0" w:line="152" w:lineRule="exact"/>
        <w:rPr>
          <w:sz w:val="20"/>
          <w:szCs w:val="20"/>
          <w:color w:val="auto"/>
        </w:rPr>
      </w:pPr>
    </w:p>
    <w:p>
      <w:pPr>
        <w:jc w:val="both"/>
        <w:ind w:firstLine="234"/>
        <w:spacing w:after="0" w:line="259" w:lineRule="auto"/>
        <w:rPr>
          <w:sz w:val="20"/>
          <w:szCs w:val="20"/>
          <w:color w:val="auto"/>
        </w:rPr>
      </w:pPr>
      <w:r>
        <w:rPr>
          <w:rFonts w:ascii="Arial" w:cs="Arial" w:eastAsia="Arial" w:hAnsi="Arial"/>
          <w:sz w:val="17"/>
          <w:szCs w:val="17"/>
          <w:b w:val="1"/>
          <w:bCs w:val="1"/>
          <w:color w:val="auto"/>
        </w:rPr>
        <w:t xml:space="preserve">Other Judgments and Assumptions </w:t>
      </w:r>
      <w:r>
        <w:rPr>
          <w:rFonts w:ascii="Arial" w:cs="Arial" w:eastAsia="Arial" w:hAnsi="Arial"/>
          <w:sz w:val="17"/>
          <w:szCs w:val="17"/>
          <w:color w:val="auto"/>
        </w:rPr>
        <w:t>- On January 1, 2018, we adopted Accounting Standards Update No.2014-09, Revenue from Contracts with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(Topic 606), as amended and applied it to all contracts using the modified retrospective method. We recognized the cumulative effect of initially applying the new revenue standard as a $1.0 million reduction in the January 1, 2018, balance of retained earnings.We apply the practical expedient in ASC 606-10-50-14 and do not disclose information about remaining 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180" w:lineRule="exact"/>
        <w:rPr>
          <w:sz w:val="20"/>
          <w:szCs w:val="20"/>
          <w:color w:val="auto"/>
        </w:rPr>
      </w:pPr>
    </w:p>
    <w:p>
      <w:pPr>
        <w:jc w:val="both"/>
        <w:ind w:firstLine="234"/>
        <w:spacing w:after="0" w:line="268" w:lineRule="auto"/>
        <w:rPr>
          <w:sz w:val="20"/>
          <w:szCs w:val="20"/>
          <w:color w:val="auto"/>
        </w:rPr>
      </w:pPr>
      <w:r>
        <w:rPr>
          <w:rFonts w:ascii="Arial" w:cs="Arial" w:eastAsia="Arial" w:hAnsi="Arial"/>
          <w:sz w:val="17"/>
          <w:szCs w:val="17"/>
          <w:b w:val="1"/>
          <w:bCs w:val="1"/>
          <w:color w:val="auto"/>
        </w:rPr>
        <w:t xml:space="preserve">Contract Assets </w:t>
      </w:r>
      <w:r>
        <w:rPr>
          <w:rFonts w:ascii="Arial" w:cs="Arial" w:eastAsia="Arial" w:hAnsi="Arial"/>
          <w:sz w:val="17"/>
          <w:szCs w:val="17"/>
          <w:color w:val="auto"/>
        </w:rPr>
        <w:t>- We do not have material amounts of contract assets since revenue is recognized as control of goods is transferred or as services are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in our Consolidated Balance Sheets.</w:t>
      </w:r>
    </w:p>
    <w:p>
      <w:pPr>
        <w:spacing w:after="0" w:line="169" w:lineRule="exact"/>
        <w:rPr>
          <w:sz w:val="20"/>
          <w:szCs w:val="20"/>
          <w:color w:val="auto"/>
        </w:rPr>
      </w:pPr>
    </w:p>
    <w:p>
      <w:pPr>
        <w:jc w:val="both"/>
        <w:ind w:firstLine="234"/>
        <w:spacing w:after="0" w:line="290" w:lineRule="auto"/>
        <w:rPr>
          <w:sz w:val="20"/>
          <w:szCs w:val="20"/>
          <w:color w:val="auto"/>
        </w:rPr>
      </w:pPr>
      <w:r>
        <w:rPr>
          <w:rFonts w:ascii="Arial" w:cs="Arial" w:eastAsia="Arial" w:hAnsi="Arial"/>
          <w:sz w:val="16"/>
          <w:szCs w:val="16"/>
          <w:b w:val="1"/>
          <w:bCs w:val="1"/>
          <w:color w:val="auto"/>
        </w:rPr>
        <w:t xml:space="preserve">Contract Liabilities </w:t>
      </w:r>
      <w:r>
        <w:rPr>
          <w:rFonts w:ascii="Arial" w:cs="Arial" w:eastAsia="Arial" w:hAnsi="Arial"/>
          <w:sz w:val="16"/>
          <w:szCs w:val="16"/>
          <w:color w:val="auto"/>
        </w:rPr>
        <w:t>- Our contract liabilities consist of advance payments and deferred revenue. Our contract liabilities are reported in a net position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 The noncurrent portion of deferred revenue is included in Other liabilities in our Consolidated Balance Sheets.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contract assets (liabilities) consisted of the following:</w:t>
      </w:r>
    </w:p>
    <w:p>
      <w:pPr>
        <w:spacing w:after="0" w:line="155" w:lineRule="exact"/>
        <w:rPr>
          <w:sz w:val="20"/>
          <w:szCs w:val="20"/>
          <w:color w:val="auto"/>
        </w:rPr>
      </w:pPr>
    </w:p>
    <w:tbl>
      <w:tblPr>
        <w:tblLayout w:type="fixed"/>
        <w:tblInd w:w="160" w:type="dxa"/>
        <w:tblCellMar>
          <w:top w:w="0" w:type="dxa"/>
          <w:left w:w="0" w:type="dxa"/>
          <w:bottom w:w="0" w:type="dxa"/>
          <w:right w:w="0" w:type="dxa"/>
        </w:tblCellMar>
      </w:tblPr>
      <w:tr>
        <w:trPr>
          <w:trHeight w:val="260"/>
        </w:trPr>
        <w:tc>
          <w:tcPr>
            <w:tcW w:w="58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5"/>
              </w:rPr>
              <w:t>December 31, 2019</w:t>
            </w:r>
          </w:p>
        </w:tc>
        <w:tc>
          <w:tcPr>
            <w:tcW w:w="1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5"/>
              </w:rPr>
              <w:t>December 31, 2018</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94"/>
              </w:rPr>
              <w:t>$ Change</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88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2"/>
        </w:trPr>
        <w:tc>
          <w:tcPr>
            <w:tcW w:w="5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5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(35.4)%</w:t>
            </w:r>
          </w:p>
        </w:tc>
      </w:tr>
      <w:tr>
        <w:trPr>
          <w:trHeight w:val="228"/>
        </w:trPr>
        <w:tc>
          <w:tcPr>
            <w:tcW w:w="5880" w:type="dxa"/>
            <w:vAlign w:val="bottom"/>
          </w:tcPr>
          <w:p>
            <w:pPr>
              <w:ind w:left="20"/>
              <w:spacing w:after="0"/>
              <w:rPr>
                <w:sz w:val="20"/>
                <w:szCs w:val="20"/>
                <w:color w:val="auto"/>
              </w:rPr>
            </w:pPr>
            <w:r>
              <w:rPr>
                <w:rFonts w:ascii="Arial" w:cs="Arial" w:eastAsia="Arial" w:hAnsi="Arial"/>
                <w:sz w:val="16"/>
                <w:szCs w:val="16"/>
                <w:color w:val="auto"/>
              </w:rPr>
              <w:t>Contract liabilities - noncurrent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2"/>
        </w:trPr>
        <w:tc>
          <w:tcPr>
            <w:tcW w:w="58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3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0"/>
        </w:trPr>
        <w:tc>
          <w:tcPr>
            <w:tcW w:w="5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firstLine="234"/>
        <w:spacing w:after="0" w:line="286" w:lineRule="auto"/>
        <w:rPr>
          <w:sz w:val="20"/>
          <w:szCs w:val="20"/>
          <w:color w:val="auto"/>
        </w:rPr>
      </w:pPr>
      <w:r>
        <w:rPr>
          <w:rFonts w:ascii="Arial" w:cs="Arial" w:eastAsia="Arial" w:hAnsi="Arial"/>
          <w:sz w:val="17"/>
          <w:szCs w:val="17"/>
          <w:color w:val="auto"/>
        </w:rPr>
        <w:t>For the years ended December 31, 2019 and 2018, we recognized revenue of $3.3 million and $4.8 million related to our contract liabilities at January 1, 2019 and 2018, respectively. Impairment losses recognized in our receivables and contract assets were de minimis in 2018 and 2019.</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544"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10. Other Financial Statement Details: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components of inventories are as follows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340" w:type="dxa"/>
            <w:vAlign w:val="bottom"/>
            <w:gridSpan w:val="4"/>
          </w:tcPr>
          <w:p>
            <w:pPr>
              <w:jc w:val="right"/>
              <w:ind w:right="176"/>
              <w:spacing w:after="0"/>
              <w:rPr>
                <w:sz w:val="20"/>
                <w:szCs w:val="20"/>
                <w:color w:val="auto"/>
              </w:rPr>
            </w:pPr>
            <w:r>
              <w:rPr>
                <w:rFonts w:ascii="Arial" w:cs="Arial" w:eastAsia="Arial" w:hAnsi="Arial"/>
                <w:sz w:val="16"/>
                <w:szCs w:val="16"/>
                <w:b w:val="1"/>
                <w:bCs w:val="1"/>
                <w:color w:val="auto"/>
              </w:rPr>
              <w:t>As of December 31,</w:t>
            </w:r>
          </w:p>
        </w:tc>
        <w:tc>
          <w:tcPr>
            <w:tcW w:w="500" w:type="dxa"/>
            <w:vAlign w:val="bottom"/>
          </w:tcPr>
          <w:p>
            <w:pPr>
              <w:spacing w:after="0"/>
              <w:rPr>
                <w:sz w:val="17"/>
                <w:szCs w:val="17"/>
                <w:color w:val="auto"/>
              </w:rPr>
            </w:pPr>
          </w:p>
        </w:tc>
      </w:tr>
      <w:tr>
        <w:trPr>
          <w:trHeight w:val="32"/>
        </w:trPr>
        <w:tc>
          <w:tcPr>
            <w:tcW w:w="8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21"/>
        </w:trPr>
        <w:tc>
          <w:tcPr>
            <w:tcW w:w="8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9"/>
                <w:szCs w:val="19"/>
                <w:color w:val="auto"/>
              </w:rPr>
            </w:pPr>
          </w:p>
        </w:tc>
      </w:tr>
      <w:tr>
        <w:trPr>
          <w:trHeight w:val="32"/>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Finished goods</w:t>
            </w:r>
          </w:p>
        </w:tc>
        <w:tc>
          <w:tcPr>
            <w:tcW w:w="860" w:type="dxa"/>
            <w:vAlign w:val="bottom"/>
            <w:tcBorders>
              <w:bottom w:val="single" w:sz="8" w:color="CCEEFF"/>
            </w:tcBorders>
            <w:shd w:val="clear" w:color="auto" w:fill="CCEEFF"/>
          </w:tcPr>
          <w:p>
            <w:pPr>
              <w:jc w:val="right"/>
              <w:ind w:right="678"/>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9"/>
              </w:rPr>
              <w:t>402.9</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9"/>
              </w:rPr>
              <w:t>330.5</w:t>
            </w:r>
          </w:p>
        </w:tc>
      </w:tr>
      <w:tr>
        <w:trPr>
          <w:trHeight w:val="234"/>
        </w:trPr>
        <w:tc>
          <w:tcPr>
            <w:tcW w:w="8580" w:type="dxa"/>
            <w:vAlign w:val="bottom"/>
          </w:tcPr>
          <w:p>
            <w:pPr>
              <w:ind w:left="40"/>
              <w:spacing w:after="0"/>
              <w:rPr>
                <w:sz w:val="20"/>
                <w:szCs w:val="20"/>
                <w:color w:val="auto"/>
              </w:rPr>
            </w:pPr>
            <w:r>
              <w:rPr>
                <w:rFonts w:ascii="Arial" w:cs="Arial" w:eastAsia="Arial" w:hAnsi="Arial"/>
                <w:sz w:val="17"/>
                <w:szCs w:val="17"/>
                <w:color w:val="auto"/>
              </w:rPr>
              <w:t>Work in process</w:t>
            </w:r>
          </w:p>
        </w:tc>
        <w:tc>
          <w:tcPr>
            <w:tcW w:w="860" w:type="dxa"/>
            <w:vAlign w:val="bottom"/>
          </w:tcPr>
          <w:p>
            <w:pPr>
              <w:spacing w:after="0"/>
              <w:rPr>
                <w:sz w:val="20"/>
                <w:szCs w:val="20"/>
                <w:color w:val="auto"/>
              </w:rPr>
            </w:pPr>
          </w:p>
        </w:tc>
        <w:tc>
          <w:tcPr>
            <w:tcW w:w="520" w:type="dxa"/>
            <w:vAlign w:val="bottom"/>
          </w:tcPr>
          <w:p>
            <w:pPr>
              <w:jc w:val="right"/>
              <w:ind w:right="33"/>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3"/>
              <w:spacing w:after="0"/>
              <w:rPr>
                <w:sz w:val="20"/>
                <w:szCs w:val="20"/>
                <w:color w:val="auto"/>
              </w:rPr>
            </w:pPr>
            <w:r>
              <w:rPr>
                <w:rFonts w:ascii="Arial" w:cs="Arial" w:eastAsia="Arial" w:hAnsi="Arial"/>
                <w:sz w:val="17"/>
                <w:szCs w:val="17"/>
                <w:color w:val="auto"/>
              </w:rPr>
              <w:t>10.0</w:t>
            </w:r>
          </w:p>
        </w:tc>
      </w:tr>
      <w:tr>
        <w:trPr>
          <w:trHeight w:val="26"/>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Raw materials and parts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9"/>
              </w:rPr>
              <w:t>198.8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9"/>
              </w:rPr>
              <w:t>229.1</w:t>
            </w:r>
          </w:p>
        </w:tc>
      </w:tr>
      <w:tr>
        <w:trPr>
          <w:trHeight w:val="227"/>
        </w:trPr>
        <w:tc>
          <w:tcPr>
            <w:tcW w:w="8580" w:type="dxa"/>
            <w:vAlign w:val="bottom"/>
          </w:tcPr>
          <w:p>
            <w:pPr>
              <w:ind w:left="260"/>
              <w:spacing w:after="0"/>
              <w:rPr>
                <w:sz w:val="20"/>
                <w:szCs w:val="20"/>
                <w:color w:val="auto"/>
              </w:rPr>
            </w:pPr>
            <w:r>
              <w:rPr>
                <w:rFonts w:ascii="Arial" w:cs="Arial" w:eastAsia="Arial" w:hAnsi="Arial"/>
                <w:sz w:val="17"/>
                <w:szCs w:val="17"/>
                <w:color w:val="auto"/>
              </w:rPr>
              <w:t>Total</w:t>
            </w:r>
          </w:p>
        </w:tc>
        <w:tc>
          <w:tcPr>
            <w:tcW w:w="8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89"/>
              </w:rPr>
              <w:t>607.7</w:t>
            </w: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9"/>
              </w:rPr>
              <w:t>569.6</w:t>
            </w:r>
          </w:p>
        </w:tc>
      </w:tr>
      <w:tr>
        <w:trPr>
          <w:trHeight w:val="26"/>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Excess of current cost over last-in, first-out cost</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(59.8)</w:t>
            </w:r>
          </w:p>
        </w:tc>
      </w:tr>
      <w:tr>
        <w:trPr>
          <w:trHeight w:val="227"/>
        </w:trPr>
        <w:tc>
          <w:tcPr>
            <w:tcW w:w="8580" w:type="dxa"/>
            <w:vAlign w:val="bottom"/>
          </w:tcPr>
          <w:p>
            <w:pPr>
              <w:ind w:left="40"/>
              <w:spacing w:after="0"/>
              <w:rPr>
                <w:sz w:val="20"/>
                <w:szCs w:val="20"/>
                <w:color w:val="auto"/>
              </w:rPr>
            </w:pPr>
            <w:r>
              <w:rPr>
                <w:rFonts w:ascii="Arial" w:cs="Arial" w:eastAsia="Arial" w:hAnsi="Arial"/>
                <w:sz w:val="17"/>
                <w:szCs w:val="17"/>
                <w:color w:val="auto"/>
              </w:rPr>
              <w:t>Total inventories, net</w:t>
            </w:r>
          </w:p>
        </w:tc>
        <w:tc>
          <w:tcPr>
            <w:tcW w:w="860" w:type="dxa"/>
            <w:vAlign w:val="bottom"/>
            <w:tcBorders>
              <w:top w:val="single" w:sz="8" w:color="auto"/>
            </w:tcBorders>
          </w:tcPr>
          <w:p>
            <w:pPr>
              <w:jc w:val="right"/>
              <w:ind w:right="678"/>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89"/>
              </w:rPr>
              <w:t>544.1</w:t>
            </w: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9"/>
              </w:rPr>
              <w:t>509.8</w:t>
            </w:r>
          </w:p>
        </w:tc>
      </w:tr>
      <w:tr>
        <w:trPr>
          <w:trHeight w:val="26"/>
        </w:trPr>
        <w:tc>
          <w:tcPr>
            <w:tcW w:w="8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300" w:firstLine="234"/>
        <w:spacing w:after="0" w:line="319" w:lineRule="auto"/>
        <w:rPr>
          <w:sz w:val="20"/>
          <w:szCs w:val="20"/>
          <w:color w:val="auto"/>
        </w:rPr>
      </w:pPr>
      <w:r>
        <w:rPr>
          <w:rFonts w:ascii="Arial" w:cs="Arial" w:eastAsia="Arial" w:hAnsi="Arial"/>
          <w:sz w:val="16"/>
          <w:szCs w:val="16"/>
          <w:color w:val="auto"/>
        </w:rPr>
        <w:t>The Company recorded a pre-tax gain of $0.2 million in 2019 and no pre-tax gains or losses in 2018 or 2017 from LIFO inventory liquidations. Reserves for obsolete and slow-moving inventories were $19.2 million and $16.5 million at December 31, 2019 and December 31, 2018,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changes in the carrying amount of goodwill in 2019 and 2018, in total and by segment, are summarized in the table below (in millions):</w:t>
      </w:r>
    </w:p>
    <w:p>
      <w:pPr>
        <w:spacing w:after="0" w:line="14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Changes in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Changes in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Write-off due</w:t>
            </w:r>
          </w:p>
        </w:tc>
        <w:tc>
          <w:tcPr>
            <w:tcW w:w="200" w:type="dxa"/>
            <w:vAlign w:val="bottom"/>
          </w:tcPr>
          <w:p>
            <w:pPr>
              <w:spacing w:after="0"/>
              <w:rPr>
                <w:sz w:val="12"/>
                <w:szCs w:val="12"/>
                <w:color w:val="auto"/>
              </w:rPr>
            </w:pPr>
          </w:p>
        </w:tc>
        <w:tc>
          <w:tcPr>
            <w:tcW w:w="9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8"/>
              </w:rPr>
              <w:t>foreign</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Balance at</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8"/>
              </w:rPr>
              <w:t>foreign</w:t>
            </w:r>
          </w:p>
        </w:tc>
        <w:tc>
          <w:tcPr>
            <w:tcW w:w="140" w:type="dxa"/>
            <w:vAlign w:val="bottom"/>
          </w:tcPr>
          <w:p>
            <w:pPr>
              <w:spacing w:after="0"/>
              <w:rPr>
                <w:sz w:val="12"/>
                <w:szCs w:val="12"/>
                <w:color w:val="auto"/>
              </w:rPr>
            </w:pPr>
          </w:p>
        </w:tc>
        <w:tc>
          <w:tcPr>
            <w:tcW w:w="8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3"/>
        </w:trPr>
        <w:tc>
          <w:tcPr>
            <w:tcW w:w="2900" w:type="dxa"/>
            <w:vAlign w:val="bottom"/>
          </w:tcPr>
          <w:p>
            <w:pPr>
              <w:spacing w:after="0"/>
              <w:rPr>
                <w:sz w:val="12"/>
                <w:szCs w:val="12"/>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at December</w:t>
            </w: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7"/>
              </w:rPr>
              <w:t>currency</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Goodwill</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7"/>
              </w:rPr>
              <w:t>currency</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Segment:</w:t>
            </w:r>
          </w:p>
        </w:tc>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79"/>
              <w:spacing w:after="0" w:line="143" w:lineRule="exact"/>
              <w:rPr>
                <w:sz w:val="20"/>
                <w:szCs w:val="20"/>
                <w:color w:val="auto"/>
              </w:rPr>
            </w:pPr>
            <w:r>
              <w:rPr>
                <w:rFonts w:ascii="Arial" w:cs="Arial" w:eastAsia="Arial" w:hAnsi="Arial"/>
                <w:sz w:val="14"/>
                <w:szCs w:val="14"/>
                <w:b w:val="1"/>
                <w:bCs w:val="1"/>
                <w:color w:val="auto"/>
                <w:w w:val="86"/>
              </w:rPr>
              <w:t>to divested</w:t>
            </w:r>
          </w:p>
        </w:tc>
        <w:tc>
          <w:tcPr>
            <w:tcW w:w="200" w:type="dxa"/>
            <w:vAlign w:val="bottom"/>
          </w:tcPr>
          <w:p>
            <w:pPr>
              <w:spacing w:after="0"/>
              <w:rPr>
                <w:sz w:val="12"/>
                <w:szCs w:val="12"/>
                <w:color w:val="auto"/>
              </w:rPr>
            </w:pPr>
          </w:p>
        </w:tc>
        <w:tc>
          <w:tcPr>
            <w:tcW w:w="9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9"/>
              </w:rPr>
              <w:t>translation</w:t>
            </w:r>
          </w:p>
        </w:tc>
        <w:tc>
          <w:tcPr>
            <w:tcW w:w="110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9"/>
              </w:rPr>
              <w:t>translation</w:t>
            </w: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29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 xml:space="preserve">31, 2017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78"/>
              </w:rPr>
              <w:t>businesses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3"/>
              </w:rPr>
              <w:t>rates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2"/>
              </w:rPr>
              <w:t xml:space="preserve">Reallocation </w:t>
            </w:r>
            <w:r>
              <w:rPr>
                <w:rFonts w:ascii="Arial" w:cs="Arial" w:eastAsia="Arial" w:hAnsi="Arial"/>
                <w:sz w:val="8"/>
                <w:szCs w:val="8"/>
                <w:b w:val="1"/>
                <w:bCs w:val="1"/>
                <w:color w:val="auto"/>
                <w:w w:val="92"/>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3"/>
              </w:rPr>
              <w:t>rates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39"/>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Residential Heating &amp; Cooling</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34"/>
        </w:trPr>
        <w:tc>
          <w:tcPr>
            <w:tcW w:w="2900" w:type="dxa"/>
            <w:vAlign w:val="bottom"/>
          </w:tcPr>
          <w:p>
            <w:pPr>
              <w:ind w:left="20"/>
              <w:spacing w:after="0"/>
              <w:rPr>
                <w:sz w:val="20"/>
                <w:szCs w:val="20"/>
                <w:color w:val="auto"/>
              </w:rPr>
            </w:pPr>
            <w:r>
              <w:rPr>
                <w:rFonts w:ascii="Arial" w:cs="Arial" w:eastAsia="Arial" w:hAnsi="Arial"/>
                <w:sz w:val="17"/>
                <w:szCs w:val="17"/>
                <w:color w:val="auto"/>
              </w:rPr>
              <w:t>Commercial Heating &amp; Cooling</w:t>
            </w:r>
          </w:p>
        </w:tc>
        <w:tc>
          <w:tcPr>
            <w:tcW w:w="2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62.2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7"/>
                <w:szCs w:val="17"/>
                <w:color w:val="auto"/>
              </w:rPr>
              <w:t>61.4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Refrigeration</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(11.5)</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99.3</w:t>
            </w:r>
          </w:p>
        </w:tc>
        <w:tc>
          <w:tcPr>
            <w:tcW w:w="0" w:type="dxa"/>
            <w:vAlign w:val="bottom"/>
          </w:tcPr>
          <w:p>
            <w:pPr>
              <w:spacing w:after="0"/>
              <w:rPr>
                <w:sz w:val="1"/>
                <w:szCs w:val="1"/>
                <w:color w:val="auto"/>
              </w:rPr>
            </w:pPr>
          </w:p>
        </w:tc>
      </w:tr>
      <w:tr>
        <w:trPr>
          <w:trHeight w:val="227"/>
        </w:trPr>
        <w:tc>
          <w:tcPr>
            <w:tcW w:w="2900" w:type="dxa"/>
            <w:vAlign w:val="bottom"/>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200.5</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(11.5)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186.6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186.5</w:t>
            </w: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480" w:hanging="163"/>
        <w:spacing w:after="0" w:line="223" w:lineRule="auto"/>
        <w:tabs>
          <w:tab w:leader="none" w:pos="509"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The goodwill balances in the table above are presented net of accumulated impairment charges of $21.2 million, all of which relate to impairments in periods prior to 2017.</w:t>
      </w:r>
    </w:p>
    <w:p>
      <w:pPr>
        <w:spacing w:after="0" w:line="1" w:lineRule="exact"/>
        <w:rPr>
          <w:rFonts w:ascii="Arial" w:cs="Arial" w:eastAsia="Arial" w:hAnsi="Arial"/>
          <w:sz w:val="23"/>
          <w:szCs w:val="23"/>
          <w:color w:val="auto"/>
          <w:vertAlign w:val="superscript"/>
        </w:rPr>
      </w:pPr>
    </w:p>
    <w:p>
      <w:pPr>
        <w:ind w:left="480" w:hanging="163"/>
        <w:spacing w:after="0" w:line="243" w:lineRule="auto"/>
        <w:tabs>
          <w:tab w:leader="none" w:pos="518"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In 2019, we reorganized our external financial reporting structure by moving our European Commercial HVAC business from our Commercial segment to our Refrigeration segment as we manage both our commercial HVAC and refrigeration operations in Europe together. See Note 3 for additional information.</w:t>
      </w:r>
    </w:p>
    <w:p>
      <w:pPr>
        <w:spacing w:after="0" w:line="194"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A qualitative review of impairment indicators was performed in 2019 for the Residential Heating &amp; Cooling, the Commercial Heating &amp; Cooling, and the Refrigeration segments. Based on our impairment review, we did not record any goodwill impairments in 2019.</w:t>
      </w:r>
    </w:p>
    <w:p>
      <w:pPr>
        <w:spacing w:after="0" w:line="159"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In 2018, we de-recognized $11.5 million of goodwill as a part of the completed sales of our Australia, Asia and South America businesses as discussed further in Note 7. We did not de-recognize any goodwill in 2017 or 2019 and we did not record any goodwill impairments related to continuing operations in 2017, 2018 or 2019.</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538"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Components of Property, plant and equipment, net were as follows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As of December 31,</w:t>
            </w:r>
          </w:p>
        </w:tc>
      </w:tr>
      <w:tr>
        <w:trPr>
          <w:trHeight w:val="32"/>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1"/>
        </w:trPr>
        <w:tc>
          <w:tcPr>
            <w:tcW w:w="8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5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r>
      <w:tr>
        <w:trPr>
          <w:trHeight w:val="32"/>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3"/>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Land</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23.7</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25.5</w:t>
            </w:r>
          </w:p>
        </w:tc>
      </w:tr>
      <w:tr>
        <w:trPr>
          <w:trHeight w:val="234"/>
        </w:trPr>
        <w:tc>
          <w:tcPr>
            <w:tcW w:w="8460" w:type="dxa"/>
            <w:vAlign w:val="bottom"/>
          </w:tcPr>
          <w:p>
            <w:pPr>
              <w:ind w:left="40"/>
              <w:spacing w:after="0"/>
              <w:rPr>
                <w:sz w:val="20"/>
                <w:szCs w:val="20"/>
                <w:color w:val="auto"/>
              </w:rPr>
            </w:pPr>
            <w:r>
              <w:rPr>
                <w:rFonts w:ascii="Arial" w:cs="Arial" w:eastAsia="Arial" w:hAnsi="Arial"/>
                <w:sz w:val="17"/>
                <w:szCs w:val="17"/>
                <w:color w:val="auto"/>
              </w:rPr>
              <w:t>Buildings and improvements</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242.9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210.9</w:t>
            </w:r>
          </w:p>
        </w:tc>
      </w:tr>
      <w:tr>
        <w:trPr>
          <w:trHeight w:val="26"/>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Machinery and equipment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883.4</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838.6</w:t>
            </w:r>
          </w:p>
        </w:tc>
      </w:tr>
      <w:tr>
        <w:trPr>
          <w:trHeight w:val="234"/>
        </w:trPr>
        <w:tc>
          <w:tcPr>
            <w:tcW w:w="8460" w:type="dxa"/>
            <w:vAlign w:val="bottom"/>
          </w:tcPr>
          <w:p>
            <w:pPr>
              <w:ind w:left="40"/>
              <w:spacing w:after="0"/>
              <w:rPr>
                <w:sz w:val="20"/>
                <w:szCs w:val="20"/>
                <w:color w:val="auto"/>
              </w:rPr>
            </w:pPr>
            <w:r>
              <w:rPr>
                <w:rFonts w:ascii="Arial" w:cs="Arial" w:eastAsia="Arial" w:hAnsi="Arial"/>
                <w:sz w:val="17"/>
                <w:szCs w:val="17"/>
                <w:color w:val="auto"/>
              </w:rPr>
              <w:t>Capital leases</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47.2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49.9</w:t>
            </w:r>
          </w:p>
        </w:tc>
      </w:tr>
      <w:tr>
        <w:trPr>
          <w:trHeight w:val="26"/>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Construction in progress and equipment not yet in service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61.9</w:t>
            </w:r>
          </w:p>
        </w:tc>
      </w:tr>
      <w:tr>
        <w:trPr>
          <w:trHeight w:val="227"/>
        </w:trPr>
        <w:tc>
          <w:tcPr>
            <w:tcW w:w="8460" w:type="dxa"/>
            <w:vAlign w:val="bottom"/>
          </w:tcPr>
          <w:p>
            <w:pPr>
              <w:ind w:left="16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1,269.7</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1,186.8</w:t>
            </w:r>
          </w:p>
        </w:tc>
      </w:tr>
      <w:tr>
        <w:trPr>
          <w:trHeight w:val="26"/>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accumulated depreciation</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(824.3)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(778.5)</w:t>
            </w:r>
          </w:p>
        </w:tc>
      </w:tr>
      <w:tr>
        <w:trPr>
          <w:trHeight w:val="247"/>
        </w:trPr>
        <w:tc>
          <w:tcPr>
            <w:tcW w:w="8460" w:type="dxa"/>
            <w:vAlign w:val="bottom"/>
          </w:tcPr>
          <w:p>
            <w:pPr>
              <w:ind w:left="40"/>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445.4</w:t>
            </w:r>
          </w:p>
        </w:tc>
        <w:tc>
          <w:tcPr>
            <w:tcW w:w="2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408.3</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In 2018, we impaired $4 million of property, plant and equipment at our Marshalltown facility that was damaged by a tornado. Refer to Note 5 for more information on the damage to our Marshalltown facility. No impairment charges were recorded in 2019 or 2017.</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significant components of Accrued expenses are presented below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gridSpan w:val="3"/>
          </w:tcPr>
          <w:p>
            <w:pPr>
              <w:jc w:val="right"/>
              <w:ind w:right="256"/>
              <w:spacing w:after="0"/>
              <w:rPr>
                <w:sz w:val="20"/>
                <w:szCs w:val="20"/>
                <w:color w:val="auto"/>
              </w:rPr>
            </w:pPr>
            <w:r>
              <w:rPr>
                <w:rFonts w:ascii="Arial" w:cs="Arial" w:eastAsia="Arial" w:hAnsi="Arial"/>
                <w:sz w:val="16"/>
                <w:szCs w:val="16"/>
                <w:b w:val="1"/>
                <w:bCs w:val="1"/>
                <w:color w:val="auto"/>
                <w:w w:val="84"/>
              </w:rPr>
              <w:t>As of December 31,</w:t>
            </w:r>
          </w:p>
        </w:tc>
        <w:tc>
          <w:tcPr>
            <w:tcW w:w="540" w:type="dxa"/>
            <w:vAlign w:val="bottom"/>
          </w:tcPr>
          <w:p>
            <w:pPr>
              <w:spacing w:after="0"/>
              <w:rPr>
                <w:sz w:val="17"/>
                <w:szCs w:val="17"/>
                <w:color w:val="auto"/>
              </w:rPr>
            </w:pPr>
          </w:p>
        </w:tc>
      </w:tr>
      <w:tr>
        <w:trPr>
          <w:trHeight w:val="32"/>
        </w:trPr>
        <w:tc>
          <w:tcPr>
            <w:tcW w:w="8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1"/>
        </w:trPr>
        <w:tc>
          <w:tcPr>
            <w:tcW w:w="8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9"/>
                <w:szCs w:val="19"/>
                <w:color w:val="auto"/>
              </w:rPr>
            </w:pPr>
          </w:p>
        </w:tc>
      </w:tr>
      <w:tr>
        <w:trPr>
          <w:trHeight w:val="32"/>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rebates and promotions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70.1</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70.8</w:t>
            </w: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color w:val="auto"/>
              </w:rPr>
              <w:t>Accrued compensation and benefits</w:t>
            </w:r>
          </w:p>
        </w:tc>
        <w:tc>
          <w:tcPr>
            <w:tcW w:w="90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7"/>
                <w:szCs w:val="17"/>
                <w:color w:val="auto"/>
              </w:rPr>
              <w:t>70.4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69.0</w:t>
            </w:r>
          </w:p>
        </w:tc>
      </w:tr>
      <w:tr>
        <w:trPr>
          <w:trHeight w:val="26"/>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warranties</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37.9</w:t>
            </w: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color w:val="auto"/>
              </w:rPr>
              <w:t>Accrued sales, use, property and VAT taxes</w:t>
            </w:r>
          </w:p>
        </w:tc>
        <w:tc>
          <w:tcPr>
            <w:tcW w:w="90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7"/>
                <w:szCs w:val="17"/>
                <w:color w:val="auto"/>
              </w:rPr>
              <w:t>18.6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20.7</w:t>
            </w:r>
          </w:p>
        </w:tc>
      </w:tr>
      <w:tr>
        <w:trPr>
          <w:trHeight w:val="26"/>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income</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13.0</w:t>
            </w: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color w:val="auto"/>
              </w:rPr>
              <w:t>Derivative contracts</w:t>
            </w:r>
          </w:p>
        </w:tc>
        <w:tc>
          <w:tcPr>
            <w:tcW w:w="90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10.2</w:t>
            </w:r>
          </w:p>
        </w:tc>
      </w:tr>
      <w:tr>
        <w:trPr>
          <w:trHeight w:val="26"/>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asbestos reserves</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9.7</w:t>
            </w: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color w:val="auto"/>
              </w:rPr>
              <w:t>Self insurance reserves</w:t>
            </w:r>
          </w:p>
        </w:tc>
        <w:tc>
          <w:tcPr>
            <w:tcW w:w="90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6.0</w:t>
            </w:r>
          </w:p>
        </w:tc>
      </w:tr>
      <w:tr>
        <w:trPr>
          <w:trHeight w:val="26"/>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6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35.0</w:t>
            </w:r>
          </w:p>
        </w:tc>
      </w:tr>
      <w:tr>
        <w:trPr>
          <w:trHeight w:val="247"/>
        </w:trPr>
        <w:tc>
          <w:tcPr>
            <w:tcW w:w="8360" w:type="dxa"/>
            <w:vAlign w:val="bottom"/>
          </w:tcPr>
          <w:p>
            <w:pPr>
              <w:ind w:left="260"/>
              <w:spacing w:after="0"/>
              <w:rPr>
                <w:sz w:val="20"/>
                <w:szCs w:val="20"/>
                <w:color w:val="auto"/>
              </w:rPr>
            </w:pPr>
            <w:r>
              <w:rPr>
                <w:rFonts w:ascii="Arial" w:cs="Arial" w:eastAsia="Arial" w:hAnsi="Arial"/>
                <w:sz w:val="17"/>
                <w:szCs w:val="17"/>
                <w:color w:val="auto"/>
              </w:rPr>
              <w:t>Total Accrued expenses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255.7</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98"/>
              </w:rPr>
              <w:t>272.3</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Objectives and Strategies for Using Derivative Instruments</w:t>
      </w:r>
    </w:p>
    <w:p>
      <w:pPr>
        <w:spacing w:after="0" w:line="22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i w:val="1"/>
          <w:iCs w:val="1"/>
          <w:color w:val="auto"/>
        </w:rPr>
        <w:t xml:space="preserve">Commodity Price Risk. </w:t>
      </w:r>
      <w:r>
        <w:rPr>
          <w:rFonts w:ascii="Arial" w:cs="Arial" w:eastAsia="Arial" w:hAnsi="Arial"/>
          <w:sz w:val="17"/>
          <w:szCs w:val="17"/>
          <w:color w:val="auto"/>
        </w:rPr>
        <w:t>We utilize a cash flow hedging program to mitigate our exposure to volatility in the prices of metal commodities used in our production</w:t>
      </w:r>
      <w:r>
        <w:rPr>
          <w:rFonts w:ascii="Arial" w:cs="Arial" w:eastAsia="Arial" w:hAnsi="Arial"/>
          <w:sz w:val="17"/>
          <w:szCs w:val="17"/>
          <w:i w:val="1"/>
          <w:iCs w:val="1"/>
          <w:color w:val="auto"/>
        </w:rPr>
        <w:t xml:space="preserve"> </w:t>
      </w:r>
      <w:r>
        <w:rPr>
          <w:rFonts w:ascii="Arial" w:cs="Arial" w:eastAsia="Arial" w:hAnsi="Arial"/>
          <w:sz w:val="17"/>
          <w:szCs w:val="17"/>
          <w:color w:val="auto"/>
        </w:rPr>
        <w:t>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with lower percentages hedged at future dates. This strategy allows for protection against near-term price volatility while allowing us to adjust to market price movements over time.</w:t>
      </w:r>
    </w:p>
    <w:p>
      <w:pPr>
        <w:spacing w:after="0" w:line="179"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A portion of our debt bears interest at variable interest rates, and as a result, we are subject to variability in the cash paid for interest. To</w:t>
      </w:r>
      <w:r>
        <w:rPr>
          <w:rFonts w:ascii="Arial" w:cs="Arial" w:eastAsia="Arial" w:hAnsi="Arial"/>
          <w:sz w:val="17"/>
          <w:szCs w:val="17"/>
          <w:i w:val="1"/>
          <w:iCs w:val="1"/>
          <w:color w:val="auto"/>
        </w:rPr>
        <w:t xml:space="preserve"> </w:t>
      </w:r>
      <w:r>
        <w:rPr>
          <w:rFonts w:ascii="Arial" w:cs="Arial" w:eastAsia="Arial" w:hAnsi="Arial"/>
          <w:sz w:val="17"/>
          <w:szCs w:val="17"/>
          <w:color w:val="auto"/>
        </w:rPr>
        <w:t>mitigate a portion of that risk, we may choose to engage in an interest rate swap hedging strategy to eliminate the variability of interest payment cash flows. We are not currently hedged against interest rate risk.</w:t>
      </w:r>
    </w:p>
    <w:p>
      <w:pPr>
        <w:spacing w:after="0" w:line="17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i w:val="1"/>
          <w:iCs w:val="1"/>
          <w:color w:val="auto"/>
        </w:rPr>
        <w:t xml:space="preserve">Foreign Currency Risk. </w:t>
      </w:r>
      <w:r>
        <w:rPr>
          <w:rFonts w:ascii="Arial" w:cs="Arial" w:eastAsia="Arial" w:hAnsi="Arial"/>
          <w:sz w:val="17"/>
          <w:szCs w:val="17"/>
          <w:color w:val="auto"/>
        </w:rPr>
        <w:t>Foreign currency exchange rate movements create a degree of risk by affecting the U.S. dollar value of assets and liabilities arising in</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currencies. We seek to mitigate the impact of currency exchange rate movements on certain short-term transactions by periodically entering into foreign currency forward contracts.</w:t>
      </w:r>
    </w:p>
    <w:p>
      <w:pPr>
        <w:sectPr>
          <w:pgSz w:w="11900" w:h="16838" w:orient="portrait"/>
          <w:cols w:equalWidth="0" w:num="1">
            <w:col w:w="11420"/>
          </w:cols>
          <w:pgMar w:left="240" w:top="544"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44"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7"/>
          <w:szCs w:val="17"/>
          <w:b w:val="1"/>
          <w:bCs w:val="1"/>
          <w:i w:val="1"/>
          <w:iCs w:val="1"/>
          <w:color w:val="auto"/>
        </w:rPr>
        <w:t>Cash Flow Hedges</w:t>
      </w:r>
    </w:p>
    <w:p>
      <w:pPr>
        <w:spacing w:after="0" w:line="22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We have commodity futures contracts and foreign exchange forward contracts designated as cash flows hedges that are scheduled to mature through May 2021 and January 2021, respectively. Unrealized gains or losses from our cash flow hedges are included in AOCL and are expected to be reclassified into earnings within the next 18 months based on the prices of the commodities and foreign currencies at the settlement dates.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recorded the following amounts related to our cash flow hedges in AOCL (in millions):</w:t>
      </w:r>
    </w:p>
    <w:p>
      <w:pPr>
        <w:spacing w:after="0" w:line="181"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2260" w:type="dxa"/>
            <w:vAlign w:val="bottom"/>
            <w:gridSpan w:val="4"/>
          </w:tcPr>
          <w:p>
            <w:pPr>
              <w:jc w:val="right"/>
              <w:ind w:right="176"/>
              <w:spacing w:after="0"/>
              <w:rPr>
                <w:sz w:val="20"/>
                <w:szCs w:val="20"/>
                <w:color w:val="auto"/>
              </w:rPr>
            </w:pPr>
            <w:r>
              <w:rPr>
                <w:rFonts w:ascii="Arial" w:cs="Arial" w:eastAsia="Arial" w:hAnsi="Arial"/>
                <w:sz w:val="16"/>
                <w:szCs w:val="16"/>
                <w:b w:val="1"/>
                <w:bCs w:val="1"/>
                <w:color w:val="auto"/>
              </w:rPr>
              <w:t>As of December 31,</w:t>
            </w:r>
          </w:p>
        </w:tc>
        <w:tc>
          <w:tcPr>
            <w:tcW w:w="440" w:type="dxa"/>
            <w:vAlign w:val="bottom"/>
          </w:tcPr>
          <w:p>
            <w:pPr>
              <w:spacing w:after="0"/>
              <w:rPr>
                <w:sz w:val="17"/>
                <w:szCs w:val="17"/>
                <w:color w:val="auto"/>
              </w:rPr>
            </w:pPr>
          </w:p>
        </w:tc>
      </w:tr>
      <w:tr>
        <w:trPr>
          <w:trHeight w:val="32"/>
        </w:trPr>
        <w:tc>
          <w:tcPr>
            <w:tcW w:w="73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1"/>
        </w:trPr>
        <w:tc>
          <w:tcPr>
            <w:tcW w:w="7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9"/>
                <w:szCs w:val="19"/>
                <w:color w:val="auto"/>
              </w:rPr>
            </w:pPr>
          </w:p>
        </w:tc>
      </w:tr>
      <w:tr>
        <w:trPr>
          <w:trHeight w:val="32"/>
        </w:trPr>
        <w:tc>
          <w:tcPr>
            <w:tcW w:w="73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Unrealized losses on unsettled contracts</w:t>
            </w:r>
          </w:p>
        </w:tc>
        <w:tc>
          <w:tcPr>
            <w:tcW w:w="860" w:type="dxa"/>
            <w:vAlign w:val="bottom"/>
            <w:tcBorders>
              <w:bottom w:val="single" w:sz="8" w:color="CCEEFF"/>
            </w:tcBorders>
            <w:shd w:val="clear" w:color="auto" w:fill="CCEEFF"/>
          </w:tcPr>
          <w:p>
            <w:pPr>
              <w:jc w:val="right"/>
              <w:ind w:right="678"/>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8.4</w:t>
            </w:r>
          </w:p>
        </w:tc>
      </w:tr>
      <w:tr>
        <w:trPr>
          <w:trHeight w:val="234"/>
        </w:trPr>
        <w:tc>
          <w:tcPr>
            <w:tcW w:w="7340" w:type="dxa"/>
            <w:vAlign w:val="bottom"/>
          </w:tcPr>
          <w:p>
            <w:pPr>
              <w:ind w:left="20"/>
              <w:spacing w:after="0"/>
              <w:rPr>
                <w:sz w:val="20"/>
                <w:szCs w:val="20"/>
                <w:color w:val="auto"/>
              </w:rPr>
            </w:pPr>
            <w:r>
              <w:rPr>
                <w:rFonts w:ascii="Arial" w:cs="Arial" w:eastAsia="Arial" w:hAnsi="Arial"/>
                <w:sz w:val="17"/>
                <w:szCs w:val="17"/>
                <w:color w:val="auto"/>
              </w:rPr>
              <w:t>Income tax benefit</w:t>
            </w: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6"/>
        </w:trPr>
        <w:tc>
          <w:tcPr>
            <w:tcW w:w="73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7"/>
        </w:trPr>
        <w:tc>
          <w:tcPr>
            <w:tcW w:w="73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Losses included in AOCL, net of tax (1)</w:t>
            </w: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6.2</w:t>
            </w:r>
          </w:p>
        </w:tc>
      </w:tr>
      <w:tr>
        <w:trPr>
          <w:trHeight w:val="26"/>
        </w:trPr>
        <w:tc>
          <w:tcPr>
            <w:tcW w:w="7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313" w:lineRule="exact"/>
        <w:rPr>
          <w:sz w:val="20"/>
          <w:szCs w:val="20"/>
          <w:color w:val="auto"/>
        </w:rPr>
      </w:pPr>
    </w:p>
    <w:p>
      <w:pPr>
        <w:ind w:left="780" w:hanging="229"/>
        <w:spacing w:after="0" w:line="235" w:lineRule="auto"/>
        <w:tabs>
          <w:tab w:leader="none" w:pos="734"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Assuming commodity and foreign currency prices remain constant, we expect to reclassify $0.3 million of derivative losses into earnings within the next 12 months.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 included in our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Below is information about expenses included in Selling, general and administrative expenses in our Consolidated Statements of Operations (in millions):</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40" w:type="dxa"/>
            <w:vAlign w:val="bottom"/>
            <w:gridSpan w:val="6"/>
          </w:tcPr>
          <w:p>
            <w:pPr>
              <w:jc w:val="right"/>
              <w:spacing w:after="0"/>
              <w:rPr>
                <w:sz w:val="20"/>
                <w:szCs w:val="20"/>
                <w:color w:val="auto"/>
              </w:rPr>
            </w:pPr>
            <w:r>
              <w:rPr>
                <w:rFonts w:ascii="Arial" w:cs="Arial" w:eastAsia="Arial" w:hAnsi="Arial"/>
                <w:sz w:val="16"/>
                <w:szCs w:val="16"/>
                <w:b w:val="1"/>
                <w:bCs w:val="1"/>
                <w:color w:val="auto"/>
                <w:w w:val="90"/>
              </w:rPr>
              <w:t>For the Years Ended December 31,</w:t>
            </w:r>
          </w:p>
        </w:tc>
        <w:tc>
          <w:tcPr>
            <w:tcW w:w="780" w:type="dxa"/>
            <w:vAlign w:val="bottom"/>
          </w:tcPr>
          <w:p>
            <w:pPr>
              <w:spacing w:after="0"/>
              <w:rPr>
                <w:sz w:val="17"/>
                <w:szCs w:val="17"/>
                <w:color w:val="auto"/>
              </w:rPr>
            </w:pPr>
          </w:p>
        </w:tc>
      </w:tr>
      <w:tr>
        <w:trPr>
          <w:trHeight w:val="32"/>
        </w:trPr>
        <w:tc>
          <w:tcPr>
            <w:tcW w:w="67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1"/>
        </w:trPr>
        <w:tc>
          <w:tcPr>
            <w:tcW w:w="67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55"/>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355"/>
              <w:spacing w:after="0"/>
              <w:rPr>
                <w:sz w:val="20"/>
                <w:szCs w:val="20"/>
                <w:color w:val="auto"/>
              </w:rPr>
            </w:pPr>
            <w:r>
              <w:rPr>
                <w:rFonts w:ascii="Arial" w:cs="Arial" w:eastAsia="Arial" w:hAnsi="Arial"/>
                <w:sz w:val="16"/>
                <w:szCs w:val="16"/>
                <w:b w:val="1"/>
                <w:bCs w:val="1"/>
                <w:color w:val="auto"/>
                <w:w w:val="89"/>
              </w:rPr>
              <w:t>2017</w:t>
            </w:r>
          </w:p>
        </w:tc>
      </w:tr>
      <w:tr>
        <w:trPr>
          <w:trHeight w:val="32"/>
        </w:trPr>
        <w:tc>
          <w:tcPr>
            <w:tcW w:w="67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7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0"/>
              </w:rPr>
              <w:t>69.9</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72.2</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73.6</w:t>
            </w:r>
          </w:p>
        </w:tc>
      </w:tr>
      <w:tr>
        <w:trPr>
          <w:trHeight w:val="260"/>
        </w:trPr>
        <w:tc>
          <w:tcPr>
            <w:tcW w:w="6740" w:type="dxa"/>
            <w:vAlign w:val="bottom"/>
          </w:tcPr>
          <w:p>
            <w:pPr>
              <w:ind w:left="20"/>
              <w:spacing w:after="0" w:line="260" w:lineRule="exact"/>
              <w:rPr>
                <w:sz w:val="20"/>
                <w:szCs w:val="20"/>
                <w:color w:val="auto"/>
              </w:rPr>
            </w:pPr>
            <w:r>
              <w:rPr>
                <w:rFonts w:ascii="Arial" w:cs="Arial" w:eastAsia="Arial" w:hAnsi="Arial"/>
                <w:sz w:val="17"/>
                <w:szCs w:val="17"/>
                <w:color w:val="auto"/>
              </w:rPr>
              <w:t xml:space="preserve">Advertising, promotions and marketing </w:t>
            </w:r>
            <w:r>
              <w:rPr>
                <w:rFonts w:ascii="Arial" w:cs="Arial" w:eastAsia="Arial" w:hAnsi="Arial"/>
                <w:sz w:val="24"/>
                <w:szCs w:val="24"/>
                <w:color w:val="auto"/>
                <w:vertAlign w:val="superscript"/>
              </w:rPr>
              <w:t>(1)</w:t>
            </w:r>
          </w:p>
        </w:tc>
        <w:tc>
          <w:tcPr>
            <w:tcW w:w="760" w:type="dxa"/>
            <w:vAlign w:val="bottom"/>
          </w:tcPr>
          <w:p>
            <w:pPr>
              <w:spacing w:after="0"/>
              <w:rPr>
                <w:sz w:val="22"/>
                <w:szCs w:val="22"/>
                <w:color w:val="auto"/>
              </w:rPr>
            </w:pPr>
          </w:p>
        </w:tc>
        <w:tc>
          <w:tcPr>
            <w:tcW w:w="420" w:type="dxa"/>
            <w:vAlign w:val="bottom"/>
          </w:tcPr>
          <w:p>
            <w:pPr>
              <w:jc w:val="right"/>
              <w:ind w:right="15"/>
              <w:spacing w:after="0"/>
              <w:rPr>
                <w:sz w:val="20"/>
                <w:szCs w:val="20"/>
                <w:color w:val="auto"/>
              </w:rPr>
            </w:pPr>
            <w:r>
              <w:rPr>
                <w:rFonts w:ascii="Arial" w:cs="Arial" w:eastAsia="Arial" w:hAnsi="Arial"/>
                <w:sz w:val="17"/>
                <w:szCs w:val="17"/>
                <w:color w:val="auto"/>
                <w:w w:val="90"/>
              </w:rPr>
              <w:t>43.7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42.5</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45.0</w:t>
            </w:r>
          </w:p>
        </w:tc>
      </w:tr>
      <w:tr>
        <w:trPr>
          <w:trHeight w:val="234"/>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Cooperative advertising expenditures</w:t>
            </w: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0"/>
              </w:rPr>
              <w:t>21.3</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16.8</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18.6</w:t>
            </w:r>
          </w:p>
        </w:tc>
      </w:tr>
      <w:tr>
        <w:trPr>
          <w:trHeight w:val="26"/>
        </w:trPr>
        <w:tc>
          <w:tcPr>
            <w:tcW w:w="67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16" w:lineRule="exact"/>
        <w:rPr>
          <w:sz w:val="20"/>
          <w:szCs w:val="20"/>
          <w:color w:val="auto"/>
        </w:rPr>
      </w:pPr>
    </w:p>
    <w:p>
      <w:pPr>
        <w:ind w:left="580" w:hanging="185"/>
        <w:spacing w:after="0"/>
        <w:tabs>
          <w:tab w:leader="none" w:pos="58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Cooperative advertising expenditures were not included in these amounts.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components of Interest expense, net in our Consolidated Statements of Operations were as follows (in millions):</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40" w:type="dxa"/>
            <w:vAlign w:val="bottom"/>
            <w:gridSpan w:val="6"/>
          </w:tcPr>
          <w:p>
            <w:pPr>
              <w:jc w:val="right"/>
              <w:spacing w:after="0"/>
              <w:rPr>
                <w:sz w:val="20"/>
                <w:szCs w:val="20"/>
                <w:color w:val="auto"/>
              </w:rPr>
            </w:pPr>
            <w:r>
              <w:rPr>
                <w:rFonts w:ascii="Arial" w:cs="Arial" w:eastAsia="Arial" w:hAnsi="Arial"/>
                <w:sz w:val="16"/>
                <w:szCs w:val="16"/>
                <w:b w:val="1"/>
                <w:bCs w:val="1"/>
                <w:color w:val="auto"/>
                <w:w w:val="90"/>
              </w:rPr>
              <w:t>For the Years Ended December 31,</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120" w:type="dxa"/>
            <w:vAlign w:val="bottom"/>
          </w:tcPr>
          <w:p>
            <w:pPr>
              <w:spacing w:after="0"/>
              <w:rPr>
                <w:sz w:val="19"/>
                <w:szCs w:val="19"/>
                <w:color w:val="auto"/>
              </w:rPr>
            </w:pPr>
          </w:p>
        </w:tc>
        <w:tc>
          <w:tcPr>
            <w:tcW w:w="33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55"/>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355"/>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2"/>
        </w:trPr>
        <w:tc>
          <w:tcPr>
            <w:tcW w:w="41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 net of capitalized interest</w:t>
            </w:r>
          </w:p>
        </w:tc>
        <w:tc>
          <w:tcPr>
            <w:tcW w:w="33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0"/>
              </w:rPr>
              <w:t>48.6</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39.1</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34"/>
        </w:trPr>
        <w:tc>
          <w:tcPr>
            <w:tcW w:w="41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0.8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expense, net</w:t>
            </w:r>
          </w:p>
        </w:tc>
        <w:tc>
          <w:tcPr>
            <w:tcW w:w="33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0"/>
              </w:rPr>
              <w:t>47.5</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38.3</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215"/>
              <w:spacing w:after="0"/>
              <w:rPr>
                <w:sz w:val="20"/>
                <w:szCs w:val="20"/>
                <w:color w:val="auto"/>
              </w:rPr>
            </w:pPr>
            <w:r>
              <w:rPr>
                <w:rFonts w:ascii="Arial" w:cs="Arial" w:eastAsia="Arial" w:hAnsi="Arial"/>
                <w:sz w:val="17"/>
                <w:szCs w:val="17"/>
                <w:color w:val="auto"/>
              </w:rPr>
              <w:t>58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41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52"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i w:val="1"/>
          <w:iCs w:val="1"/>
          <w:color w:val="auto"/>
        </w:rPr>
        <w:t>Losses (Gains) and Other Expenses, net</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Losses (gains) and other expenses, net in our Consolidated Statements of Operations were as follows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2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For the Years Ended December 31,</w:t>
            </w:r>
          </w:p>
        </w:tc>
        <w:tc>
          <w:tcPr>
            <w:tcW w:w="860" w:type="dxa"/>
            <w:vAlign w:val="bottom"/>
          </w:tcPr>
          <w:p>
            <w:pPr>
              <w:spacing w:after="0"/>
              <w:rPr>
                <w:sz w:val="17"/>
                <w:szCs w:val="17"/>
                <w:color w:val="auto"/>
              </w:rPr>
            </w:pPr>
          </w:p>
        </w:tc>
      </w:tr>
      <w:tr>
        <w:trPr>
          <w:trHeight w:val="32"/>
        </w:trPr>
        <w:tc>
          <w:tcPr>
            <w:tcW w:w="7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1"/>
        </w:trPr>
        <w:tc>
          <w:tcPr>
            <w:tcW w:w="7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r>
      <w:tr>
        <w:trPr>
          <w:trHeight w:val="32"/>
        </w:trPr>
        <w:tc>
          <w:tcPr>
            <w:tcW w:w="7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Realized losses (gains) on settled futures contracts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0.4</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34"/>
        </w:trPr>
        <w:tc>
          <w:tcPr>
            <w:tcW w:w="7200" w:type="dxa"/>
            <w:vAlign w:val="bottom"/>
          </w:tcPr>
          <w:p>
            <w:pPr>
              <w:ind w:left="40"/>
              <w:spacing w:after="0"/>
              <w:rPr>
                <w:sz w:val="20"/>
                <w:szCs w:val="20"/>
                <w:color w:val="auto"/>
              </w:rPr>
            </w:pPr>
            <w:r>
              <w:rPr>
                <w:rFonts w:ascii="Arial" w:cs="Arial" w:eastAsia="Arial" w:hAnsi="Arial"/>
                <w:sz w:val="17"/>
                <w:szCs w:val="17"/>
                <w:color w:val="auto"/>
              </w:rPr>
              <w:t>Foreign currency exchange (gains) losses</w:t>
            </w: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6"/>
        </w:trPr>
        <w:tc>
          <w:tcPr>
            <w:tcW w:w="7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(Gains) losses on disposal of fixed assets</w:t>
            </w: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0.7</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0.2</w:t>
            </w:r>
          </w:p>
        </w:tc>
      </w:tr>
      <w:tr>
        <w:trPr>
          <w:trHeight w:val="234"/>
        </w:trPr>
        <w:tc>
          <w:tcPr>
            <w:tcW w:w="7200" w:type="dxa"/>
            <w:vAlign w:val="bottom"/>
          </w:tcPr>
          <w:p>
            <w:pPr>
              <w:ind w:left="40"/>
              <w:spacing w:after="0"/>
              <w:rPr>
                <w:sz w:val="20"/>
                <w:szCs w:val="20"/>
                <w:color w:val="auto"/>
              </w:rPr>
            </w:pPr>
            <w:r>
              <w:rPr>
                <w:rFonts w:ascii="Arial" w:cs="Arial" w:eastAsia="Arial" w:hAnsi="Arial"/>
                <w:sz w:val="17"/>
                <w:szCs w:val="17"/>
                <w:color w:val="auto"/>
              </w:rPr>
              <w:t>Other operating (gains) losses</w:t>
            </w: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6"/>
        </w:trPr>
        <w:tc>
          <w:tcPr>
            <w:tcW w:w="7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change in unrealized (gains) losses on unsettled futures contracts</w:t>
            </w: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0.9</w:t>
            </w:r>
          </w:p>
        </w:tc>
      </w:tr>
      <w:tr>
        <w:trPr>
          <w:trHeight w:val="234"/>
        </w:trPr>
        <w:tc>
          <w:tcPr>
            <w:tcW w:w="7200" w:type="dxa"/>
            <w:vAlign w:val="bottom"/>
          </w:tcPr>
          <w:p>
            <w:pPr>
              <w:ind w:left="40"/>
              <w:spacing w:after="0"/>
              <w:rPr>
                <w:sz w:val="20"/>
                <w:szCs w:val="20"/>
                <w:color w:val="auto"/>
              </w:rPr>
            </w:pPr>
            <w:r>
              <w:rPr>
                <w:rFonts w:ascii="Arial" w:cs="Arial" w:eastAsia="Arial" w:hAnsi="Arial"/>
                <w:sz w:val="17"/>
                <w:szCs w:val="17"/>
                <w:color w:val="auto"/>
              </w:rPr>
              <w:t>Asbestos-related litigation</w:t>
            </w:r>
          </w:p>
        </w:tc>
        <w:tc>
          <w:tcPr>
            <w:tcW w:w="840" w:type="dxa"/>
            <w:vAlign w:val="bottom"/>
          </w:tcPr>
          <w:p>
            <w:pPr>
              <w:spacing w:after="0"/>
              <w:rPr>
                <w:sz w:val="20"/>
                <w:szCs w:val="20"/>
                <w:color w:val="auto"/>
              </w:rPr>
            </w:pP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3.5</w:t>
            </w:r>
          </w:p>
        </w:tc>
      </w:tr>
      <w:tr>
        <w:trPr>
          <w:trHeight w:val="26"/>
        </w:trPr>
        <w:tc>
          <w:tcPr>
            <w:tcW w:w="7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Special legal contingency charges</w:t>
            </w: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1.2</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3.7</w:t>
            </w:r>
          </w:p>
        </w:tc>
      </w:tr>
      <w:tr>
        <w:trPr>
          <w:trHeight w:val="234"/>
        </w:trPr>
        <w:tc>
          <w:tcPr>
            <w:tcW w:w="7200" w:type="dxa"/>
            <w:vAlign w:val="bottom"/>
          </w:tcPr>
          <w:p>
            <w:pPr>
              <w:ind w:left="40"/>
              <w:spacing w:after="0"/>
              <w:rPr>
                <w:sz w:val="20"/>
                <w:szCs w:val="20"/>
                <w:color w:val="auto"/>
              </w:rPr>
            </w:pPr>
            <w:r>
              <w:rPr>
                <w:rFonts w:ascii="Arial" w:cs="Arial" w:eastAsia="Arial" w:hAnsi="Arial"/>
                <w:sz w:val="17"/>
                <w:szCs w:val="17"/>
                <w:color w:val="auto"/>
              </w:rPr>
              <w:t>Environmental liabilities</w:t>
            </w:r>
          </w:p>
        </w:tc>
        <w:tc>
          <w:tcPr>
            <w:tcW w:w="840" w:type="dxa"/>
            <w:vAlign w:val="bottom"/>
          </w:tcPr>
          <w:p>
            <w:pPr>
              <w:spacing w:after="0"/>
              <w:rPr>
                <w:sz w:val="20"/>
                <w:szCs w:val="20"/>
                <w:color w:val="auto"/>
              </w:rPr>
            </w:pP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5.7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2.2</w:t>
            </w:r>
          </w:p>
        </w:tc>
      </w:tr>
      <w:tr>
        <w:trPr>
          <w:trHeight w:val="26"/>
        </w:trPr>
        <w:tc>
          <w:tcPr>
            <w:tcW w:w="7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Contractor tax payments</w:t>
            </w:r>
          </w:p>
        </w:tc>
        <w:tc>
          <w:tcPr>
            <w:tcW w:w="8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0.1</w:t>
            </w:r>
          </w:p>
        </w:tc>
      </w:tr>
      <w:tr>
        <w:trPr>
          <w:trHeight w:val="234"/>
        </w:trPr>
        <w:tc>
          <w:tcPr>
            <w:tcW w:w="7200" w:type="dxa"/>
            <w:vAlign w:val="bottom"/>
          </w:tcPr>
          <w:p>
            <w:pPr>
              <w:ind w:left="40"/>
              <w:spacing w:after="0"/>
              <w:rPr>
                <w:sz w:val="20"/>
                <w:szCs w:val="20"/>
                <w:color w:val="auto"/>
              </w:rPr>
            </w:pPr>
            <w:r>
              <w:rPr>
                <w:rFonts w:ascii="Arial" w:cs="Arial" w:eastAsia="Arial" w:hAnsi="Arial"/>
                <w:sz w:val="17"/>
                <w:szCs w:val="17"/>
                <w:color w:val="auto"/>
              </w:rPr>
              <w:t>Other items, net</w:t>
            </w:r>
          </w:p>
        </w:tc>
        <w:tc>
          <w:tcPr>
            <w:tcW w:w="840" w:type="dxa"/>
            <w:vAlign w:val="bottom"/>
          </w:tcPr>
          <w:p>
            <w:pPr>
              <w:spacing w:after="0"/>
              <w:rPr>
                <w:sz w:val="20"/>
                <w:szCs w:val="20"/>
                <w:color w:val="auto"/>
              </w:rPr>
            </w:pP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6"/>
        </w:trPr>
        <w:tc>
          <w:tcPr>
            <w:tcW w:w="7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Losses (gains) and other expenses, net</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13.4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7.1</w:t>
            </w:r>
          </w:p>
        </w:tc>
      </w:tr>
      <w:tr>
        <w:trPr>
          <w:trHeight w:val="20"/>
        </w:trPr>
        <w:tc>
          <w:tcPr>
            <w:tcW w:w="7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w:t>
      </w:r>
    </w:p>
    <w:p>
      <w:pPr>
        <w:spacing w:after="0" w:line="227"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Many of our defined benefit pension and profit sharing plans have been frozen and replaced with defined contribution plans. We have a liability for the benefits earned under these inactive plans prior to the date the benefits were frozen. We also have several active defined benefit plans that provide benefits based on years of service. Our defined contribution plans generally include both company and employee contributions which are based on predetermined percentages of compensation earned by the employee.</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addition to freezing the benefits of our defined benefit pension plans, we have also eliminated nearly all of our post-retirement medical benefits.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Contribution Plans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recorded the following contributions to the defined contribution plans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20" w:type="dxa"/>
            <w:vAlign w:val="bottom"/>
            <w:gridSpan w:val="6"/>
          </w:tcPr>
          <w:p>
            <w:pPr>
              <w:jc w:val="center"/>
              <w:spacing w:after="0"/>
              <w:rPr>
                <w:sz w:val="20"/>
                <w:szCs w:val="20"/>
                <w:color w:val="auto"/>
              </w:rPr>
            </w:pPr>
            <w:r>
              <w:rPr>
                <w:rFonts w:ascii="Arial" w:cs="Arial" w:eastAsia="Arial" w:hAnsi="Arial"/>
                <w:sz w:val="16"/>
                <w:szCs w:val="16"/>
                <w:b w:val="1"/>
                <w:bCs w:val="1"/>
                <w:color w:val="auto"/>
                <w:w w:val="88"/>
              </w:rPr>
              <w:t>For the Years Ended December 31,</w:t>
            </w:r>
          </w:p>
        </w:tc>
        <w:tc>
          <w:tcPr>
            <w:tcW w:w="900" w:type="dxa"/>
            <w:vAlign w:val="bottom"/>
          </w:tcPr>
          <w:p>
            <w:pPr>
              <w:spacing w:after="0"/>
              <w:rPr>
                <w:sz w:val="17"/>
                <w:szCs w:val="17"/>
                <w:color w:val="auto"/>
              </w:rPr>
            </w:pPr>
          </w:p>
        </w:tc>
      </w:tr>
      <w:tr>
        <w:trPr>
          <w:trHeight w:val="32"/>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1"/>
        </w:trPr>
        <w:tc>
          <w:tcPr>
            <w:tcW w:w="70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38"/>
              <w:spacing w:after="0"/>
              <w:rPr>
                <w:sz w:val="20"/>
                <w:szCs w:val="20"/>
                <w:color w:val="auto"/>
              </w:rPr>
            </w:pPr>
            <w:r>
              <w:rPr>
                <w:rFonts w:ascii="Arial" w:cs="Arial" w:eastAsia="Arial" w:hAnsi="Arial"/>
                <w:sz w:val="16"/>
                <w:szCs w:val="16"/>
                <w:b w:val="1"/>
                <w:bCs w:val="1"/>
                <w:color w:val="auto"/>
              </w:rPr>
              <w:t>2017</w:t>
            </w:r>
          </w:p>
        </w:tc>
      </w:tr>
      <w:tr>
        <w:trPr>
          <w:trHeight w:val="32"/>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7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to defined contribution plans</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18.1</w:t>
            </w:r>
          </w:p>
        </w:tc>
      </w:tr>
      <w:tr>
        <w:trPr>
          <w:trHeight w:val="26"/>
        </w:trPr>
        <w:tc>
          <w:tcPr>
            <w:tcW w:w="7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and Post-retirement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Settlement Activity in 2019</w:t>
      </w:r>
    </w:p>
    <w:p>
      <w:pPr>
        <w:spacing w:after="0" w:line="221" w:lineRule="exact"/>
        <w:rPr>
          <w:sz w:val="20"/>
          <w:szCs w:val="20"/>
          <w:color w:val="auto"/>
        </w:rPr>
      </w:pPr>
    </w:p>
    <w:p>
      <w:pPr>
        <w:jc w:val="both"/>
        <w:ind w:firstLine="312"/>
        <w:spacing w:after="0" w:line="295" w:lineRule="auto"/>
        <w:rPr>
          <w:sz w:val="20"/>
          <w:szCs w:val="20"/>
          <w:color w:val="auto"/>
        </w:rPr>
      </w:pPr>
      <w:r>
        <w:rPr>
          <w:rFonts w:ascii="Arial" w:cs="Arial" w:eastAsia="Arial" w:hAnsi="Arial"/>
          <w:sz w:val="16"/>
          <w:szCs w:val="16"/>
          <w:color w:val="auto"/>
        </w:rPr>
        <w:t>On April 3, 2019, we entered into an agreement with Pacific Life Insurance Company to purchase a group annuity contract and transfer $100.0 million of our pension plan assets and $105.6 million of related pension benefit obligations. In the second quarter of 2019, we recognized a $60.6 million pension settlement charge in the Statement of Operations and reclassified $5.6 million of pension benefit obligations to AOCL as a result of this transaction.</w:t>
      </w:r>
    </w:p>
    <w:p>
      <w:pPr>
        <w:spacing w:after="0" w:line="155" w:lineRule="exact"/>
        <w:rPr>
          <w:sz w:val="20"/>
          <w:szCs w:val="20"/>
          <w:color w:val="auto"/>
        </w:rPr>
      </w:pPr>
    </w:p>
    <w:p>
      <w:pPr>
        <w:jc w:val="both"/>
        <w:ind w:firstLine="312"/>
        <w:spacing w:after="0" w:line="271" w:lineRule="auto"/>
        <w:rPr>
          <w:sz w:val="20"/>
          <w:szCs w:val="20"/>
          <w:color w:val="auto"/>
        </w:rPr>
      </w:pPr>
      <w:r>
        <w:rPr>
          <w:rFonts w:ascii="Arial" w:cs="Arial" w:eastAsia="Arial" w:hAnsi="Arial"/>
          <w:sz w:val="17"/>
          <w:szCs w:val="17"/>
          <w:color w:val="auto"/>
        </w:rPr>
        <w:t>On October 15, 2019, we entered into an agreement with Pacific Life Insurance Company to purchase a group annuity contract and transfer $73.5 million of our pension plan assets and $77.9 million of related benefit obligations. In the fourth quarter of 2019, we recognized a $38.6 million pension settlement charge in the Statement of Operations and reclassified $4.4 million of pension benefit obligations to AOCL as a result of this transaction.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544"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i w:val="1"/>
          <w:iCs w:val="1"/>
          <w:color w:val="auto"/>
        </w:rPr>
        <w:t>Benefit Obligations, Fair Value of Plan Assets, Funded Status, and Balance Sheet Position</w:t>
      </w:r>
    </w:p>
    <w:p>
      <w:pPr>
        <w:spacing w:after="0" w:line="221" w:lineRule="exact"/>
        <w:rPr>
          <w:sz w:val="20"/>
          <w:szCs w:val="20"/>
          <w:color w:val="auto"/>
        </w:rPr>
      </w:pPr>
    </w:p>
    <w:p>
      <w:pPr>
        <w:ind w:right="400" w:firstLine="234"/>
        <w:spacing w:after="0" w:line="286" w:lineRule="auto"/>
        <w:rPr>
          <w:sz w:val="20"/>
          <w:szCs w:val="20"/>
          <w:color w:val="auto"/>
        </w:rPr>
      </w:pPr>
      <w:r>
        <w:rPr>
          <w:rFonts w:ascii="Arial" w:cs="Arial" w:eastAsia="Arial" w:hAnsi="Arial"/>
          <w:sz w:val="17"/>
          <w:szCs w:val="17"/>
          <w:color w:val="auto"/>
        </w:rPr>
        <w:t>The following tables set forth amounts recognized in our financial statements and the plans’ funded status for our pension and post-retirement benefit plans (dollars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w w:val="87"/>
              </w:rPr>
              <w:t>Pension Benefits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8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494"/>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2"/>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Accumulated benefit obligation</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237.3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368.0</w:t>
            </w:r>
          </w:p>
        </w:tc>
        <w:tc>
          <w:tcPr>
            <w:tcW w:w="0" w:type="dxa"/>
            <w:vAlign w:val="bottom"/>
          </w:tcPr>
          <w:p>
            <w:pPr>
              <w:spacing w:after="0"/>
              <w:rPr>
                <w:sz w:val="1"/>
                <w:szCs w:val="1"/>
                <w:color w:val="auto"/>
              </w:rPr>
            </w:pPr>
          </w:p>
        </w:tc>
      </w:tr>
      <w:tr>
        <w:trPr>
          <w:trHeight w:val="286"/>
        </w:trPr>
        <w:tc>
          <w:tcPr>
            <w:tcW w:w="8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Changes in projected benefit obligation:</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color w:val="auto"/>
              </w:rPr>
              <w:t>Benefit obligation at beginning of year</w:t>
            </w:r>
          </w:p>
        </w:tc>
        <w:tc>
          <w:tcPr>
            <w:tcW w:w="920" w:type="dxa"/>
            <w:vAlign w:val="bottom"/>
          </w:tcPr>
          <w:p>
            <w:pPr>
              <w:jc w:val="right"/>
              <w:ind w:right="736"/>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371.9</w:t>
            </w:r>
          </w:p>
        </w:tc>
        <w:tc>
          <w:tcPr>
            <w:tcW w:w="120" w:type="dxa"/>
            <w:vAlign w:val="bottom"/>
          </w:tcPr>
          <w:p>
            <w:pPr>
              <w:spacing w:after="0"/>
              <w:rPr>
                <w:sz w:val="20"/>
                <w:szCs w:val="20"/>
                <w:color w:val="auto"/>
              </w:rPr>
            </w:pP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405.5</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Service cost</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34"/>
        </w:trPr>
        <w:tc>
          <w:tcPr>
            <w:tcW w:w="8360" w:type="dxa"/>
            <w:vAlign w:val="bottom"/>
          </w:tcPr>
          <w:p>
            <w:pPr>
              <w:ind w:left="260"/>
              <w:spacing w:after="0"/>
              <w:rPr>
                <w:sz w:val="20"/>
                <w:szCs w:val="20"/>
                <w:color w:val="auto"/>
              </w:rPr>
            </w:pPr>
            <w:r>
              <w:rPr>
                <w:rFonts w:ascii="Arial" w:cs="Arial" w:eastAsia="Arial" w:hAnsi="Arial"/>
                <w:sz w:val="17"/>
                <w:szCs w:val="17"/>
                <w:color w:val="auto"/>
              </w:rPr>
              <w:t>Interest cost</w:t>
            </w:r>
          </w:p>
        </w:tc>
        <w:tc>
          <w:tcPr>
            <w:tcW w:w="92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w:t>
            </w:r>
          </w:p>
        </w:tc>
        <w:tc>
          <w:tcPr>
            <w:tcW w:w="9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34"/>
        </w:trPr>
        <w:tc>
          <w:tcPr>
            <w:tcW w:w="8360" w:type="dxa"/>
            <w:vAlign w:val="bottom"/>
          </w:tcPr>
          <w:p>
            <w:pPr>
              <w:ind w:left="260"/>
              <w:spacing w:after="0"/>
              <w:rPr>
                <w:sz w:val="20"/>
                <w:szCs w:val="20"/>
                <w:color w:val="auto"/>
              </w:rPr>
            </w:pPr>
            <w:r>
              <w:rPr>
                <w:rFonts w:ascii="Arial" w:cs="Arial" w:eastAsia="Arial" w:hAnsi="Arial"/>
                <w:sz w:val="17"/>
                <w:szCs w:val="17"/>
                <w:color w:val="auto"/>
              </w:rPr>
              <w:t>Actuarial (gain) loss</w:t>
            </w:r>
          </w:p>
        </w:tc>
        <w:tc>
          <w:tcPr>
            <w:tcW w:w="92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38.9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Effect of exchange rates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4"/>
        </w:trPr>
        <w:tc>
          <w:tcPr>
            <w:tcW w:w="8360" w:type="dxa"/>
            <w:vAlign w:val="bottom"/>
          </w:tcPr>
          <w:p>
            <w:pPr>
              <w:ind w:left="260"/>
              <w:spacing w:after="0"/>
              <w:rPr>
                <w:sz w:val="20"/>
                <w:szCs w:val="20"/>
                <w:color w:val="auto"/>
              </w:rPr>
            </w:pPr>
            <w:r>
              <w:rPr>
                <w:rFonts w:ascii="Arial" w:cs="Arial" w:eastAsia="Arial" w:hAnsi="Arial"/>
                <w:sz w:val="17"/>
                <w:szCs w:val="17"/>
                <w:color w:val="auto"/>
              </w:rPr>
              <w:t>Settlements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(173.5)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8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Benefits paid</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27"/>
        </w:trPr>
        <w:tc>
          <w:tcPr>
            <w:tcW w:w="8360" w:type="dxa"/>
            <w:vAlign w:val="bottom"/>
          </w:tcPr>
          <w:p>
            <w:pPr>
              <w:ind w:left="40"/>
              <w:spacing w:after="0"/>
              <w:rPr>
                <w:sz w:val="20"/>
                <w:szCs w:val="20"/>
                <w:color w:val="auto"/>
              </w:rPr>
            </w:pPr>
            <w:r>
              <w:rPr>
                <w:rFonts w:ascii="Arial" w:cs="Arial" w:eastAsia="Arial" w:hAnsi="Arial"/>
                <w:sz w:val="17"/>
                <w:szCs w:val="17"/>
                <w:color w:val="auto"/>
              </w:rPr>
              <w:t>Benefit obligation at end of year</w:t>
            </w:r>
          </w:p>
        </w:tc>
        <w:tc>
          <w:tcPr>
            <w:tcW w:w="920" w:type="dxa"/>
            <w:vAlign w:val="bottom"/>
            <w:tcBorders>
              <w:top w:val="single" w:sz="8" w:color="auto"/>
            </w:tcBorders>
          </w:tcPr>
          <w:p>
            <w:pPr>
              <w:jc w:val="right"/>
              <w:ind w:right="736"/>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241.5</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371.9</w:t>
            </w:r>
          </w:p>
        </w:tc>
        <w:tc>
          <w:tcPr>
            <w:tcW w:w="0" w:type="dxa"/>
            <w:vAlign w:val="bottom"/>
          </w:tcPr>
          <w:p>
            <w:pPr>
              <w:spacing w:after="0"/>
              <w:rPr>
                <w:sz w:val="1"/>
                <w:szCs w:val="1"/>
                <w:color w:val="auto"/>
              </w:rPr>
            </w:pPr>
          </w:p>
        </w:tc>
      </w:tr>
      <w:tr>
        <w:trPr>
          <w:trHeight w:val="26"/>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6"/>
        </w:trPr>
        <w:tc>
          <w:tcPr>
            <w:tcW w:w="8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b w:val="1"/>
                <w:bCs w:val="1"/>
                <w:color w:val="auto"/>
              </w:rPr>
              <w:t>Changes in plan assets: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Fair value of plan assets at beginning of year</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291.0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318.6</w:t>
            </w:r>
          </w:p>
        </w:tc>
        <w:tc>
          <w:tcPr>
            <w:tcW w:w="0" w:type="dxa"/>
            <w:vAlign w:val="bottom"/>
          </w:tcPr>
          <w:p>
            <w:pPr>
              <w:spacing w:after="0"/>
              <w:rPr>
                <w:sz w:val="1"/>
                <w:szCs w:val="1"/>
                <w:color w:val="auto"/>
              </w:rPr>
            </w:pPr>
          </w:p>
        </w:tc>
      </w:tr>
      <w:tr>
        <w:trPr>
          <w:trHeight w:val="234"/>
        </w:trPr>
        <w:tc>
          <w:tcPr>
            <w:tcW w:w="8360" w:type="dxa"/>
            <w:vAlign w:val="bottom"/>
          </w:tcPr>
          <w:p>
            <w:pPr>
              <w:ind w:left="260"/>
              <w:spacing w:after="0"/>
              <w:rPr>
                <w:sz w:val="20"/>
                <w:szCs w:val="20"/>
                <w:color w:val="auto"/>
              </w:rPr>
            </w:pPr>
            <w:r>
              <w:rPr>
                <w:rFonts w:ascii="Arial" w:cs="Arial" w:eastAsia="Arial" w:hAnsi="Arial"/>
                <w:sz w:val="17"/>
                <w:szCs w:val="17"/>
                <w:color w:val="auto"/>
              </w:rPr>
              <w:t>Actual gain (loss) return on plan assets</w:t>
            </w:r>
          </w:p>
        </w:tc>
        <w:tc>
          <w:tcPr>
            <w:tcW w:w="92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45.7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Employer contributions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34"/>
        </w:trPr>
        <w:tc>
          <w:tcPr>
            <w:tcW w:w="8360" w:type="dxa"/>
            <w:vAlign w:val="bottom"/>
          </w:tcPr>
          <w:p>
            <w:pPr>
              <w:ind w:left="260"/>
              <w:spacing w:after="0"/>
              <w:rPr>
                <w:sz w:val="20"/>
                <w:szCs w:val="20"/>
                <w:color w:val="auto"/>
              </w:rPr>
            </w:pPr>
            <w:r>
              <w:rPr>
                <w:rFonts w:ascii="Arial" w:cs="Arial" w:eastAsia="Arial" w:hAnsi="Arial"/>
                <w:sz w:val="17"/>
                <w:szCs w:val="17"/>
                <w:color w:val="auto"/>
              </w:rPr>
              <w:t>Effect of exchange rates</w:t>
            </w:r>
          </w:p>
        </w:tc>
        <w:tc>
          <w:tcPr>
            <w:tcW w:w="92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Plan settlements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(173.5)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4"/>
        </w:trPr>
        <w:tc>
          <w:tcPr>
            <w:tcW w:w="8360" w:type="dxa"/>
            <w:vAlign w:val="bottom"/>
          </w:tcPr>
          <w:p>
            <w:pPr>
              <w:ind w:left="260"/>
              <w:spacing w:after="0"/>
              <w:rPr>
                <w:sz w:val="20"/>
                <w:szCs w:val="20"/>
                <w:color w:val="auto"/>
              </w:rPr>
            </w:pPr>
            <w:r>
              <w:rPr>
                <w:rFonts w:ascii="Arial" w:cs="Arial" w:eastAsia="Arial" w:hAnsi="Arial"/>
                <w:sz w:val="17"/>
                <w:szCs w:val="17"/>
                <w:color w:val="auto"/>
              </w:rPr>
              <w:t>Benefits paid</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6"/>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Fair value of plan assets at end of year</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154.3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291.0</w:t>
            </w:r>
          </w:p>
        </w:tc>
        <w:tc>
          <w:tcPr>
            <w:tcW w:w="0" w:type="dxa"/>
            <w:vAlign w:val="bottom"/>
          </w:tcPr>
          <w:p>
            <w:pPr>
              <w:spacing w:after="0"/>
              <w:rPr>
                <w:sz w:val="1"/>
                <w:szCs w:val="1"/>
                <w:color w:val="auto"/>
              </w:rPr>
            </w:pPr>
          </w:p>
        </w:tc>
      </w:tr>
      <w:tr>
        <w:trPr>
          <w:trHeight w:val="28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Funded status / net amount recognized</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(87.2)</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59"/>
        </w:trPr>
        <w:tc>
          <w:tcPr>
            <w:tcW w:w="8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b w:val="1"/>
                <w:bCs w:val="1"/>
                <w:color w:val="auto"/>
              </w:rPr>
              <w:t>Net amount recognized consists of:</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Non-current assets</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color w:val="auto"/>
              </w:rPr>
              <w:t>Current liability</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Non-current liability</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27"/>
        </w:trPr>
        <w:tc>
          <w:tcPr>
            <w:tcW w:w="8360" w:type="dxa"/>
            <w:vAlign w:val="bottom"/>
          </w:tcPr>
          <w:p>
            <w:pPr>
              <w:ind w:left="40"/>
              <w:spacing w:after="0"/>
              <w:rPr>
                <w:sz w:val="20"/>
                <w:szCs w:val="20"/>
                <w:color w:val="auto"/>
              </w:rPr>
            </w:pPr>
            <w:r>
              <w:rPr>
                <w:rFonts w:ascii="Arial" w:cs="Arial" w:eastAsia="Arial" w:hAnsi="Arial"/>
                <w:sz w:val="17"/>
                <w:szCs w:val="17"/>
                <w:color w:val="auto"/>
              </w:rPr>
              <w:t>Net amount recognized</w:t>
            </w:r>
          </w:p>
        </w:tc>
        <w:tc>
          <w:tcPr>
            <w:tcW w:w="920" w:type="dxa"/>
            <w:vAlign w:val="bottom"/>
            <w:tcBorders>
              <w:top w:val="single" w:sz="8" w:color="auto"/>
            </w:tcBorders>
          </w:tcPr>
          <w:p>
            <w:pPr>
              <w:jc w:val="right"/>
              <w:ind w:right="736"/>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(87.2)</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6"/>
        </w:trPr>
        <w:tc>
          <w:tcPr>
            <w:tcW w:w="8360" w:type="dxa"/>
            <w:vAlign w:val="bottom"/>
            <w:vMerge w:val="restart"/>
          </w:tcPr>
          <w:p>
            <w:pPr>
              <w:spacing w:after="0"/>
              <w:rPr>
                <w:sz w:val="20"/>
                <w:szCs w:val="20"/>
                <w:color w:val="auto"/>
              </w:rPr>
            </w:pPr>
            <w:r>
              <w:rPr>
                <w:rFonts w:ascii="Arial" w:cs="Arial" w:eastAsia="Arial" w:hAnsi="Arial"/>
                <w:sz w:val="17"/>
                <w:szCs w:val="17"/>
                <w:i w:val="1"/>
                <w:iCs w:val="1"/>
                <w:color w:val="auto"/>
              </w:rPr>
              <w:t>Plans with Benefit Obligations in Excess of Plan Assets</w:t>
            </w: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83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360" w:type="dxa"/>
            <w:vAlign w:val="bottom"/>
          </w:tcPr>
          <w:p>
            <w:pPr>
              <w:spacing w:after="0"/>
              <w:rPr>
                <w:sz w:val="24"/>
                <w:szCs w:val="24"/>
                <w:color w:val="auto"/>
              </w:rPr>
            </w:pPr>
          </w:p>
        </w:tc>
        <w:tc>
          <w:tcPr>
            <w:tcW w:w="3060" w:type="dxa"/>
            <w:vAlign w:val="bottom"/>
            <w:gridSpan w:val="5"/>
          </w:tcPr>
          <w:p>
            <w:pPr>
              <w:jc w:val="right"/>
              <w:ind w:right="274"/>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32"/>
        </w:trPr>
        <w:tc>
          <w:tcPr>
            <w:tcW w:w="8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494"/>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2"/>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Pension plans with a benefit obligation in excess of plan assets: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color w:val="auto"/>
              </w:rPr>
              <w:t>Projected benefit obligation</w:t>
            </w:r>
          </w:p>
        </w:tc>
        <w:tc>
          <w:tcPr>
            <w:tcW w:w="920" w:type="dxa"/>
            <w:vAlign w:val="bottom"/>
          </w:tcPr>
          <w:p>
            <w:pPr>
              <w:jc w:val="right"/>
              <w:ind w:right="736"/>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204.5</w:t>
            </w:r>
          </w:p>
        </w:tc>
        <w:tc>
          <w:tcPr>
            <w:tcW w:w="120" w:type="dxa"/>
            <w:vAlign w:val="bottom"/>
          </w:tcPr>
          <w:p>
            <w:pPr>
              <w:spacing w:after="0"/>
              <w:rPr>
                <w:sz w:val="20"/>
                <w:szCs w:val="20"/>
                <w:color w:val="auto"/>
              </w:rPr>
            </w:pP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357.2</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Accumulated benefit obligation</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200.5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353.4</w:t>
            </w:r>
          </w:p>
        </w:tc>
        <w:tc>
          <w:tcPr>
            <w:tcW w:w="0" w:type="dxa"/>
            <w:vAlign w:val="bottom"/>
          </w:tcPr>
          <w:p>
            <w:pPr>
              <w:spacing w:after="0"/>
              <w:rPr>
                <w:sz w:val="1"/>
                <w:szCs w:val="1"/>
                <w:color w:val="auto"/>
              </w:rPr>
            </w:pP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color w:val="auto"/>
              </w:rPr>
              <w:t>Fair value of plan assets</w:t>
            </w:r>
          </w:p>
        </w:tc>
        <w:tc>
          <w:tcPr>
            <w:tcW w:w="92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113.9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Periodic Benefit Cost</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U.S.-based pension plans comprised approximately 81% of the projected benefit obligation and 74% of plan assets as of December 31, 2019.</w:t>
      </w:r>
    </w:p>
    <w:p>
      <w:pPr>
        <w:sectPr>
          <w:pgSz w:w="11900" w:h="16838" w:orient="portrait"/>
          <w:cols w:equalWidth="0" w:num="1">
            <w:col w:w="11420"/>
          </w:cols>
          <w:pgMar w:left="240" w:top="752" w:right="2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752" w:right="239" w:bottom="1440" w:gutter="0" w:footer="0" w:header="0"/>
          <w:type w:val="continuous"/>
        </w:sectPr>
      </w:pPr>
    </w:p>
    <w:bookmarkStart w:id="63" w:name="page64"/>
    <w:bookmarkEnd w:id="63"/>
    <w:p>
      <w:pPr>
        <w:ind w:left="8560"/>
        <w:spacing w:after="0"/>
        <w:rPr>
          <w:sz w:val="20"/>
          <w:szCs w:val="20"/>
          <w:color w:val="auto"/>
        </w:rPr>
      </w:pPr>
      <w:r>
        <w:rPr>
          <w:rFonts w:ascii="Arial" w:cs="Arial" w:eastAsia="Arial" w:hAnsi="Arial"/>
          <w:sz w:val="16"/>
          <w:szCs w:val="16"/>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4285615</wp:posOffset>
            </wp:positionH>
            <wp:positionV relativeFrom="paragraph">
              <wp:posOffset>32385</wp:posOffset>
            </wp:positionV>
            <wp:extent cx="29686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68625" cy="825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r>
      <w:tr>
        <w:trPr>
          <w:trHeight w:val="32"/>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Components of net periodic benefit cost as of December 31:</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4"/>
        </w:trPr>
        <w:tc>
          <w:tcPr>
            <w:tcW w:w="6740" w:type="dxa"/>
            <w:vAlign w:val="bottom"/>
          </w:tcPr>
          <w:p>
            <w:pPr>
              <w:ind w:left="40"/>
              <w:spacing w:after="0"/>
              <w:rPr>
                <w:sz w:val="20"/>
                <w:szCs w:val="20"/>
                <w:color w:val="auto"/>
              </w:rPr>
            </w:pPr>
            <w:r>
              <w:rPr>
                <w:rFonts w:ascii="Arial" w:cs="Arial" w:eastAsia="Arial" w:hAnsi="Arial"/>
                <w:sz w:val="17"/>
                <w:szCs w:val="17"/>
                <w:color w:val="auto"/>
              </w:rPr>
              <w:t>Service cost</w:t>
            </w:r>
          </w:p>
        </w:tc>
        <w:tc>
          <w:tcPr>
            <w:tcW w:w="960" w:type="dxa"/>
            <w:vAlign w:val="bottom"/>
          </w:tcPr>
          <w:p>
            <w:pPr>
              <w:jc w:val="right"/>
              <w:ind w:right="756"/>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3"/>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20"/>
                <w:szCs w:val="20"/>
                <w:color w:val="auto"/>
              </w:rPr>
            </w:pPr>
          </w:p>
        </w:tc>
        <w:tc>
          <w:tcPr>
            <w:tcW w:w="940" w:type="dxa"/>
            <w:vAlign w:val="bottom"/>
          </w:tcPr>
          <w:p>
            <w:pPr>
              <w:jc w:val="right"/>
              <w:ind w:right="756"/>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5.0</w:t>
            </w:r>
          </w:p>
        </w:tc>
      </w:tr>
      <w:tr>
        <w:trPr>
          <w:trHeight w:val="26"/>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cost</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12.6</w:t>
            </w:r>
          </w:p>
        </w:tc>
      </w:tr>
      <w:tr>
        <w:trPr>
          <w:trHeight w:val="234"/>
        </w:trPr>
        <w:tc>
          <w:tcPr>
            <w:tcW w:w="6740" w:type="dxa"/>
            <w:vAlign w:val="bottom"/>
          </w:tcPr>
          <w:p>
            <w:pPr>
              <w:ind w:left="40"/>
              <w:spacing w:after="0"/>
              <w:rPr>
                <w:sz w:val="20"/>
                <w:szCs w:val="20"/>
                <w:color w:val="auto"/>
              </w:rPr>
            </w:pPr>
            <w:r>
              <w:rPr>
                <w:rFonts w:ascii="Arial" w:cs="Arial" w:eastAsia="Arial" w:hAnsi="Arial"/>
                <w:sz w:val="17"/>
                <w:szCs w:val="17"/>
                <w:color w:val="auto"/>
              </w:rPr>
              <w:t>Expected return on plan assets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(21.3)</w:t>
            </w:r>
          </w:p>
        </w:tc>
      </w:tr>
      <w:tr>
        <w:trPr>
          <w:trHeight w:val="26"/>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prior service costs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0.2</w:t>
            </w:r>
          </w:p>
        </w:tc>
      </w:tr>
      <w:tr>
        <w:trPr>
          <w:trHeight w:val="234"/>
        </w:trPr>
        <w:tc>
          <w:tcPr>
            <w:tcW w:w="6740" w:type="dxa"/>
            <w:vAlign w:val="bottom"/>
          </w:tcPr>
          <w:p>
            <w:pPr>
              <w:ind w:left="40"/>
              <w:spacing w:after="0"/>
              <w:rPr>
                <w:sz w:val="20"/>
                <w:szCs w:val="20"/>
                <w:color w:val="auto"/>
              </w:rPr>
            </w:pPr>
            <w:r>
              <w:rPr>
                <w:rFonts w:ascii="Arial" w:cs="Arial" w:eastAsia="Arial" w:hAnsi="Arial"/>
                <w:sz w:val="17"/>
                <w:szCs w:val="17"/>
                <w:color w:val="auto"/>
              </w:rPr>
              <w:t>Recognized actuarial loss</w:t>
            </w:r>
          </w:p>
        </w:tc>
        <w:tc>
          <w:tcPr>
            <w:tcW w:w="960" w:type="dxa"/>
            <w:vAlign w:val="bottom"/>
          </w:tcPr>
          <w:p>
            <w:pPr>
              <w:spacing w:after="0"/>
              <w:rPr>
                <w:sz w:val="20"/>
                <w:szCs w:val="20"/>
                <w:color w:val="auto"/>
              </w:rPr>
            </w:pPr>
          </w:p>
        </w:tc>
        <w:tc>
          <w:tcPr>
            <w:tcW w:w="560" w:type="dxa"/>
            <w:vAlign w:val="bottom"/>
          </w:tcPr>
          <w:p>
            <w:pPr>
              <w:jc w:val="right"/>
              <w:ind w:right="33"/>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8.1</w:t>
            </w:r>
          </w:p>
        </w:tc>
      </w:tr>
      <w:tr>
        <w:trPr>
          <w:trHeight w:val="26"/>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Settlements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99.2</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4"/>
        </w:trPr>
        <w:tc>
          <w:tcPr>
            <w:tcW w:w="6740" w:type="dxa"/>
            <w:vAlign w:val="bottom"/>
          </w:tcPr>
          <w:p>
            <w:pPr>
              <w:ind w:left="40"/>
              <w:spacing w:after="0"/>
              <w:rPr>
                <w:sz w:val="20"/>
                <w:szCs w:val="20"/>
                <w:color w:val="auto"/>
              </w:rPr>
            </w:pPr>
            <w:r>
              <w:rPr>
                <w:rFonts w:ascii="Arial" w:cs="Arial" w:eastAsia="Arial" w:hAnsi="Arial"/>
                <w:sz w:val="17"/>
                <w:szCs w:val="17"/>
                <w:color w:val="auto"/>
              </w:rPr>
              <w:t>Other</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0.7</w:t>
            </w:r>
          </w:p>
        </w:tc>
      </w:tr>
      <w:tr>
        <w:trPr>
          <w:trHeight w:val="26"/>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7"/>
        </w:trPr>
        <w:tc>
          <w:tcPr>
            <w:tcW w:w="6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periodic benefit cost</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98"/>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5.3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Amounts recognized in AOCL and Other Comprehensive Income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following table sets forth amounts recognized in AOCL and Other comprehensive income (loss) in our financial statements for 2019 and 2018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w w:val="87"/>
              </w:rPr>
              <w:t>Pension Benefits</w:t>
            </w:r>
          </w:p>
        </w:tc>
        <w:tc>
          <w:tcPr>
            <w:tcW w:w="920" w:type="dxa"/>
            <w:vAlign w:val="bottom"/>
          </w:tcPr>
          <w:p>
            <w:pPr>
              <w:spacing w:after="0"/>
              <w:rPr>
                <w:sz w:val="17"/>
                <w:szCs w:val="17"/>
                <w:color w:val="auto"/>
              </w:rPr>
            </w:pPr>
          </w:p>
        </w:tc>
      </w:tr>
      <w:tr>
        <w:trPr>
          <w:trHeight w:val="32"/>
        </w:trPr>
        <w:tc>
          <w:tcPr>
            <w:tcW w:w="8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1"/>
        </w:trPr>
        <w:tc>
          <w:tcPr>
            <w:tcW w:w="8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494"/>
              <w:spacing w:after="0"/>
              <w:rPr>
                <w:sz w:val="20"/>
                <w:szCs w:val="20"/>
                <w:color w:val="auto"/>
              </w:rPr>
            </w:pPr>
            <w:r>
              <w:rPr>
                <w:rFonts w:ascii="Arial" w:cs="Arial" w:eastAsia="Arial" w:hAnsi="Arial"/>
                <w:sz w:val="16"/>
                <w:szCs w:val="16"/>
                <w:b w:val="1"/>
                <w:bCs w:val="1"/>
                <w:color w:val="auto"/>
                <w:w w:val="89"/>
              </w:rPr>
              <w:t>2018</w:t>
            </w:r>
          </w:p>
        </w:tc>
      </w:tr>
      <w:tr>
        <w:trPr>
          <w:trHeight w:val="32"/>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Amounts recognized in AOCL:</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color w:val="auto"/>
              </w:rPr>
              <w:t>Prior service costs</w:t>
            </w:r>
          </w:p>
        </w:tc>
        <w:tc>
          <w:tcPr>
            <w:tcW w:w="920" w:type="dxa"/>
            <w:vAlign w:val="bottom"/>
          </w:tcPr>
          <w:p>
            <w:pPr>
              <w:jc w:val="right"/>
              <w:ind w:right="735"/>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20"/>
                <w:szCs w:val="20"/>
                <w:color w:val="auto"/>
              </w:rPr>
            </w:pP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Actuarial loss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(101.6)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(199.4)</w:t>
            </w:r>
          </w:p>
        </w:tc>
      </w:tr>
      <w:tr>
        <w:trPr>
          <w:trHeight w:val="227"/>
        </w:trPr>
        <w:tc>
          <w:tcPr>
            <w:tcW w:w="8360" w:type="dxa"/>
            <w:vAlign w:val="bottom"/>
          </w:tcPr>
          <w:p>
            <w:pPr>
              <w:ind w:left="40"/>
              <w:spacing w:after="0"/>
              <w:rPr>
                <w:sz w:val="20"/>
                <w:szCs w:val="20"/>
                <w:color w:val="auto"/>
              </w:rPr>
            </w:pPr>
            <w:r>
              <w:rPr>
                <w:rFonts w:ascii="Arial" w:cs="Arial" w:eastAsia="Arial" w:hAnsi="Arial"/>
                <w:sz w:val="17"/>
                <w:szCs w:val="17"/>
                <w:color w:val="auto"/>
              </w:rPr>
              <w:t>Subtotal</w:t>
            </w:r>
          </w:p>
        </w:tc>
        <w:tc>
          <w:tcPr>
            <w:tcW w:w="9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(102.4)</w:t>
            </w: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(200.3)</w:t>
            </w: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taxes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49.5</w:t>
            </w:r>
          </w:p>
        </w:tc>
      </w:tr>
      <w:tr>
        <w:trPr>
          <w:trHeight w:val="287"/>
        </w:trPr>
        <w:tc>
          <w:tcPr>
            <w:tcW w:w="83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Net amount recognized</w:t>
            </w:r>
          </w:p>
        </w:tc>
        <w:tc>
          <w:tcPr>
            <w:tcW w:w="92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(77.7)</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(150.8)</w:t>
            </w:r>
          </w:p>
        </w:tc>
      </w:tr>
      <w:tr>
        <w:trPr>
          <w:trHeight w:val="226"/>
        </w:trPr>
        <w:tc>
          <w:tcPr>
            <w:tcW w:w="8360" w:type="dxa"/>
            <w:vAlign w:val="bottom"/>
            <w:tcBorders>
              <w:bottom w:val="single" w:sz="8" w:color="CCEEFF"/>
            </w:tcBorders>
            <w:shd w:val="clear" w:color="auto" w:fill="CCEEFF"/>
          </w:tcPr>
          <w:p>
            <w:pPr>
              <w:ind w:left="40"/>
              <w:spacing w:after="0" w:line="194" w:lineRule="exact"/>
              <w:rPr>
                <w:sz w:val="20"/>
                <w:szCs w:val="20"/>
                <w:color w:val="auto"/>
              </w:rPr>
            </w:pPr>
            <w:r>
              <w:rPr>
                <w:rFonts w:ascii="Arial" w:cs="Arial" w:eastAsia="Arial" w:hAnsi="Arial"/>
                <w:sz w:val="17"/>
                <w:szCs w:val="17"/>
                <w:b w:val="1"/>
                <w:bCs w:val="1"/>
                <w:color w:val="auto"/>
              </w:rPr>
              <w:t>Changes recognized in other comprehensive (loss) income:</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color w:val="auto"/>
              </w:rPr>
              <w:t>Current year prior service costs</w:t>
            </w:r>
          </w:p>
        </w:tc>
        <w:tc>
          <w:tcPr>
            <w:tcW w:w="9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0.3</w:t>
            </w: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year actuarial (gain) loss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15.7</w:t>
            </w: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color w:val="auto"/>
              </w:rPr>
              <w:t>Effect of exchange rates</w:t>
            </w:r>
          </w:p>
        </w:tc>
        <w:tc>
          <w:tcPr>
            <w:tcW w:w="92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6"/>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prior service costs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34"/>
        </w:trPr>
        <w:tc>
          <w:tcPr>
            <w:tcW w:w="8360" w:type="dxa"/>
            <w:vAlign w:val="bottom"/>
          </w:tcPr>
          <w:p>
            <w:pPr>
              <w:ind w:left="40"/>
              <w:spacing w:after="0"/>
              <w:rPr>
                <w:sz w:val="20"/>
                <w:szCs w:val="20"/>
                <w:color w:val="auto"/>
              </w:rPr>
            </w:pPr>
            <w:r>
              <w:rPr>
                <w:rFonts w:ascii="Arial" w:cs="Arial" w:eastAsia="Arial" w:hAnsi="Arial"/>
                <w:sz w:val="17"/>
                <w:szCs w:val="17"/>
                <w:color w:val="auto"/>
              </w:rPr>
              <w:t>Amortization of actuarial loss, including settlements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(93.1)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6"/>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recognized in other comprehensive (loss) income</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4.9</w:t>
            </w:r>
          </w:p>
        </w:tc>
      </w:tr>
      <w:tr>
        <w:trPr>
          <w:trHeight w:val="247"/>
        </w:trPr>
        <w:tc>
          <w:tcPr>
            <w:tcW w:w="8360" w:type="dxa"/>
            <w:vAlign w:val="bottom"/>
          </w:tcPr>
          <w:p>
            <w:pPr>
              <w:ind w:left="260"/>
              <w:spacing w:after="0"/>
              <w:rPr>
                <w:sz w:val="20"/>
                <w:szCs w:val="20"/>
                <w:color w:val="auto"/>
              </w:rPr>
            </w:pPr>
            <w:r>
              <w:rPr>
                <w:rFonts w:ascii="Arial" w:cs="Arial" w:eastAsia="Arial" w:hAnsi="Arial"/>
                <w:sz w:val="17"/>
                <w:szCs w:val="17"/>
                <w:color w:val="auto"/>
              </w:rPr>
              <w:t>Total recognized in net periodic benefit cost and other comprehensive income (loss)</w:t>
            </w:r>
          </w:p>
        </w:tc>
        <w:tc>
          <w:tcPr>
            <w:tcW w:w="92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13.7</w:t>
            </w: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The estimated prior service costs and actuarial losses for pension benefits that will be amortized from AOCL in 2020 are $0.2 million and $5.4 million,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Assumptions</w:t>
      </w:r>
    </w:p>
    <w:p>
      <w:pPr>
        <w:spacing w:after="0" w:line="221" w:lineRule="exact"/>
        <w:rPr>
          <w:sz w:val="20"/>
          <w:szCs w:val="20"/>
          <w:color w:val="auto"/>
        </w:rPr>
      </w:pPr>
    </w:p>
    <w:p>
      <w:pPr>
        <w:ind w:firstLine="234"/>
        <w:spacing w:after="0" w:line="286" w:lineRule="auto"/>
        <w:rPr>
          <w:sz w:val="20"/>
          <w:szCs w:val="20"/>
          <w:color w:val="auto"/>
        </w:rPr>
      </w:pPr>
      <w:r>
        <w:rPr>
          <w:rFonts w:ascii="Arial" w:cs="Arial" w:eastAsia="Arial" w:hAnsi="Arial"/>
          <w:sz w:val="17"/>
          <w:szCs w:val="17"/>
          <w:color w:val="auto"/>
        </w:rPr>
        <w:t>The following tables set forth the weighted-average assumptions used to determine Benefit obligations and Net periodic benefit cost for the U.S.-based plans in 2019 and 2018:</w:t>
      </w:r>
    </w:p>
    <w:p>
      <w:pPr>
        <w:spacing w:after="0" w:line="118"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5087620</wp:posOffset>
            </wp:positionH>
            <wp:positionV relativeFrom="paragraph">
              <wp:posOffset>32385</wp:posOffset>
            </wp:positionV>
            <wp:extent cx="21666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66620" cy="825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576"/>
              <w:spacing w:after="0"/>
              <w:rPr>
                <w:sz w:val="20"/>
                <w:szCs w:val="20"/>
                <w:color w:val="auto"/>
              </w:rPr>
            </w:pPr>
            <w:r>
              <w:rPr>
                <w:rFonts w:ascii="Arial" w:cs="Arial" w:eastAsia="Arial" w:hAnsi="Arial"/>
                <w:sz w:val="16"/>
                <w:szCs w:val="16"/>
                <w:b w:val="1"/>
                <w:bCs w:val="1"/>
                <w:color w:val="auto"/>
              </w:rPr>
              <w:t>2018</w:t>
            </w:r>
          </w:p>
        </w:tc>
      </w:tr>
      <w:tr>
        <w:trPr>
          <w:trHeight w:val="32"/>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3"/>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Weighted-average assumptions used to determine benefit obligations as of December 31:</w:t>
            </w:r>
          </w:p>
        </w:tc>
        <w:tc>
          <w:tcPr>
            <w:tcW w:w="10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34"/>
        </w:trPr>
        <w:tc>
          <w:tcPr>
            <w:tcW w:w="9080" w:type="dxa"/>
            <w:vAlign w:val="bottom"/>
            <w:gridSpan w:val="2"/>
          </w:tcPr>
          <w:p>
            <w:pPr>
              <w:ind w:left="40"/>
              <w:spacing w:after="0"/>
              <w:rPr>
                <w:sz w:val="20"/>
                <w:szCs w:val="20"/>
                <w:color w:val="auto"/>
              </w:rPr>
            </w:pPr>
            <w:r>
              <w:rPr>
                <w:rFonts w:ascii="Arial" w:cs="Arial" w:eastAsia="Arial" w:hAnsi="Arial"/>
                <w:sz w:val="17"/>
                <w:szCs w:val="17"/>
                <w:color w:val="auto"/>
              </w:rPr>
              <w:t>Discount rate</w:t>
            </w:r>
          </w:p>
        </w:tc>
        <w:tc>
          <w:tcPr>
            <w:tcW w:w="580" w:type="dxa"/>
            <w:vAlign w:val="bottom"/>
          </w:tcPr>
          <w:p>
            <w:pPr>
              <w:jc w:val="right"/>
              <w:spacing w:after="0"/>
              <w:rPr>
                <w:sz w:val="20"/>
                <w:szCs w:val="20"/>
                <w:color w:val="auto"/>
              </w:rPr>
            </w:pPr>
            <w:r>
              <w:rPr>
                <w:rFonts w:ascii="Arial" w:cs="Arial" w:eastAsia="Arial" w:hAnsi="Arial"/>
                <w:sz w:val="17"/>
                <w:szCs w:val="17"/>
                <w:color w:val="auto"/>
              </w:rPr>
              <w:t>3.19%</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4.32%</w:t>
            </w:r>
          </w:p>
        </w:tc>
      </w:tr>
      <w:tr>
        <w:trPr>
          <w:trHeight w:val="26"/>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Rate of compensation increase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w:t>
            </w:r>
          </w:p>
        </w:tc>
      </w:tr>
      <w:tr>
        <w:trPr>
          <w:trHeight w:val="625"/>
        </w:trPr>
        <w:tc>
          <w:tcPr>
            <w:tcW w:w="8020" w:type="dxa"/>
            <w:vAlign w:val="bottom"/>
          </w:tcPr>
          <w:p>
            <w:pPr>
              <w:jc w:val="right"/>
              <w:ind w:right="2135"/>
              <w:spacing w:after="0"/>
              <w:rPr>
                <w:sz w:val="20"/>
                <w:szCs w:val="20"/>
                <w:color w:val="auto"/>
              </w:rPr>
            </w:pPr>
            <w:r>
              <w:rPr>
                <w:rFonts w:ascii="Arial" w:cs="Arial" w:eastAsia="Arial" w:hAnsi="Arial"/>
                <w:sz w:val="17"/>
                <w:szCs w:val="17"/>
                <w:color w:val="auto"/>
              </w:rPr>
              <w:t>61</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712" w:right="239" w:bottom="1440" w:gutter="0" w:footer="0" w:header="0"/>
        </w:sectPr>
      </w:pPr>
    </w:p>
    <w:bookmarkStart w:id="64" w:name="page65"/>
    <w:bookmarkEnd w:id="64"/>
    <w:p>
      <w:pPr>
        <w:ind w:left="8480"/>
        <w:spacing w:after="0"/>
        <w:rPr>
          <w:sz w:val="20"/>
          <w:szCs w:val="20"/>
          <w:color w:val="auto"/>
        </w:rPr>
      </w:pPr>
      <w:r>
        <w:rPr>
          <w:rFonts w:ascii="Arial" w:cs="Arial" w:eastAsia="Arial" w:hAnsi="Arial"/>
          <w:sz w:val="16"/>
          <w:szCs w:val="16"/>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32385</wp:posOffset>
            </wp:positionV>
            <wp:extent cx="3059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59430" cy="825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gridSpan w:val="2"/>
          </w:tcPr>
          <w:p>
            <w:pPr>
              <w:ind w:left="7220"/>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51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540" w:type="dxa"/>
            <w:vAlign w:val="bottom"/>
          </w:tcPr>
          <w:p>
            <w:pPr>
              <w:jc w:val="right"/>
              <w:ind w:right="515"/>
              <w:spacing w:after="0"/>
              <w:rPr>
                <w:sz w:val="20"/>
                <w:szCs w:val="20"/>
                <w:color w:val="auto"/>
              </w:rPr>
            </w:pPr>
            <w:r>
              <w:rPr>
                <w:rFonts w:ascii="Arial" w:cs="Arial" w:eastAsia="Arial" w:hAnsi="Arial"/>
                <w:sz w:val="16"/>
                <w:szCs w:val="16"/>
                <w:b w:val="1"/>
                <w:bCs w:val="1"/>
                <w:color w:val="auto"/>
              </w:rPr>
              <w:t>2017</w:t>
            </w:r>
          </w:p>
        </w:tc>
      </w:tr>
      <w:tr>
        <w:trPr>
          <w:trHeight w:val="32"/>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66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w w:val="91"/>
              </w:rPr>
              <w:t>Weighted-average assumptions used to determine net periodic benefit cost for the years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3"/>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ended December 31:</w:t>
            </w: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34"/>
        </w:trPr>
        <w:tc>
          <w:tcPr>
            <w:tcW w:w="7600" w:type="dxa"/>
            <w:vAlign w:val="bottom"/>
            <w:gridSpan w:val="2"/>
          </w:tcPr>
          <w:p>
            <w:pPr>
              <w:ind w:left="40"/>
              <w:spacing w:after="0"/>
              <w:rPr>
                <w:sz w:val="20"/>
                <w:szCs w:val="20"/>
                <w:color w:val="auto"/>
              </w:rPr>
            </w:pPr>
            <w:r>
              <w:rPr>
                <w:rFonts w:ascii="Arial" w:cs="Arial" w:eastAsia="Arial" w:hAnsi="Arial"/>
                <w:sz w:val="17"/>
                <w:szCs w:val="17"/>
                <w:color w:val="auto"/>
              </w:rPr>
              <w:t>Discount rate - service cost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3.96%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3.96%</w:t>
            </w:r>
          </w:p>
        </w:tc>
      </w:tr>
      <w:tr>
        <w:trPr>
          <w:trHeight w:val="26"/>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shd w:val="clear" w:color="auto" w:fill="CCEEFF"/>
              </w:rPr>
              <w:t>Discount rate - interest cost</w:t>
            </w: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3.67%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3.51%</w:t>
            </w:r>
          </w:p>
        </w:tc>
      </w:tr>
      <w:tr>
        <w:trPr>
          <w:trHeight w:val="234"/>
        </w:trPr>
        <w:tc>
          <w:tcPr>
            <w:tcW w:w="7600" w:type="dxa"/>
            <w:vAlign w:val="bottom"/>
            <w:gridSpan w:val="2"/>
          </w:tcPr>
          <w:p>
            <w:pPr>
              <w:ind w:left="40"/>
              <w:spacing w:after="0"/>
              <w:rPr>
                <w:sz w:val="20"/>
                <w:szCs w:val="20"/>
                <w:color w:val="auto"/>
              </w:rPr>
            </w:pPr>
            <w:r>
              <w:rPr>
                <w:rFonts w:ascii="Arial" w:cs="Arial" w:eastAsia="Arial" w:hAnsi="Arial"/>
                <w:sz w:val="17"/>
                <w:szCs w:val="17"/>
                <w:color w:val="auto"/>
              </w:rPr>
              <w:t>Expected long-term return on plan assets</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6.50%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7.50%</w:t>
            </w:r>
          </w:p>
        </w:tc>
      </w:tr>
      <w:tr>
        <w:trPr>
          <w:trHeight w:val="26"/>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4"/>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Rate of compensation increase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4.23%</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r>
      <w:tr>
        <w:trPr>
          <w:trHeight w:val="26"/>
        </w:trPr>
        <w:tc>
          <w:tcPr>
            <w:tcW w:w="6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221"/>
        <w:spacing w:after="0" w:line="286" w:lineRule="auto"/>
        <w:rPr>
          <w:sz w:val="20"/>
          <w:szCs w:val="20"/>
          <w:color w:val="auto"/>
        </w:rPr>
      </w:pPr>
      <w:r>
        <w:rPr>
          <w:rFonts w:ascii="Arial" w:cs="Arial" w:eastAsia="Arial" w:hAnsi="Arial"/>
          <w:sz w:val="17"/>
          <w:szCs w:val="17"/>
          <w:color w:val="auto"/>
        </w:rPr>
        <w:t>The following tables set forth the weighted-average assumptions used to determine Benefit obligations and Net periodic benefit cost for the non-U.S.-based plans in 2019 and 2018:</w:t>
      </w:r>
    </w:p>
    <w:p>
      <w:pPr>
        <w:spacing w:after="0" w:line="171" w:lineRule="exact"/>
        <w:rPr>
          <w:sz w:val="20"/>
          <w:szCs w:val="20"/>
          <w:color w:val="auto"/>
        </w:rPr>
      </w:pPr>
    </w:p>
    <w:p>
      <w:pPr>
        <w:ind w:left="9640"/>
        <w:spacing w:after="0"/>
        <w:rPr>
          <w:sz w:val="20"/>
          <w:szCs w:val="20"/>
          <w:color w:val="auto"/>
        </w:rPr>
      </w:pPr>
      <w:r>
        <w:rPr>
          <w:rFonts w:ascii="Arial" w:cs="Arial" w:eastAsia="Arial" w:hAnsi="Arial"/>
          <w:sz w:val="16"/>
          <w:szCs w:val="16"/>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5666740</wp:posOffset>
            </wp:positionH>
            <wp:positionV relativeFrom="paragraph">
              <wp:posOffset>32385</wp:posOffset>
            </wp:positionV>
            <wp:extent cx="1587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55"/>
              <w:spacing w:after="0"/>
              <w:rPr>
                <w:sz w:val="20"/>
                <w:szCs w:val="20"/>
                <w:color w:val="auto"/>
              </w:rPr>
            </w:pPr>
            <w:r>
              <w:rPr>
                <w:rFonts w:ascii="Arial" w:cs="Arial" w:eastAsia="Arial" w:hAnsi="Arial"/>
                <w:sz w:val="16"/>
                <w:szCs w:val="16"/>
                <w:b w:val="1"/>
                <w:bCs w:val="1"/>
                <w:color w:val="auto"/>
              </w:rPr>
              <w:t>2018</w:t>
            </w:r>
          </w:p>
        </w:tc>
      </w:tr>
      <w:tr>
        <w:trPr>
          <w:trHeight w:val="32"/>
        </w:trPr>
        <w:tc>
          <w:tcPr>
            <w:tcW w:w="8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Weighted-average assumptions used to determine benefit obligations as of December 31:</w:t>
            </w:r>
          </w:p>
        </w:tc>
        <w:tc>
          <w:tcPr>
            <w:tcW w:w="6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4"/>
        </w:trPr>
        <w:tc>
          <w:tcPr>
            <w:tcW w:w="8280" w:type="dxa"/>
            <w:vAlign w:val="bottom"/>
          </w:tcPr>
          <w:p>
            <w:pPr>
              <w:ind w:left="40"/>
              <w:spacing w:after="0"/>
              <w:rPr>
                <w:sz w:val="20"/>
                <w:szCs w:val="20"/>
                <w:color w:val="auto"/>
              </w:rPr>
            </w:pPr>
            <w:r>
              <w:rPr>
                <w:rFonts w:ascii="Arial" w:cs="Arial" w:eastAsia="Arial" w:hAnsi="Arial"/>
                <w:sz w:val="17"/>
                <w:szCs w:val="17"/>
                <w:color w:val="auto"/>
              </w:rPr>
              <w:t>Discount rate</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center"/>
              <w:ind w:left="256"/>
              <w:spacing w:after="0"/>
              <w:rPr>
                <w:sz w:val="20"/>
                <w:szCs w:val="20"/>
                <w:color w:val="auto"/>
              </w:rPr>
            </w:pPr>
            <w:r>
              <w:rPr>
                <w:rFonts w:ascii="Arial" w:cs="Arial" w:eastAsia="Arial" w:hAnsi="Arial"/>
                <w:sz w:val="17"/>
                <w:szCs w:val="17"/>
                <w:color w:val="auto"/>
                <w:w w:val="91"/>
              </w:rPr>
              <w:t>2.15%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2.93%</w:t>
            </w:r>
          </w:p>
        </w:tc>
      </w:tr>
      <w:tr>
        <w:trPr>
          <w:trHeight w:val="26"/>
        </w:trPr>
        <w:tc>
          <w:tcPr>
            <w:tcW w:w="8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Rate of compensation increase</w:t>
            </w:r>
          </w:p>
        </w:tc>
        <w:tc>
          <w:tcPr>
            <w:tcW w:w="6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center"/>
              <w:ind w:left="256"/>
              <w:spacing w:after="0"/>
              <w:rPr>
                <w:sz w:val="20"/>
                <w:szCs w:val="20"/>
                <w:color w:val="auto"/>
              </w:rPr>
            </w:pPr>
            <w:r>
              <w:rPr>
                <w:rFonts w:ascii="Arial" w:cs="Arial" w:eastAsia="Arial" w:hAnsi="Arial"/>
                <w:sz w:val="17"/>
                <w:szCs w:val="17"/>
                <w:color w:val="auto"/>
                <w:w w:val="91"/>
              </w:rPr>
              <w:t>3.20%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3.77%</w:t>
            </w:r>
          </w:p>
        </w:tc>
      </w:tr>
      <w:tr>
        <w:trPr>
          <w:trHeight w:val="567"/>
        </w:trPr>
        <w:tc>
          <w:tcPr>
            <w:tcW w:w="8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5"/>
          </w:tcPr>
          <w:p>
            <w:pPr>
              <w:jc w:val="center"/>
              <w:spacing w:after="0"/>
              <w:rPr>
                <w:sz w:val="20"/>
                <w:szCs w:val="20"/>
                <w:color w:val="auto"/>
              </w:rPr>
            </w:pPr>
            <w:r>
              <w:rPr>
                <w:rFonts w:ascii="Arial" w:cs="Arial" w:eastAsia="Arial" w:hAnsi="Arial"/>
                <w:sz w:val="16"/>
                <w:szCs w:val="16"/>
                <w:b w:val="1"/>
                <w:bCs w:val="1"/>
                <w:color w:val="auto"/>
                <w:w w:val="84"/>
              </w:rPr>
              <w:t>Pension Benefits</w:t>
            </w:r>
          </w:p>
        </w:tc>
        <w:tc>
          <w:tcPr>
            <w:tcW w:w="980" w:type="dxa"/>
            <w:vAlign w:val="bottom"/>
          </w:tcPr>
          <w:p>
            <w:pPr>
              <w:spacing w:after="0"/>
              <w:rPr>
                <w:sz w:val="24"/>
                <w:szCs w:val="24"/>
                <w:color w:val="auto"/>
              </w:rPr>
            </w:pPr>
          </w:p>
        </w:tc>
      </w:tr>
      <w:tr>
        <w:trPr>
          <w:trHeight w:val="32"/>
        </w:trPr>
        <w:tc>
          <w:tcPr>
            <w:tcW w:w="82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1"/>
        </w:trPr>
        <w:tc>
          <w:tcPr>
            <w:tcW w:w="828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860" w:type="dxa"/>
            <w:vAlign w:val="bottom"/>
            <w:gridSpan w:val="2"/>
          </w:tcPr>
          <w:p>
            <w:pPr>
              <w:jc w:val="center"/>
              <w:ind w:left="256"/>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235"/>
              <w:spacing w:after="0"/>
              <w:rPr>
                <w:sz w:val="20"/>
                <w:szCs w:val="20"/>
                <w:color w:val="auto"/>
              </w:rPr>
            </w:pPr>
            <w:r>
              <w:rPr>
                <w:rFonts w:ascii="Arial" w:cs="Arial" w:eastAsia="Arial" w:hAnsi="Arial"/>
                <w:sz w:val="16"/>
                <w:szCs w:val="16"/>
                <w:b w:val="1"/>
                <w:bCs w:val="1"/>
                <w:color w:val="auto"/>
              </w:rPr>
              <w:t>2017</w:t>
            </w:r>
          </w:p>
        </w:tc>
      </w:tr>
      <w:tr>
        <w:trPr>
          <w:trHeight w:val="32"/>
        </w:trPr>
        <w:tc>
          <w:tcPr>
            <w:tcW w:w="82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w w:val="92"/>
              </w:rPr>
              <w:t>Weighted-average assumptions used to determine net periodic benefit cost for the years ended December 31:</w:t>
            </w:r>
          </w:p>
        </w:tc>
        <w:tc>
          <w:tcPr>
            <w:tcW w:w="6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4"/>
        </w:trPr>
        <w:tc>
          <w:tcPr>
            <w:tcW w:w="8280" w:type="dxa"/>
            <w:vAlign w:val="bottom"/>
          </w:tcPr>
          <w:p>
            <w:pPr>
              <w:ind w:left="40"/>
              <w:spacing w:after="0"/>
              <w:rPr>
                <w:sz w:val="20"/>
                <w:szCs w:val="20"/>
                <w:color w:val="auto"/>
              </w:rPr>
            </w:pPr>
            <w:r>
              <w:rPr>
                <w:rFonts w:ascii="Arial" w:cs="Arial" w:eastAsia="Arial" w:hAnsi="Arial"/>
                <w:sz w:val="17"/>
                <w:szCs w:val="17"/>
                <w:color w:val="auto"/>
              </w:rPr>
              <w:t>Discount rate - service cost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1.60%</w:t>
            </w:r>
          </w:p>
        </w:tc>
        <w:tc>
          <w:tcPr>
            <w:tcW w:w="1080" w:type="dxa"/>
            <w:vAlign w:val="bottom"/>
            <w:gridSpan w:val="4"/>
          </w:tcPr>
          <w:p>
            <w:pPr>
              <w:jc w:val="right"/>
              <w:ind w:right="40"/>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6"/>
        </w:trPr>
        <w:tc>
          <w:tcPr>
            <w:tcW w:w="8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shd w:val="clear" w:color="auto" w:fill="CCEEFF"/>
              </w:rPr>
              <w:t>Discount rate - interest cost</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2.98%</w:t>
            </w:r>
          </w:p>
        </w:tc>
        <w:tc>
          <w:tcPr>
            <w:tcW w:w="10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234"/>
        </w:trPr>
        <w:tc>
          <w:tcPr>
            <w:tcW w:w="8280" w:type="dxa"/>
            <w:vAlign w:val="bottom"/>
          </w:tcPr>
          <w:p>
            <w:pPr>
              <w:ind w:left="40"/>
              <w:spacing w:after="0"/>
              <w:rPr>
                <w:sz w:val="20"/>
                <w:szCs w:val="20"/>
                <w:color w:val="auto"/>
              </w:rPr>
            </w:pPr>
            <w:r>
              <w:rPr>
                <w:rFonts w:ascii="Arial" w:cs="Arial" w:eastAsia="Arial" w:hAnsi="Arial"/>
                <w:sz w:val="17"/>
                <w:szCs w:val="17"/>
                <w:color w:val="auto"/>
              </w:rPr>
              <w:t>Expected long-term return on plan assets</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3.92%</w:t>
            </w:r>
          </w:p>
        </w:tc>
        <w:tc>
          <w:tcPr>
            <w:tcW w:w="1080" w:type="dxa"/>
            <w:vAlign w:val="bottom"/>
            <w:gridSpan w:val="4"/>
          </w:tcPr>
          <w:p>
            <w:pPr>
              <w:jc w:val="right"/>
              <w:ind w:right="40"/>
              <w:spacing w:after="0"/>
              <w:rPr>
                <w:sz w:val="20"/>
                <w:szCs w:val="20"/>
                <w:color w:val="auto"/>
              </w:rPr>
            </w:pPr>
            <w:r>
              <w:rPr>
                <w:rFonts w:ascii="Arial" w:cs="Arial" w:eastAsia="Arial" w:hAnsi="Arial"/>
                <w:sz w:val="17"/>
                <w:szCs w:val="17"/>
                <w:color w:val="auto"/>
              </w:rPr>
              <w:t>4.19%</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4.40%</w:t>
            </w:r>
          </w:p>
        </w:tc>
      </w:tr>
      <w:tr>
        <w:trPr>
          <w:trHeight w:val="26"/>
        </w:trPr>
        <w:tc>
          <w:tcPr>
            <w:tcW w:w="8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4"/>
        </w:trPr>
        <w:tc>
          <w:tcPr>
            <w:tcW w:w="8280" w:type="dxa"/>
            <w:vAlign w:val="bottom"/>
            <w:shd w:val="clear" w:color="auto" w:fill="CCEEFF"/>
          </w:tcPr>
          <w:p>
            <w:pPr>
              <w:ind w:left="40"/>
              <w:spacing w:after="0"/>
              <w:rPr>
                <w:sz w:val="20"/>
                <w:szCs w:val="20"/>
                <w:color w:val="auto"/>
              </w:rPr>
            </w:pPr>
            <w:r>
              <w:rPr>
                <w:rFonts w:ascii="Arial" w:cs="Arial" w:eastAsia="Arial" w:hAnsi="Arial"/>
                <w:sz w:val="17"/>
                <w:szCs w:val="17"/>
                <w:color w:val="auto"/>
              </w:rPr>
              <w:t>Rate of compensation increase</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3.77%</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r>
      <w:tr>
        <w:trPr>
          <w:trHeight w:val="26"/>
        </w:trPr>
        <w:tc>
          <w:tcPr>
            <w:tcW w:w="82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To develop the expected long-term rate of return on assets assumption for the U.S. plans, we considered the historical returns for each asset category, as well as the target asset allocation of the pension portfolio and the effect of periodic balancing. These results were adjusted for the payment of reasonable expenses of the plan from plan assets. This resulted in the selection of the 6.50% long-term rate of return on assets assumption. A similar process was followed for the non-U.S.-based plans.</w:t>
      </w:r>
    </w:p>
    <w:p>
      <w:pPr>
        <w:spacing w:after="0" w:line="175"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To select a discount rate for the purpose of valuing the plan obligations for the U.S. plans, we performed an analysis in which the projected cash flows from defined benefit and retiree healthcare plans was matched with a yield curve based on the appropriate universe of high-quality corporate bonds that were available. We used the results of the yield curve analysis to select the discount rate for each plan. The analysis was completed separately for each U.S. pension and OPEB plan. A similar process was followed for the non-U.S.-based plans with sufficient corporate bond information. In other countries, the discount rate was selected based on the approximate duration of plan obligations.</w:t>
      </w:r>
    </w:p>
    <w:p>
      <w:pPr>
        <w:spacing w:after="0" w:line="179"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Assumed health care cost trend rates have an effect on the amounts reported for our healthcare plan. The following table sets forth the healthcare trend rate assumptions used: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1200" w:type="dxa"/>
            <w:vAlign w:val="bottom"/>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1200" w:type="dxa"/>
            <w:vAlign w:val="bottom"/>
          </w:tcPr>
          <w:p>
            <w:pPr>
              <w:jc w:val="right"/>
              <w:ind w:right="355"/>
              <w:spacing w:after="0"/>
              <w:rPr>
                <w:sz w:val="20"/>
                <w:szCs w:val="20"/>
                <w:color w:val="auto"/>
              </w:rPr>
            </w:pPr>
            <w:r>
              <w:rPr>
                <w:rFonts w:ascii="Arial" w:cs="Arial" w:eastAsia="Arial" w:hAnsi="Arial"/>
                <w:sz w:val="16"/>
                <w:szCs w:val="16"/>
                <w:b w:val="1"/>
                <w:bCs w:val="1"/>
                <w:color w:val="auto"/>
              </w:rPr>
              <w:t>2018</w:t>
            </w:r>
          </w:p>
        </w:tc>
      </w:tr>
      <w:tr>
        <w:trPr>
          <w:trHeight w:val="32"/>
        </w:trPr>
        <w:tc>
          <w:tcPr>
            <w:tcW w:w="8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Assumed health care cost trend rates as of December 31:</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4"/>
        </w:trPr>
        <w:tc>
          <w:tcPr>
            <w:tcW w:w="8920" w:type="dxa"/>
            <w:vAlign w:val="bottom"/>
          </w:tcPr>
          <w:p>
            <w:pPr>
              <w:ind w:left="40"/>
              <w:spacing w:after="0"/>
              <w:rPr>
                <w:sz w:val="20"/>
                <w:szCs w:val="20"/>
                <w:color w:val="auto"/>
              </w:rPr>
            </w:pPr>
            <w:r>
              <w:rPr>
                <w:rFonts w:ascii="Arial" w:cs="Arial" w:eastAsia="Arial" w:hAnsi="Arial"/>
                <w:sz w:val="17"/>
                <w:szCs w:val="17"/>
                <w:color w:val="auto"/>
              </w:rPr>
              <w:t>Health care cost trend rate assumed for next year</w:t>
            </w:r>
          </w:p>
        </w:tc>
        <w:tc>
          <w:tcPr>
            <w:tcW w:w="1200" w:type="dxa"/>
            <w:vAlign w:val="bottom"/>
          </w:tcPr>
          <w:p>
            <w:pPr>
              <w:jc w:val="right"/>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6.50%</w:t>
            </w:r>
          </w:p>
        </w:tc>
      </w:tr>
      <w:tr>
        <w:trPr>
          <w:trHeight w:val="26"/>
        </w:trPr>
        <w:tc>
          <w:tcPr>
            <w:tcW w:w="8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Rate to which the cost rate is assumed to decline (the ultimate trend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34"/>
        </w:trPr>
        <w:tc>
          <w:tcPr>
            <w:tcW w:w="8920" w:type="dxa"/>
            <w:vAlign w:val="bottom"/>
          </w:tcPr>
          <w:p>
            <w:pPr>
              <w:ind w:left="40"/>
              <w:spacing w:after="0"/>
              <w:rPr>
                <w:sz w:val="20"/>
                <w:szCs w:val="20"/>
                <w:color w:val="auto"/>
              </w:rPr>
            </w:pPr>
            <w:r>
              <w:rPr>
                <w:rFonts w:ascii="Arial" w:cs="Arial" w:eastAsia="Arial" w:hAnsi="Arial"/>
                <w:sz w:val="17"/>
                <w:szCs w:val="17"/>
                <w:color w:val="auto"/>
              </w:rPr>
              <w:t>Year that the rate reaches the ultimate trend rate</w:t>
            </w:r>
          </w:p>
        </w:tc>
        <w:tc>
          <w:tcPr>
            <w:tcW w:w="1200" w:type="dxa"/>
            <w:vAlign w:val="bottom"/>
          </w:tcPr>
          <w:p>
            <w:pPr>
              <w:jc w:val="right"/>
              <w:ind w:right="9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20"/>
                <w:szCs w:val="20"/>
                <w:color w:val="auto"/>
              </w:rPr>
            </w:pPr>
          </w:p>
        </w:tc>
        <w:tc>
          <w:tcPr>
            <w:tcW w:w="1200" w:type="dxa"/>
            <w:vAlign w:val="bottom"/>
          </w:tcPr>
          <w:p>
            <w:pPr>
              <w:jc w:val="right"/>
              <w:ind w:right="95"/>
              <w:spacing w:after="0"/>
              <w:rPr>
                <w:sz w:val="20"/>
                <w:szCs w:val="20"/>
                <w:color w:val="auto"/>
              </w:rPr>
            </w:pPr>
            <w:r>
              <w:rPr>
                <w:rFonts w:ascii="Arial" w:cs="Arial" w:eastAsia="Arial" w:hAnsi="Arial"/>
                <w:sz w:val="17"/>
                <w:szCs w:val="17"/>
                <w:color w:val="auto"/>
              </w:rPr>
              <w:t>2022</w:t>
            </w:r>
          </w:p>
        </w:tc>
      </w:tr>
    </w:tbl>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Expected future benefit payments are shown in the table below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20" w:type="dxa"/>
            <w:vAlign w:val="bottom"/>
            <w:gridSpan w:val="8"/>
          </w:tcPr>
          <w:p>
            <w:pPr>
              <w:ind w:left="40"/>
              <w:spacing w:after="0"/>
              <w:rPr>
                <w:sz w:val="20"/>
                <w:szCs w:val="20"/>
                <w:color w:val="auto"/>
              </w:rPr>
            </w:pPr>
            <w:r>
              <w:rPr>
                <w:rFonts w:ascii="Arial" w:cs="Arial" w:eastAsia="Arial" w:hAnsi="Arial"/>
                <w:sz w:val="16"/>
                <w:szCs w:val="16"/>
                <w:b w:val="1"/>
                <w:bCs w:val="1"/>
                <w:color w:val="auto"/>
                <w:w w:val="89"/>
              </w:rPr>
              <w:t>For the Years Ended December 31,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2"/>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1"/>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78"/>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38"/>
              <w:spacing w:after="0"/>
              <w:rPr>
                <w:sz w:val="20"/>
                <w:szCs w:val="20"/>
                <w:color w:val="auto"/>
              </w:rPr>
            </w:pPr>
            <w:r>
              <w:rPr>
                <w:rFonts w:ascii="Arial" w:cs="Arial" w:eastAsia="Arial" w:hAnsi="Arial"/>
                <w:sz w:val="16"/>
                <w:szCs w:val="16"/>
                <w:b w:val="1"/>
                <w:bCs w:val="1"/>
                <w:color w:val="auto"/>
              </w:rPr>
              <w:t>2021</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8"/>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8"/>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78"/>
              <w:spacing w:after="0"/>
              <w:rPr>
                <w:sz w:val="20"/>
                <w:szCs w:val="20"/>
                <w:color w:val="auto"/>
              </w:rPr>
            </w:pPr>
            <w:r>
              <w:rPr>
                <w:rFonts w:ascii="Arial" w:cs="Arial" w:eastAsia="Arial" w:hAnsi="Arial"/>
                <w:sz w:val="16"/>
                <w:szCs w:val="16"/>
                <w:b w:val="1"/>
                <w:bCs w:val="1"/>
                <w:color w:val="auto"/>
                <w:w w:val="91"/>
              </w:rPr>
              <w:t>2025-2029</w:t>
            </w:r>
          </w:p>
        </w:tc>
      </w:tr>
      <w:tr>
        <w:trPr>
          <w:trHeight w:val="32"/>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7"/>
        </w:trPr>
        <w:tc>
          <w:tcPr>
            <w:tcW w:w="4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Pension benefits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86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92.6</w:t>
            </w:r>
          </w:p>
        </w:tc>
      </w:tr>
      <w:tr>
        <w:trPr>
          <w:trHeight w:val="26"/>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12"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712"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7"/>
          <w:szCs w:val="17"/>
          <w:i w:val="1"/>
          <w:iCs w:val="1"/>
          <w:color w:val="auto"/>
        </w:rPr>
        <w:t>Composition of Pension Plan Assets</w:t>
      </w:r>
    </w:p>
    <w:p>
      <w:pPr>
        <w:spacing w:after="0" w:line="221" w:lineRule="exact"/>
        <w:rPr>
          <w:sz w:val="20"/>
          <w:szCs w:val="20"/>
          <w:color w:val="auto"/>
        </w:rPr>
      </w:pPr>
    </w:p>
    <w:p>
      <w:pPr>
        <w:jc w:val="both"/>
        <w:ind w:firstLine="156"/>
        <w:spacing w:after="0" w:line="283" w:lineRule="auto"/>
        <w:rPr>
          <w:sz w:val="20"/>
          <w:szCs w:val="20"/>
          <w:color w:val="auto"/>
        </w:rPr>
      </w:pPr>
      <w:r>
        <w:rPr>
          <w:rFonts w:ascii="Arial" w:cs="Arial" w:eastAsia="Arial" w:hAnsi="Arial"/>
          <w:sz w:val="16"/>
          <w:szCs w:val="16"/>
          <w:color w:val="auto"/>
        </w:rPr>
        <w:t>We believe asset returns can be optimized at an acceptable level of risk by adequately diversifying the plan assets between equity and fixed income. In the fourth quarter of 2019, we changed the targeted allocations for our plan assets. The targeted allocation for fixed income and cash investments was changed to 50%, and the targeted allocation for equity investments was changed to 50%. Our targeted exposure to International equity including emerging markets was changed to 6.0% of total assets and our exposure to domestic equity was changed to 44.0%. Our U.S. pension plan represents 74%, our Canadian pension plan 12%, and our United Kingdom (“U.K.”) pension plan 14% of the total fair value of our plan assets as of December 31, 2019.</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U.S. pension plans’ weighted-average asset allocations as of December 31, 2019 and 2018, by asset category,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3180" w:type="dxa"/>
            <w:vAlign w:val="bottom"/>
            <w:gridSpan w:val="4"/>
          </w:tcPr>
          <w:p>
            <w:pPr>
              <w:jc w:val="right"/>
              <w:ind w:right="454"/>
              <w:spacing w:after="0"/>
              <w:rPr>
                <w:sz w:val="20"/>
                <w:szCs w:val="20"/>
                <w:color w:val="auto"/>
              </w:rPr>
            </w:pPr>
            <w:r>
              <w:rPr>
                <w:rFonts w:ascii="Arial" w:cs="Arial" w:eastAsia="Arial" w:hAnsi="Arial"/>
                <w:sz w:val="16"/>
                <w:szCs w:val="16"/>
                <w:b w:val="1"/>
                <w:bCs w:val="1"/>
                <w:color w:val="auto"/>
              </w:rPr>
              <w:t>Plan Assets as of December 31,</w:t>
            </w:r>
          </w:p>
        </w:tc>
        <w:tc>
          <w:tcPr>
            <w:tcW w:w="0" w:type="dxa"/>
            <w:vAlign w:val="bottom"/>
          </w:tcPr>
          <w:p>
            <w:pPr>
              <w:spacing w:after="0"/>
              <w:rPr>
                <w:sz w:val="1"/>
                <w:szCs w:val="1"/>
                <w:color w:val="auto"/>
              </w:rPr>
            </w:pPr>
          </w:p>
        </w:tc>
      </w:tr>
      <w:tr>
        <w:trPr>
          <w:trHeight w:val="32"/>
        </w:trPr>
        <w:tc>
          <w:tcPr>
            <w:tcW w:w="824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Asset Category:</w:t>
            </w: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240" w:type="dxa"/>
            <w:vAlign w:val="bottom"/>
            <w:vMerge w:val="continue"/>
          </w:tcPr>
          <w:p>
            <w:pPr>
              <w:spacing w:after="0"/>
              <w:rPr>
                <w:sz w:val="19"/>
                <w:szCs w:val="19"/>
                <w:color w:val="auto"/>
              </w:rPr>
            </w:pPr>
          </w:p>
        </w:tc>
        <w:tc>
          <w:tcPr>
            <w:tcW w:w="1520" w:type="dxa"/>
            <w:vAlign w:val="bottom"/>
          </w:tcPr>
          <w:p>
            <w:pPr>
              <w:jc w:val="right"/>
              <w:ind w:right="516"/>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U.S. equity</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34"/>
        </w:trPr>
        <w:tc>
          <w:tcPr>
            <w:tcW w:w="8240" w:type="dxa"/>
            <w:vAlign w:val="bottom"/>
          </w:tcPr>
          <w:p>
            <w:pPr>
              <w:ind w:left="40"/>
              <w:spacing w:after="0"/>
              <w:rPr>
                <w:sz w:val="20"/>
                <w:szCs w:val="20"/>
                <w:color w:val="auto"/>
              </w:rPr>
            </w:pPr>
            <w:r>
              <w:rPr>
                <w:rFonts w:ascii="Arial" w:cs="Arial" w:eastAsia="Arial" w:hAnsi="Arial"/>
                <w:sz w:val="17"/>
                <w:szCs w:val="17"/>
                <w:color w:val="auto"/>
              </w:rPr>
              <w:t>International equity</w:t>
            </w:r>
          </w:p>
        </w:tc>
        <w:tc>
          <w:tcPr>
            <w:tcW w:w="1520" w:type="dxa"/>
            <w:vAlign w:val="bottom"/>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Fixed income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34"/>
        </w:trPr>
        <w:tc>
          <w:tcPr>
            <w:tcW w:w="8240" w:type="dxa"/>
            <w:vAlign w:val="bottom"/>
          </w:tcPr>
          <w:p>
            <w:pPr>
              <w:ind w:left="40"/>
              <w:spacing w:after="0"/>
              <w:rPr>
                <w:sz w:val="20"/>
                <w:szCs w:val="20"/>
                <w:color w:val="auto"/>
              </w:rPr>
            </w:pPr>
            <w:r>
              <w:rPr>
                <w:rFonts w:ascii="Arial" w:cs="Arial" w:eastAsia="Arial" w:hAnsi="Arial"/>
                <w:sz w:val="17"/>
                <w:szCs w:val="17"/>
                <w:color w:val="auto"/>
              </w:rPr>
              <w:t>Money market/cash</w:t>
            </w:r>
          </w:p>
        </w:tc>
        <w:tc>
          <w:tcPr>
            <w:tcW w:w="1520" w:type="dxa"/>
            <w:vAlign w:val="bottom"/>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60"/>
              <w:spacing w:after="0"/>
              <w:rPr>
                <w:sz w:val="20"/>
                <w:szCs w:val="20"/>
                <w:color w:val="auto"/>
              </w:rPr>
            </w:pPr>
            <w:r>
              <w:rPr>
                <w:rFonts w:ascii="Arial" w:cs="Arial" w:eastAsia="Arial" w:hAnsi="Arial"/>
                <w:sz w:val="17"/>
                <w:szCs w:val="17"/>
                <w:color w:val="auto"/>
              </w:rPr>
              <w:t>Our U.S. pension plans’ assets were invested according to the following targets:</w:t>
            </w: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82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240" w:type="dxa"/>
            <w:vAlign w:val="bottom"/>
          </w:tcPr>
          <w:p>
            <w:pPr>
              <w:ind w:left="40"/>
              <w:spacing w:after="0"/>
              <w:rPr>
                <w:sz w:val="20"/>
                <w:szCs w:val="20"/>
                <w:color w:val="auto"/>
              </w:rPr>
            </w:pPr>
            <w:r>
              <w:rPr>
                <w:rFonts w:ascii="Arial" w:cs="Arial" w:eastAsia="Arial" w:hAnsi="Arial"/>
                <w:sz w:val="17"/>
                <w:szCs w:val="17"/>
                <w:b w:val="1"/>
                <w:bCs w:val="1"/>
                <w:color w:val="auto"/>
              </w:rPr>
              <w:t>Asset Category:</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494"/>
              <w:spacing w:after="0"/>
              <w:rPr>
                <w:sz w:val="20"/>
                <w:szCs w:val="20"/>
                <w:color w:val="auto"/>
              </w:rPr>
            </w:pPr>
            <w:r>
              <w:rPr>
                <w:rFonts w:ascii="Arial" w:cs="Arial" w:eastAsia="Arial" w:hAnsi="Arial"/>
                <w:sz w:val="17"/>
                <w:szCs w:val="17"/>
                <w:b w:val="1"/>
                <w:bCs w:val="1"/>
                <w:color w:val="auto"/>
              </w:rPr>
              <w:t>Target</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U.S. equity</w:t>
            </w:r>
          </w:p>
        </w:tc>
        <w:tc>
          <w:tcPr>
            <w:tcW w:w="15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34"/>
        </w:trPr>
        <w:tc>
          <w:tcPr>
            <w:tcW w:w="8240" w:type="dxa"/>
            <w:vAlign w:val="bottom"/>
          </w:tcPr>
          <w:p>
            <w:pPr>
              <w:ind w:left="40"/>
              <w:spacing w:after="0"/>
              <w:rPr>
                <w:sz w:val="20"/>
                <w:szCs w:val="20"/>
                <w:color w:val="auto"/>
              </w:rPr>
            </w:pPr>
            <w:r>
              <w:rPr>
                <w:rFonts w:ascii="Arial" w:cs="Arial" w:eastAsia="Arial" w:hAnsi="Arial"/>
                <w:sz w:val="17"/>
                <w:szCs w:val="17"/>
                <w:color w:val="auto"/>
              </w:rPr>
              <w:t>International equity</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8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Fixed income</w:t>
            </w:r>
          </w:p>
        </w:tc>
        <w:tc>
          <w:tcPr>
            <w:tcW w:w="1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6"/>
        </w:trPr>
        <w:tc>
          <w:tcPr>
            <w:tcW w:w="8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Our Canadian pension plans were invested approximately 73% in Canadian bonds and 27% in international equities. Our U.K. pension plan was invested in fixed income securities, including corporate and government bonds.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752" w:right="239" w:bottom="1440" w:gutter="0" w:footer="0" w:header="0"/>
        </w:sectPr>
      </w:pPr>
    </w:p>
    <w:bookmarkStart w:id="66" w:name="page67"/>
    <w:bookmarkEnd w:id="66"/>
    <w:p>
      <w:pPr>
        <w:ind w:left="240"/>
        <w:spacing w:after="0"/>
        <w:rPr>
          <w:sz w:val="20"/>
          <w:szCs w:val="20"/>
          <w:color w:val="auto"/>
        </w:rPr>
      </w:pPr>
      <w:r>
        <w:rPr>
          <w:rFonts w:ascii="Arial" w:cs="Arial" w:eastAsia="Arial" w:hAnsi="Arial"/>
          <w:sz w:val="17"/>
          <w:szCs w:val="17"/>
          <w:color w:val="auto"/>
        </w:rPr>
        <w:t>The fair values of our pension plan assets, by asset category, were as follows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980" w:type="dxa"/>
            <w:vAlign w:val="bottom"/>
            <w:gridSpan w:val="7"/>
          </w:tcPr>
          <w:p>
            <w:pPr>
              <w:ind w:left="20"/>
              <w:spacing w:after="0"/>
              <w:rPr>
                <w:sz w:val="20"/>
                <w:szCs w:val="20"/>
                <w:color w:val="auto"/>
              </w:rPr>
            </w:pPr>
            <w:r>
              <w:rPr>
                <w:rFonts w:ascii="Arial" w:cs="Arial" w:eastAsia="Arial" w:hAnsi="Arial"/>
                <w:sz w:val="16"/>
                <w:szCs w:val="16"/>
                <w:b w:val="1"/>
                <w:bCs w:val="1"/>
                <w:color w:val="auto"/>
              </w:rPr>
              <w:t>Fair Value Measurements as of December 31, 2019</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center"/>
              <w:ind w:right="76"/>
              <w:spacing w:after="0" w:line="140" w:lineRule="exact"/>
              <w:rPr>
                <w:sz w:val="20"/>
                <w:szCs w:val="20"/>
                <w:color w:val="auto"/>
              </w:rPr>
            </w:pPr>
            <w:r>
              <w:rPr>
                <w:rFonts w:ascii="Arial" w:cs="Arial" w:eastAsia="Arial" w:hAnsi="Arial"/>
                <w:sz w:val="14"/>
                <w:szCs w:val="14"/>
                <w:b w:val="1"/>
                <w:bCs w:val="1"/>
                <w:color w:val="auto"/>
                <w:w w:val="89"/>
              </w:rPr>
              <w:t>Quoted Prices in Active</w:t>
            </w:r>
          </w:p>
        </w:tc>
        <w:tc>
          <w:tcPr>
            <w:tcW w:w="120" w:type="dxa"/>
            <w:vAlign w:val="bottom"/>
          </w:tcPr>
          <w:p>
            <w:pPr>
              <w:spacing w:after="0"/>
              <w:rPr>
                <w:sz w:val="12"/>
                <w:szCs w:val="12"/>
                <w:color w:val="auto"/>
              </w:rPr>
            </w:pPr>
          </w:p>
        </w:tc>
        <w:tc>
          <w:tcPr>
            <w:tcW w:w="1960" w:type="dxa"/>
            <w:vAlign w:val="bottom"/>
            <w:gridSpan w:val="3"/>
          </w:tcPr>
          <w:p>
            <w:pPr>
              <w:jc w:val="center"/>
              <w:ind w:right="100"/>
              <w:spacing w:after="0" w:line="140" w:lineRule="exact"/>
              <w:rPr>
                <w:sz w:val="20"/>
                <w:szCs w:val="20"/>
                <w:color w:val="auto"/>
              </w:rPr>
            </w:pPr>
            <w:r>
              <w:rPr>
                <w:rFonts w:ascii="Arial" w:cs="Arial" w:eastAsia="Arial" w:hAnsi="Arial"/>
                <w:sz w:val="14"/>
                <w:szCs w:val="14"/>
                <w:b w:val="1"/>
                <w:bCs w:val="1"/>
                <w:color w:val="auto"/>
                <w:w w:val="90"/>
              </w:rPr>
              <w:t>Significant Other Observable</w:t>
            </w:r>
          </w:p>
        </w:tc>
        <w:tc>
          <w:tcPr>
            <w:tcW w:w="120" w:type="dxa"/>
            <w:vAlign w:val="bottom"/>
          </w:tcPr>
          <w:p>
            <w:pPr>
              <w:spacing w:after="0"/>
              <w:rPr>
                <w:sz w:val="12"/>
                <w:szCs w:val="12"/>
                <w:color w:val="auto"/>
              </w:rPr>
            </w:pPr>
          </w:p>
        </w:tc>
        <w:tc>
          <w:tcPr>
            <w:tcW w:w="178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Significant Unobservable</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60" w:type="dxa"/>
            <w:vAlign w:val="bottom"/>
          </w:tcPr>
          <w:p>
            <w:pPr>
              <w:spacing w:after="0"/>
              <w:rPr>
                <w:sz w:val="12"/>
                <w:szCs w:val="12"/>
                <w:color w:val="auto"/>
              </w:rPr>
            </w:pPr>
          </w:p>
        </w:tc>
        <w:tc>
          <w:tcPr>
            <w:tcW w:w="18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Markets for Identical Assets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17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2"/>
                <w:szCs w:val="12"/>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3)</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 Category:</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40"/>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0.2</w:t>
            </w:r>
          </w:p>
        </w:tc>
        <w:tc>
          <w:tcPr>
            <w:tcW w:w="50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Commingled pools / Collective Trusts:</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360" w:type="dxa"/>
            <w:vAlign w:val="bottom"/>
          </w:tcPr>
          <w:p>
            <w:pPr>
              <w:ind w:left="260"/>
              <w:spacing w:after="0" w:line="260" w:lineRule="exact"/>
              <w:rPr>
                <w:sz w:val="20"/>
                <w:szCs w:val="20"/>
                <w:color w:val="auto"/>
              </w:rPr>
            </w:pPr>
            <w:r>
              <w:rPr>
                <w:rFonts w:ascii="Arial" w:cs="Arial" w:eastAsia="Arial" w:hAnsi="Arial"/>
                <w:sz w:val="17"/>
                <w:szCs w:val="17"/>
                <w:color w:val="auto"/>
              </w:rPr>
              <w:t xml:space="preserve">U.S. equity </w:t>
            </w:r>
            <w:r>
              <w:rPr>
                <w:rFonts w:ascii="Arial" w:cs="Arial" w:eastAsia="Arial" w:hAnsi="Arial"/>
                <w:sz w:val="24"/>
                <w:szCs w:val="24"/>
                <w:color w:val="auto"/>
                <w:vertAlign w:val="superscript"/>
              </w:rPr>
              <w:t>(1)</w:t>
            </w:r>
          </w:p>
        </w:tc>
        <w:tc>
          <w:tcPr>
            <w:tcW w:w="160" w:type="dxa"/>
            <w:vAlign w:val="bottom"/>
          </w:tcPr>
          <w:p>
            <w:pPr>
              <w:spacing w:after="0"/>
              <w:rPr>
                <w:sz w:val="22"/>
                <w:szCs w:val="22"/>
                <w:color w:val="auto"/>
              </w:rPr>
            </w:pP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jc w:val="right"/>
              <w:ind w:right="16"/>
              <w:spacing w:after="0"/>
              <w:rPr>
                <w:sz w:val="20"/>
                <w:szCs w:val="20"/>
                <w:color w:val="auto"/>
              </w:rPr>
            </w:pPr>
            <w:r>
              <w:rPr>
                <w:rFonts w:ascii="Arial" w:cs="Arial" w:eastAsia="Arial" w:hAnsi="Arial"/>
                <w:sz w:val="17"/>
                <w:szCs w:val="17"/>
                <w:color w:val="auto"/>
              </w:rPr>
              <w:t>50.8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50.8</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ind w:left="260"/>
              <w:spacing w:after="0" w:line="260" w:lineRule="exact"/>
              <w:rPr>
                <w:sz w:val="20"/>
                <w:szCs w:val="20"/>
                <w:color w:val="auto"/>
              </w:rPr>
            </w:pPr>
            <w:r>
              <w:rPr>
                <w:rFonts w:ascii="Arial" w:cs="Arial" w:eastAsia="Arial" w:hAnsi="Arial"/>
                <w:sz w:val="17"/>
                <w:szCs w:val="17"/>
                <w:color w:val="auto"/>
              </w:rPr>
              <w:t xml:space="preserve">International equity </w:t>
            </w:r>
            <w:r>
              <w:rPr>
                <w:rFonts w:ascii="Arial" w:cs="Arial" w:eastAsia="Arial" w:hAnsi="Arial"/>
                <w:sz w:val="24"/>
                <w:szCs w:val="24"/>
                <w:color w:val="auto"/>
                <w:vertAlign w:val="superscript"/>
              </w:rPr>
              <w:t>(2)</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60"/>
        </w:trPr>
        <w:tc>
          <w:tcPr>
            <w:tcW w:w="4360" w:type="dxa"/>
            <w:vAlign w:val="bottom"/>
          </w:tcPr>
          <w:p>
            <w:pPr>
              <w:ind w:left="260"/>
              <w:spacing w:after="0" w:line="260"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4"/>
                <w:szCs w:val="24"/>
                <w:color w:val="auto"/>
                <w:vertAlign w:val="superscript"/>
              </w:rPr>
              <w:t>(3)</w:t>
            </w:r>
          </w:p>
        </w:tc>
        <w:tc>
          <w:tcPr>
            <w:tcW w:w="160" w:type="dxa"/>
            <w:vAlign w:val="bottom"/>
          </w:tcPr>
          <w:p>
            <w:pPr>
              <w:spacing w:after="0"/>
              <w:rPr>
                <w:sz w:val="22"/>
                <w:szCs w:val="22"/>
                <w:color w:val="auto"/>
              </w:rPr>
            </w:pP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jc w:val="right"/>
              <w:ind w:right="16"/>
              <w:spacing w:after="0"/>
              <w:rPr>
                <w:sz w:val="20"/>
                <w:szCs w:val="20"/>
                <w:color w:val="auto"/>
              </w:rPr>
            </w:pPr>
            <w:r>
              <w:rPr>
                <w:rFonts w:ascii="Arial" w:cs="Arial" w:eastAsia="Arial" w:hAnsi="Arial"/>
                <w:sz w:val="17"/>
                <w:szCs w:val="17"/>
                <w:color w:val="auto"/>
              </w:rPr>
              <w:t>54.6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ind w:left="40"/>
              <w:spacing w:after="0" w:line="260" w:lineRule="exact"/>
              <w:rPr>
                <w:sz w:val="20"/>
                <w:szCs w:val="20"/>
                <w:color w:val="auto"/>
              </w:rPr>
            </w:pPr>
            <w:r>
              <w:rPr>
                <w:rFonts w:ascii="Arial" w:cs="Arial" w:eastAsia="Arial" w:hAnsi="Arial"/>
                <w:sz w:val="17"/>
                <w:szCs w:val="17"/>
                <w:color w:val="auto"/>
              </w:rPr>
              <w:t xml:space="preserve">Balanced pension trust: </w:t>
            </w:r>
            <w:r>
              <w:rPr>
                <w:rFonts w:ascii="Arial" w:cs="Arial" w:eastAsia="Arial" w:hAnsi="Arial"/>
                <w:sz w:val="24"/>
                <w:szCs w:val="24"/>
                <w:color w:val="auto"/>
                <w:vertAlign w:val="superscript"/>
              </w:rPr>
              <w:t>(4)</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260"/>
              <w:spacing w:after="0"/>
              <w:rPr>
                <w:sz w:val="20"/>
                <w:szCs w:val="20"/>
                <w:color w:val="auto"/>
              </w:rPr>
            </w:pPr>
            <w:r>
              <w:rPr>
                <w:rFonts w:ascii="Arial" w:cs="Arial" w:eastAsia="Arial" w:hAnsi="Arial"/>
                <w:sz w:val="17"/>
                <w:szCs w:val="17"/>
                <w:color w:val="auto"/>
              </w:rPr>
              <w:t>International equity</w:t>
            </w:r>
          </w:p>
        </w:tc>
        <w:tc>
          <w:tcPr>
            <w:tcW w:w="160" w:type="dxa"/>
            <w:vAlign w:val="bottom"/>
          </w:tcPr>
          <w:p>
            <w:pPr>
              <w:spacing w:after="0"/>
              <w:rPr>
                <w:sz w:val="20"/>
                <w:szCs w:val="20"/>
                <w:color w:val="auto"/>
              </w:rPr>
            </w:pP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jc w:val="right"/>
              <w:ind w:right="16"/>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Fixed income</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34"/>
        </w:trPr>
        <w:tc>
          <w:tcPr>
            <w:tcW w:w="4360" w:type="dxa"/>
            <w:vAlign w:val="bottom"/>
          </w:tcPr>
          <w:p>
            <w:pPr>
              <w:ind w:left="40"/>
              <w:spacing w:after="0"/>
              <w:rPr>
                <w:sz w:val="20"/>
                <w:szCs w:val="20"/>
                <w:color w:val="auto"/>
              </w:rPr>
            </w:pPr>
            <w:r>
              <w:rPr>
                <w:rFonts w:ascii="Arial" w:cs="Arial" w:eastAsia="Arial" w:hAnsi="Arial"/>
                <w:sz w:val="17"/>
                <w:szCs w:val="17"/>
                <w:color w:val="auto"/>
              </w:rPr>
              <w:t>Pension fund:</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360" w:type="dxa"/>
            <w:vAlign w:val="bottom"/>
            <w:shd w:val="clear" w:color="auto" w:fill="CCEEFF"/>
          </w:tcPr>
          <w:p>
            <w:pPr>
              <w:ind w:left="260"/>
              <w:spacing w:after="0" w:line="260"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4"/>
                <w:szCs w:val="24"/>
                <w:color w:val="auto"/>
                <w:vertAlign w:val="superscript"/>
              </w:rPr>
              <w:t>(6)</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22.0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47"/>
        </w:trPr>
        <w:tc>
          <w:tcPr>
            <w:tcW w:w="4360" w:type="dxa"/>
            <w:vAlign w:val="bottom"/>
          </w:tcPr>
          <w:p>
            <w:pPr>
              <w:ind w:left="4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8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154.1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980" w:type="dxa"/>
            <w:vAlign w:val="bottom"/>
            <w:gridSpan w:val="7"/>
          </w:tcPr>
          <w:p>
            <w:pPr>
              <w:ind w:left="20"/>
              <w:spacing w:after="0"/>
              <w:rPr>
                <w:sz w:val="20"/>
                <w:szCs w:val="20"/>
                <w:color w:val="auto"/>
              </w:rPr>
            </w:pPr>
            <w:r>
              <w:rPr>
                <w:rFonts w:ascii="Arial" w:cs="Arial" w:eastAsia="Arial" w:hAnsi="Arial"/>
                <w:sz w:val="16"/>
                <w:szCs w:val="16"/>
                <w:b w:val="1"/>
                <w:bCs w:val="1"/>
                <w:color w:val="auto"/>
              </w:rPr>
              <w:t>Fair Value Measurements as of December 31, 2018</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center"/>
              <w:ind w:right="76"/>
              <w:spacing w:after="0" w:line="140" w:lineRule="exact"/>
              <w:rPr>
                <w:sz w:val="20"/>
                <w:szCs w:val="20"/>
                <w:color w:val="auto"/>
              </w:rPr>
            </w:pPr>
            <w:r>
              <w:rPr>
                <w:rFonts w:ascii="Arial" w:cs="Arial" w:eastAsia="Arial" w:hAnsi="Arial"/>
                <w:sz w:val="14"/>
                <w:szCs w:val="14"/>
                <w:b w:val="1"/>
                <w:bCs w:val="1"/>
                <w:color w:val="auto"/>
                <w:w w:val="89"/>
              </w:rPr>
              <w:t>Quoted Prices in Active</w:t>
            </w:r>
          </w:p>
        </w:tc>
        <w:tc>
          <w:tcPr>
            <w:tcW w:w="120" w:type="dxa"/>
            <w:vAlign w:val="bottom"/>
          </w:tcPr>
          <w:p>
            <w:pPr>
              <w:spacing w:after="0"/>
              <w:rPr>
                <w:sz w:val="12"/>
                <w:szCs w:val="12"/>
                <w:color w:val="auto"/>
              </w:rPr>
            </w:pPr>
          </w:p>
        </w:tc>
        <w:tc>
          <w:tcPr>
            <w:tcW w:w="1960" w:type="dxa"/>
            <w:vAlign w:val="bottom"/>
            <w:gridSpan w:val="3"/>
          </w:tcPr>
          <w:p>
            <w:pPr>
              <w:jc w:val="center"/>
              <w:ind w:right="100"/>
              <w:spacing w:after="0" w:line="140" w:lineRule="exact"/>
              <w:rPr>
                <w:sz w:val="20"/>
                <w:szCs w:val="20"/>
                <w:color w:val="auto"/>
              </w:rPr>
            </w:pPr>
            <w:r>
              <w:rPr>
                <w:rFonts w:ascii="Arial" w:cs="Arial" w:eastAsia="Arial" w:hAnsi="Arial"/>
                <w:sz w:val="14"/>
                <w:szCs w:val="14"/>
                <w:b w:val="1"/>
                <w:bCs w:val="1"/>
                <w:color w:val="auto"/>
                <w:w w:val="90"/>
              </w:rPr>
              <w:t>Significant Other Observable</w:t>
            </w:r>
          </w:p>
        </w:tc>
        <w:tc>
          <w:tcPr>
            <w:tcW w:w="120" w:type="dxa"/>
            <w:vAlign w:val="bottom"/>
          </w:tcPr>
          <w:p>
            <w:pPr>
              <w:spacing w:after="0"/>
              <w:rPr>
                <w:sz w:val="12"/>
                <w:szCs w:val="12"/>
                <w:color w:val="auto"/>
              </w:rPr>
            </w:pPr>
          </w:p>
        </w:tc>
        <w:tc>
          <w:tcPr>
            <w:tcW w:w="178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Significant Unobservable</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60" w:type="dxa"/>
            <w:vAlign w:val="bottom"/>
          </w:tcPr>
          <w:p>
            <w:pPr>
              <w:spacing w:after="0"/>
              <w:rPr>
                <w:sz w:val="12"/>
                <w:szCs w:val="12"/>
                <w:color w:val="auto"/>
              </w:rPr>
            </w:pPr>
          </w:p>
        </w:tc>
        <w:tc>
          <w:tcPr>
            <w:tcW w:w="18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Markets for Identical Assets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17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2"/>
                <w:szCs w:val="12"/>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3)</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 Category:</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40"/>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7.2</w:t>
            </w:r>
          </w:p>
        </w:tc>
        <w:tc>
          <w:tcPr>
            <w:tcW w:w="50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Commingled pools / Collective Trusts:</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360" w:type="dxa"/>
            <w:vAlign w:val="bottom"/>
          </w:tcPr>
          <w:p>
            <w:pPr>
              <w:ind w:left="260"/>
              <w:spacing w:after="0" w:line="260" w:lineRule="exact"/>
              <w:rPr>
                <w:sz w:val="20"/>
                <w:szCs w:val="20"/>
                <w:color w:val="auto"/>
              </w:rPr>
            </w:pPr>
            <w:r>
              <w:rPr>
                <w:rFonts w:ascii="Arial" w:cs="Arial" w:eastAsia="Arial" w:hAnsi="Arial"/>
                <w:sz w:val="17"/>
                <w:szCs w:val="17"/>
                <w:color w:val="auto"/>
              </w:rPr>
              <w:t xml:space="preserve">U.S. equity </w:t>
            </w:r>
            <w:r>
              <w:rPr>
                <w:rFonts w:ascii="Arial" w:cs="Arial" w:eastAsia="Arial" w:hAnsi="Arial"/>
                <w:sz w:val="24"/>
                <w:szCs w:val="24"/>
                <w:color w:val="auto"/>
                <w:vertAlign w:val="superscript"/>
              </w:rPr>
              <w:t>(1)</w:t>
            </w:r>
          </w:p>
        </w:tc>
        <w:tc>
          <w:tcPr>
            <w:tcW w:w="160" w:type="dxa"/>
            <w:vAlign w:val="bottom"/>
          </w:tcPr>
          <w:p>
            <w:pPr>
              <w:spacing w:after="0"/>
              <w:rPr>
                <w:sz w:val="22"/>
                <w:szCs w:val="22"/>
                <w:color w:val="auto"/>
              </w:rPr>
            </w:pP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jc w:val="right"/>
              <w:ind w:right="16"/>
              <w:spacing w:after="0"/>
              <w:rPr>
                <w:sz w:val="20"/>
                <w:szCs w:val="20"/>
                <w:color w:val="auto"/>
              </w:rPr>
            </w:pPr>
            <w:r>
              <w:rPr>
                <w:rFonts w:ascii="Arial" w:cs="Arial" w:eastAsia="Arial" w:hAnsi="Arial"/>
                <w:sz w:val="17"/>
                <w:szCs w:val="17"/>
                <w:color w:val="auto"/>
              </w:rPr>
              <w:t>62.7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ind w:left="260"/>
              <w:spacing w:after="0" w:line="260" w:lineRule="exact"/>
              <w:rPr>
                <w:sz w:val="20"/>
                <w:szCs w:val="20"/>
                <w:color w:val="auto"/>
              </w:rPr>
            </w:pPr>
            <w:r>
              <w:rPr>
                <w:rFonts w:ascii="Arial" w:cs="Arial" w:eastAsia="Arial" w:hAnsi="Arial"/>
                <w:sz w:val="17"/>
                <w:szCs w:val="17"/>
                <w:color w:val="auto"/>
              </w:rPr>
              <w:t xml:space="preserve">International equity </w:t>
            </w:r>
            <w:r>
              <w:rPr>
                <w:rFonts w:ascii="Arial" w:cs="Arial" w:eastAsia="Arial" w:hAnsi="Arial"/>
                <w:sz w:val="24"/>
                <w:szCs w:val="24"/>
                <w:color w:val="auto"/>
                <w:vertAlign w:val="superscript"/>
              </w:rPr>
              <w:t>(2)</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60"/>
        </w:trPr>
        <w:tc>
          <w:tcPr>
            <w:tcW w:w="4360" w:type="dxa"/>
            <w:vAlign w:val="bottom"/>
          </w:tcPr>
          <w:p>
            <w:pPr>
              <w:ind w:left="260"/>
              <w:spacing w:after="0" w:line="260"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4"/>
                <w:szCs w:val="24"/>
                <w:color w:val="auto"/>
                <w:vertAlign w:val="superscript"/>
              </w:rPr>
              <w:t>(3)</w:t>
            </w:r>
          </w:p>
        </w:tc>
        <w:tc>
          <w:tcPr>
            <w:tcW w:w="160" w:type="dxa"/>
            <w:vAlign w:val="bottom"/>
          </w:tcPr>
          <w:p>
            <w:pPr>
              <w:spacing w:after="0"/>
              <w:rPr>
                <w:sz w:val="22"/>
                <w:szCs w:val="22"/>
                <w:color w:val="auto"/>
              </w:rPr>
            </w:pP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jc w:val="right"/>
              <w:ind w:right="16"/>
              <w:spacing w:after="0"/>
              <w:rPr>
                <w:sz w:val="20"/>
                <w:szCs w:val="20"/>
                <w:color w:val="auto"/>
              </w:rPr>
            </w:pPr>
            <w:r>
              <w:rPr>
                <w:rFonts w:ascii="Arial" w:cs="Arial" w:eastAsia="Arial" w:hAnsi="Arial"/>
                <w:sz w:val="17"/>
                <w:szCs w:val="17"/>
                <w:color w:val="auto"/>
              </w:rPr>
              <w:t>146.2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ind w:left="40"/>
              <w:spacing w:after="0" w:line="260" w:lineRule="exact"/>
              <w:rPr>
                <w:sz w:val="20"/>
                <w:szCs w:val="20"/>
                <w:color w:val="auto"/>
              </w:rPr>
            </w:pPr>
            <w:r>
              <w:rPr>
                <w:rFonts w:ascii="Arial" w:cs="Arial" w:eastAsia="Arial" w:hAnsi="Arial"/>
                <w:sz w:val="17"/>
                <w:szCs w:val="17"/>
                <w:color w:val="auto"/>
              </w:rPr>
              <w:t xml:space="preserve">Balanced pension trust: </w:t>
            </w:r>
            <w:r>
              <w:rPr>
                <w:rFonts w:ascii="Arial" w:cs="Arial" w:eastAsia="Arial" w:hAnsi="Arial"/>
                <w:sz w:val="24"/>
                <w:szCs w:val="24"/>
                <w:color w:val="auto"/>
                <w:vertAlign w:val="superscript"/>
              </w:rPr>
              <w:t>(4)</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260"/>
              <w:spacing w:after="0"/>
              <w:rPr>
                <w:sz w:val="20"/>
                <w:szCs w:val="20"/>
                <w:color w:val="auto"/>
              </w:rPr>
            </w:pPr>
            <w:r>
              <w:rPr>
                <w:rFonts w:ascii="Arial" w:cs="Arial" w:eastAsia="Arial" w:hAnsi="Arial"/>
                <w:sz w:val="17"/>
                <w:szCs w:val="17"/>
                <w:color w:val="auto"/>
              </w:rPr>
              <w:t>International equity</w:t>
            </w:r>
          </w:p>
        </w:tc>
        <w:tc>
          <w:tcPr>
            <w:tcW w:w="160" w:type="dxa"/>
            <w:vAlign w:val="bottom"/>
          </w:tcPr>
          <w:p>
            <w:pPr>
              <w:spacing w:after="0"/>
              <w:rPr>
                <w:sz w:val="20"/>
                <w:szCs w:val="20"/>
                <w:color w:val="auto"/>
              </w:rPr>
            </w:pP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jc w:val="right"/>
              <w:ind w:right="16"/>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Fixed income</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34"/>
        </w:trPr>
        <w:tc>
          <w:tcPr>
            <w:tcW w:w="4360" w:type="dxa"/>
            <w:vAlign w:val="bottom"/>
          </w:tcPr>
          <w:p>
            <w:pPr>
              <w:ind w:left="40"/>
              <w:spacing w:after="0"/>
              <w:rPr>
                <w:sz w:val="20"/>
                <w:szCs w:val="20"/>
                <w:color w:val="auto"/>
              </w:rPr>
            </w:pPr>
            <w:r>
              <w:rPr>
                <w:rFonts w:ascii="Arial" w:cs="Arial" w:eastAsia="Arial" w:hAnsi="Arial"/>
                <w:sz w:val="17"/>
                <w:szCs w:val="17"/>
                <w:color w:val="auto"/>
              </w:rPr>
              <w:t>Pension fund:</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360" w:type="dxa"/>
            <w:vAlign w:val="bottom"/>
            <w:shd w:val="clear" w:color="auto" w:fill="CCEEFF"/>
          </w:tcPr>
          <w:p>
            <w:pPr>
              <w:ind w:left="260"/>
              <w:spacing w:after="0" w:line="260" w:lineRule="exact"/>
              <w:rPr>
                <w:sz w:val="20"/>
                <w:szCs w:val="20"/>
                <w:color w:val="auto"/>
              </w:rPr>
            </w:pPr>
            <w:r>
              <w:rPr>
                <w:rFonts w:ascii="Arial" w:cs="Arial" w:eastAsia="Arial" w:hAnsi="Arial"/>
                <w:sz w:val="17"/>
                <w:szCs w:val="17"/>
                <w:color w:val="auto"/>
              </w:rPr>
              <w:t xml:space="preserve">International equity </w:t>
            </w:r>
            <w:r>
              <w:rPr>
                <w:rFonts w:ascii="Arial" w:cs="Arial" w:eastAsia="Arial" w:hAnsi="Arial"/>
                <w:sz w:val="24"/>
                <w:szCs w:val="24"/>
                <w:color w:val="auto"/>
                <w:vertAlign w:val="superscript"/>
              </w:rPr>
              <w:t>(5)</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60"/>
        </w:trPr>
        <w:tc>
          <w:tcPr>
            <w:tcW w:w="4360" w:type="dxa"/>
            <w:vAlign w:val="bottom"/>
          </w:tcPr>
          <w:p>
            <w:pPr>
              <w:ind w:left="260"/>
              <w:spacing w:after="0" w:line="260"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4"/>
                <w:szCs w:val="24"/>
                <w:color w:val="auto"/>
                <w:vertAlign w:val="superscript"/>
              </w:rPr>
              <w:t>(6)</w:t>
            </w:r>
          </w:p>
        </w:tc>
        <w:tc>
          <w:tcPr>
            <w:tcW w:w="160" w:type="dxa"/>
            <w:vAlign w:val="bottom"/>
          </w:tcPr>
          <w:p>
            <w:pPr>
              <w:spacing w:after="0"/>
              <w:rPr>
                <w:sz w:val="22"/>
                <w:szCs w:val="22"/>
                <w:color w:val="auto"/>
              </w:rPr>
            </w:pP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jc w:val="right"/>
              <w:ind w:right="16"/>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ind w:left="260"/>
              <w:spacing w:after="0" w:line="260" w:lineRule="exact"/>
              <w:rPr>
                <w:sz w:val="20"/>
                <w:szCs w:val="20"/>
                <w:color w:val="auto"/>
              </w:rPr>
            </w:pPr>
            <w:r>
              <w:rPr>
                <w:rFonts w:ascii="Arial" w:cs="Arial" w:eastAsia="Arial" w:hAnsi="Arial"/>
                <w:sz w:val="17"/>
                <w:szCs w:val="17"/>
                <w:color w:val="auto"/>
              </w:rPr>
              <w:t xml:space="preserve">Blend </w:t>
            </w:r>
            <w:r>
              <w:rPr>
                <w:rFonts w:ascii="Arial" w:cs="Arial" w:eastAsia="Arial" w:hAnsi="Arial"/>
                <w:sz w:val="24"/>
                <w:szCs w:val="24"/>
                <w:color w:val="auto"/>
                <w:vertAlign w:val="superscript"/>
              </w:rPr>
              <w:t>(7)</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47"/>
        </w:trPr>
        <w:tc>
          <w:tcPr>
            <w:tcW w:w="4360" w:type="dxa"/>
            <w:vAlign w:val="bottom"/>
          </w:tcPr>
          <w:p>
            <w:pPr>
              <w:ind w:left="40"/>
              <w:spacing w:after="0"/>
              <w:rPr>
                <w:sz w:val="20"/>
                <w:szCs w:val="20"/>
                <w:color w:val="auto"/>
              </w:rPr>
            </w:pPr>
            <w:r>
              <w:rPr>
                <w:rFonts w:ascii="Arial" w:cs="Arial" w:eastAsia="Arial" w:hAnsi="Arial"/>
                <w:sz w:val="17"/>
                <w:szCs w:val="17"/>
                <w:color w:val="auto"/>
              </w:rPr>
              <w:t>Total</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7.2</w:t>
            </w:r>
          </w:p>
        </w:tc>
        <w:tc>
          <w:tcPr>
            <w:tcW w:w="50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6"/>
              <w:spacing w:after="0"/>
              <w:rPr>
                <w:sz w:val="20"/>
                <w:szCs w:val="20"/>
                <w:color w:val="auto"/>
              </w:rPr>
            </w:pPr>
            <w:r>
              <w:rPr>
                <w:rFonts w:ascii="Arial" w:cs="Arial" w:eastAsia="Arial" w:hAnsi="Arial"/>
                <w:sz w:val="17"/>
                <w:szCs w:val="17"/>
                <w:color w:val="auto"/>
              </w:rPr>
              <w:t>283.8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291.0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316"/>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67" w:name="page68"/>
    <w:bookmarkEnd w:id="67"/>
    <w:p>
      <w:pPr>
        <w:ind w:left="240"/>
        <w:spacing w:after="0"/>
        <w:rPr>
          <w:sz w:val="20"/>
          <w:szCs w:val="20"/>
          <w:color w:val="auto"/>
        </w:rPr>
      </w:pPr>
      <w:r>
        <w:rPr>
          <w:rFonts w:ascii="Arial" w:cs="Arial" w:eastAsia="Arial" w:hAnsi="Arial"/>
          <w:sz w:val="17"/>
          <w:szCs w:val="17"/>
          <w:color w:val="auto"/>
        </w:rPr>
        <w:t>Additional information about assets measured at Net Asset Value (“NAV”) per share (in millions):</w:t>
      </w:r>
    </w:p>
    <w:p>
      <w:pPr>
        <w:spacing w:after="0" w:line="389"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auto"/>
        </w:rPr>
        <w:t>As of December 31,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720" w:type="dxa"/>
            <w:vAlign w:val="bottom"/>
          </w:tcPr>
          <w:p>
            <w:pPr>
              <w:spacing w:after="0"/>
              <w:rPr>
                <w:sz w:val="13"/>
                <w:szCs w:val="13"/>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88"/>
              </w:rPr>
              <w:t>Redemption Frequency</w:t>
            </w:r>
          </w:p>
        </w:tc>
        <w:tc>
          <w:tcPr>
            <w:tcW w:w="1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Redemption Notice Period</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(if currently eligible)</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 Category:</w:t>
            </w: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40"/>
              <w:spacing w:after="0"/>
              <w:rPr>
                <w:sz w:val="20"/>
                <w:szCs w:val="20"/>
                <w:color w:val="auto"/>
              </w:rPr>
            </w:pPr>
            <w:r>
              <w:rPr>
                <w:rFonts w:ascii="Arial" w:cs="Arial" w:eastAsia="Arial" w:hAnsi="Arial"/>
                <w:sz w:val="17"/>
                <w:szCs w:val="17"/>
                <w:color w:val="auto"/>
              </w:rPr>
              <w:t>Commingled pools / Collective Trusts:</w:t>
            </w: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720" w:type="dxa"/>
            <w:vAlign w:val="bottom"/>
            <w:shd w:val="clear" w:color="auto" w:fill="CCEEFF"/>
          </w:tcPr>
          <w:p>
            <w:pPr>
              <w:ind w:left="260"/>
              <w:spacing w:after="0" w:line="260" w:lineRule="exact"/>
              <w:rPr>
                <w:sz w:val="20"/>
                <w:szCs w:val="20"/>
                <w:color w:val="auto"/>
              </w:rPr>
            </w:pPr>
            <w:r>
              <w:rPr>
                <w:rFonts w:ascii="Arial" w:cs="Arial" w:eastAsia="Arial" w:hAnsi="Arial"/>
                <w:sz w:val="17"/>
                <w:szCs w:val="17"/>
                <w:color w:val="auto"/>
              </w:rPr>
              <w:t xml:space="preserve">U.S. equity </w:t>
            </w:r>
            <w:r>
              <w:rPr>
                <w:rFonts w:ascii="Arial" w:cs="Arial" w:eastAsia="Arial" w:hAnsi="Arial"/>
                <w:sz w:val="24"/>
                <w:szCs w:val="24"/>
                <w:color w:val="auto"/>
                <w:vertAlign w:val="superscript"/>
              </w:rPr>
              <w:t>(1)</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50.8</w:t>
            </w: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 days</w:t>
            </w:r>
          </w:p>
        </w:tc>
        <w:tc>
          <w:tcPr>
            <w:tcW w:w="0" w:type="dxa"/>
            <w:vAlign w:val="bottom"/>
          </w:tcPr>
          <w:p>
            <w:pPr>
              <w:spacing w:after="0"/>
              <w:rPr>
                <w:sz w:val="1"/>
                <w:szCs w:val="1"/>
                <w:color w:val="auto"/>
              </w:rPr>
            </w:pPr>
          </w:p>
        </w:tc>
      </w:tr>
      <w:tr>
        <w:trPr>
          <w:trHeight w:val="260"/>
        </w:trPr>
        <w:tc>
          <w:tcPr>
            <w:tcW w:w="5720" w:type="dxa"/>
            <w:vAlign w:val="bottom"/>
          </w:tcPr>
          <w:p>
            <w:pPr>
              <w:ind w:left="260"/>
              <w:spacing w:after="0" w:line="260" w:lineRule="exact"/>
              <w:rPr>
                <w:sz w:val="20"/>
                <w:szCs w:val="20"/>
                <w:color w:val="auto"/>
              </w:rPr>
            </w:pPr>
            <w:r>
              <w:rPr>
                <w:rFonts w:ascii="Arial" w:cs="Arial" w:eastAsia="Arial" w:hAnsi="Arial"/>
                <w:sz w:val="17"/>
                <w:szCs w:val="17"/>
                <w:color w:val="auto"/>
              </w:rPr>
              <w:t xml:space="preserve">International equity </w:t>
            </w:r>
            <w:r>
              <w:rPr>
                <w:rFonts w:ascii="Arial" w:cs="Arial" w:eastAsia="Arial" w:hAnsi="Arial"/>
                <w:sz w:val="24"/>
                <w:szCs w:val="24"/>
                <w:color w:val="auto"/>
                <w:vertAlign w:val="superscript"/>
              </w:rPr>
              <w:t>(2)</w:t>
            </w:r>
          </w:p>
        </w:tc>
        <w:tc>
          <w:tcPr>
            <w:tcW w:w="128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22"/>
                <w:szCs w:val="22"/>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tcPr>
          <w:p>
            <w:pPr>
              <w:jc w:val="center"/>
              <w:spacing w:after="0"/>
              <w:rPr>
                <w:sz w:val="20"/>
                <w:szCs w:val="20"/>
                <w:color w:val="auto"/>
              </w:rPr>
            </w:pPr>
            <w:r>
              <w:rPr>
                <w:rFonts w:ascii="Arial" w:cs="Arial" w:eastAsia="Arial" w:hAnsi="Arial"/>
                <w:sz w:val="17"/>
                <w:szCs w:val="17"/>
                <w:color w:val="auto"/>
                <w:w w:val="91"/>
              </w:rPr>
              <w:t>5 days</w:t>
            </w:r>
          </w:p>
        </w:tc>
        <w:tc>
          <w:tcPr>
            <w:tcW w:w="0" w:type="dxa"/>
            <w:vAlign w:val="bottom"/>
          </w:tcPr>
          <w:p>
            <w:pPr>
              <w:spacing w:after="0"/>
              <w:rPr>
                <w:sz w:val="1"/>
                <w:szCs w:val="1"/>
                <w:color w:val="auto"/>
              </w:rPr>
            </w:pPr>
          </w:p>
        </w:tc>
      </w:tr>
      <w:tr>
        <w:trPr>
          <w:trHeight w:val="260"/>
        </w:trPr>
        <w:tc>
          <w:tcPr>
            <w:tcW w:w="5720" w:type="dxa"/>
            <w:vAlign w:val="bottom"/>
            <w:shd w:val="clear" w:color="auto" w:fill="CCEEFF"/>
          </w:tcPr>
          <w:p>
            <w:pPr>
              <w:ind w:left="260"/>
              <w:spacing w:after="0" w:line="260"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4"/>
                <w:szCs w:val="24"/>
                <w:color w:val="auto"/>
                <w:vertAlign w:val="superscript"/>
              </w:rPr>
              <w:t>(3)</w:t>
            </w:r>
          </w:p>
        </w:tc>
        <w:tc>
          <w:tcPr>
            <w:tcW w:w="12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54.6</w:t>
            </w: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5-15 days</w:t>
            </w:r>
          </w:p>
        </w:tc>
        <w:tc>
          <w:tcPr>
            <w:tcW w:w="0" w:type="dxa"/>
            <w:vAlign w:val="bottom"/>
          </w:tcPr>
          <w:p>
            <w:pPr>
              <w:spacing w:after="0"/>
              <w:rPr>
                <w:sz w:val="1"/>
                <w:szCs w:val="1"/>
                <w:color w:val="auto"/>
              </w:rPr>
            </w:pPr>
          </w:p>
        </w:tc>
      </w:tr>
      <w:tr>
        <w:trPr>
          <w:trHeight w:val="260"/>
        </w:trPr>
        <w:tc>
          <w:tcPr>
            <w:tcW w:w="5720" w:type="dxa"/>
            <w:vAlign w:val="bottom"/>
          </w:tcPr>
          <w:p>
            <w:pPr>
              <w:ind w:left="40"/>
              <w:spacing w:after="0" w:line="260" w:lineRule="exact"/>
              <w:rPr>
                <w:sz w:val="20"/>
                <w:szCs w:val="20"/>
                <w:color w:val="auto"/>
              </w:rPr>
            </w:pPr>
            <w:r>
              <w:rPr>
                <w:rFonts w:ascii="Arial" w:cs="Arial" w:eastAsia="Arial" w:hAnsi="Arial"/>
                <w:sz w:val="17"/>
                <w:szCs w:val="17"/>
                <w:color w:val="auto"/>
              </w:rPr>
              <w:t xml:space="preserve">Balanced pension trust: </w:t>
            </w:r>
            <w:r>
              <w:rPr>
                <w:rFonts w:ascii="Arial" w:cs="Arial" w:eastAsia="Arial" w:hAnsi="Arial"/>
                <w:sz w:val="24"/>
                <w:szCs w:val="24"/>
                <w:color w:val="auto"/>
                <w:vertAlign w:val="superscript"/>
              </w:rPr>
              <w:t>(4)</w:t>
            </w:r>
          </w:p>
        </w:tc>
        <w:tc>
          <w:tcPr>
            <w:tcW w:w="1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International equity</w:t>
            </w:r>
          </w:p>
        </w:tc>
        <w:tc>
          <w:tcPr>
            <w:tcW w:w="1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3-5 days</w:t>
            </w:r>
          </w:p>
        </w:tc>
        <w:tc>
          <w:tcPr>
            <w:tcW w:w="0" w:type="dxa"/>
            <w:vAlign w:val="bottom"/>
          </w:tcPr>
          <w:p>
            <w:pPr>
              <w:spacing w:after="0"/>
              <w:rPr>
                <w:sz w:val="1"/>
                <w:szCs w:val="1"/>
                <w:color w:val="auto"/>
              </w:rPr>
            </w:pPr>
          </w:p>
        </w:tc>
      </w:tr>
      <w:tr>
        <w:trPr>
          <w:trHeight w:val="234"/>
        </w:trPr>
        <w:tc>
          <w:tcPr>
            <w:tcW w:w="5720" w:type="dxa"/>
            <w:vAlign w:val="bottom"/>
          </w:tcPr>
          <w:p>
            <w:pPr>
              <w:ind w:left="260"/>
              <w:spacing w:after="0"/>
              <w:rPr>
                <w:sz w:val="20"/>
                <w:szCs w:val="20"/>
                <w:color w:val="auto"/>
              </w:rPr>
            </w:pPr>
            <w:r>
              <w:rPr>
                <w:rFonts w:ascii="Arial" w:cs="Arial" w:eastAsia="Arial" w:hAnsi="Arial"/>
                <w:sz w:val="17"/>
                <w:szCs w:val="17"/>
                <w:color w:val="auto"/>
              </w:rPr>
              <w:t>Fixed income</w:t>
            </w:r>
          </w:p>
        </w:tc>
        <w:tc>
          <w:tcPr>
            <w:tcW w:w="128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tcPr>
          <w:p>
            <w:pPr>
              <w:jc w:val="center"/>
              <w:spacing w:after="0"/>
              <w:rPr>
                <w:sz w:val="20"/>
                <w:szCs w:val="20"/>
                <w:color w:val="auto"/>
              </w:rPr>
            </w:pPr>
            <w:r>
              <w:rPr>
                <w:rFonts w:ascii="Arial" w:cs="Arial" w:eastAsia="Arial" w:hAnsi="Arial"/>
                <w:sz w:val="17"/>
                <w:szCs w:val="17"/>
                <w:color w:val="auto"/>
                <w:w w:val="88"/>
              </w:rPr>
              <w:t>3-5 days</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Pension fund:</w:t>
            </w:r>
          </w:p>
        </w:tc>
        <w:tc>
          <w:tcPr>
            <w:tcW w:w="1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720" w:type="dxa"/>
            <w:vAlign w:val="bottom"/>
            <w:tcBorders>
              <w:bottom w:val="single" w:sz="8" w:color="CCEEFF"/>
            </w:tcBorders>
          </w:tcPr>
          <w:p>
            <w:pPr>
              <w:ind w:left="260"/>
              <w:spacing w:after="0" w:line="260"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4"/>
                <w:szCs w:val="24"/>
                <w:color w:val="auto"/>
                <w:vertAlign w:val="superscript"/>
              </w:rPr>
              <w:t>(6)</w:t>
            </w:r>
          </w:p>
        </w:tc>
        <w:tc>
          <w:tcPr>
            <w:tcW w:w="1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22.0</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8"/>
              </w:rPr>
              <w:t>1-3 days</w:t>
            </w:r>
          </w:p>
        </w:tc>
        <w:tc>
          <w:tcPr>
            <w:tcW w:w="0" w:type="dxa"/>
            <w:vAlign w:val="bottom"/>
          </w:tcPr>
          <w:p>
            <w:pPr>
              <w:spacing w:after="0"/>
              <w:rPr>
                <w:sz w:val="1"/>
                <w:szCs w:val="1"/>
                <w:color w:val="auto"/>
              </w:rPr>
            </w:pPr>
          </w:p>
        </w:tc>
      </w:tr>
      <w:tr>
        <w:trPr>
          <w:trHeight w:val="24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28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154.1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6"/>
              </w:rPr>
              <w:t>As of December 31, 2018</w:t>
            </w: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57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572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8"/>
              </w:rPr>
              <w:t>Redemption Frequency</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Redemption Notice Period</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(if currently eligible)</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 Category:</w:t>
            </w: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40"/>
              <w:spacing w:after="0"/>
              <w:rPr>
                <w:sz w:val="20"/>
                <w:szCs w:val="20"/>
                <w:color w:val="auto"/>
              </w:rPr>
            </w:pPr>
            <w:r>
              <w:rPr>
                <w:rFonts w:ascii="Arial" w:cs="Arial" w:eastAsia="Arial" w:hAnsi="Arial"/>
                <w:sz w:val="17"/>
                <w:szCs w:val="17"/>
                <w:color w:val="auto"/>
              </w:rPr>
              <w:t>Commingled pools / Collective Trusts:</w:t>
            </w: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720" w:type="dxa"/>
            <w:vAlign w:val="bottom"/>
            <w:shd w:val="clear" w:color="auto" w:fill="CCEEFF"/>
          </w:tcPr>
          <w:p>
            <w:pPr>
              <w:ind w:left="260"/>
              <w:spacing w:after="0" w:line="260" w:lineRule="exact"/>
              <w:rPr>
                <w:sz w:val="20"/>
                <w:szCs w:val="20"/>
                <w:color w:val="auto"/>
              </w:rPr>
            </w:pPr>
            <w:r>
              <w:rPr>
                <w:rFonts w:ascii="Arial" w:cs="Arial" w:eastAsia="Arial" w:hAnsi="Arial"/>
                <w:sz w:val="17"/>
                <w:szCs w:val="17"/>
                <w:color w:val="auto"/>
              </w:rPr>
              <w:t xml:space="preserve">U.S. equity </w:t>
            </w:r>
            <w:r>
              <w:rPr>
                <w:rFonts w:ascii="Arial" w:cs="Arial" w:eastAsia="Arial" w:hAnsi="Arial"/>
                <w:sz w:val="24"/>
                <w:szCs w:val="24"/>
                <w:color w:val="auto"/>
                <w:vertAlign w:val="superscript"/>
              </w:rPr>
              <w:t>(1)</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62.7</w:t>
            </w: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 days</w:t>
            </w:r>
          </w:p>
        </w:tc>
        <w:tc>
          <w:tcPr>
            <w:tcW w:w="0" w:type="dxa"/>
            <w:vAlign w:val="bottom"/>
          </w:tcPr>
          <w:p>
            <w:pPr>
              <w:spacing w:after="0"/>
              <w:rPr>
                <w:sz w:val="1"/>
                <w:szCs w:val="1"/>
                <w:color w:val="auto"/>
              </w:rPr>
            </w:pPr>
          </w:p>
        </w:tc>
      </w:tr>
      <w:tr>
        <w:trPr>
          <w:trHeight w:val="260"/>
        </w:trPr>
        <w:tc>
          <w:tcPr>
            <w:tcW w:w="5720" w:type="dxa"/>
            <w:vAlign w:val="bottom"/>
          </w:tcPr>
          <w:p>
            <w:pPr>
              <w:ind w:left="260"/>
              <w:spacing w:after="0" w:line="260" w:lineRule="exact"/>
              <w:rPr>
                <w:sz w:val="20"/>
                <w:szCs w:val="20"/>
                <w:color w:val="auto"/>
              </w:rPr>
            </w:pPr>
            <w:r>
              <w:rPr>
                <w:rFonts w:ascii="Arial" w:cs="Arial" w:eastAsia="Arial" w:hAnsi="Arial"/>
                <w:sz w:val="17"/>
                <w:szCs w:val="17"/>
                <w:color w:val="auto"/>
              </w:rPr>
              <w:t xml:space="preserve">International equity </w:t>
            </w:r>
            <w:r>
              <w:rPr>
                <w:rFonts w:ascii="Arial" w:cs="Arial" w:eastAsia="Arial" w:hAnsi="Arial"/>
                <w:sz w:val="24"/>
                <w:szCs w:val="24"/>
                <w:color w:val="auto"/>
                <w:vertAlign w:val="superscript"/>
              </w:rPr>
              <w:t>(2)</w:t>
            </w:r>
          </w:p>
        </w:tc>
        <w:tc>
          <w:tcPr>
            <w:tcW w:w="128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39.5</w:t>
            </w:r>
          </w:p>
        </w:tc>
        <w:tc>
          <w:tcPr>
            <w:tcW w:w="120" w:type="dxa"/>
            <w:vAlign w:val="bottom"/>
          </w:tcPr>
          <w:p>
            <w:pPr>
              <w:spacing w:after="0"/>
              <w:rPr>
                <w:sz w:val="22"/>
                <w:szCs w:val="22"/>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tcPr>
          <w:p>
            <w:pPr>
              <w:jc w:val="center"/>
              <w:spacing w:after="0"/>
              <w:rPr>
                <w:sz w:val="20"/>
                <w:szCs w:val="20"/>
                <w:color w:val="auto"/>
              </w:rPr>
            </w:pPr>
            <w:r>
              <w:rPr>
                <w:rFonts w:ascii="Arial" w:cs="Arial" w:eastAsia="Arial" w:hAnsi="Arial"/>
                <w:sz w:val="17"/>
                <w:szCs w:val="17"/>
                <w:color w:val="auto"/>
                <w:w w:val="91"/>
              </w:rPr>
              <w:t>5 days</w:t>
            </w:r>
          </w:p>
        </w:tc>
        <w:tc>
          <w:tcPr>
            <w:tcW w:w="0" w:type="dxa"/>
            <w:vAlign w:val="bottom"/>
          </w:tcPr>
          <w:p>
            <w:pPr>
              <w:spacing w:after="0"/>
              <w:rPr>
                <w:sz w:val="1"/>
                <w:szCs w:val="1"/>
                <w:color w:val="auto"/>
              </w:rPr>
            </w:pPr>
          </w:p>
        </w:tc>
      </w:tr>
      <w:tr>
        <w:trPr>
          <w:trHeight w:val="260"/>
        </w:trPr>
        <w:tc>
          <w:tcPr>
            <w:tcW w:w="5720" w:type="dxa"/>
            <w:vAlign w:val="bottom"/>
            <w:shd w:val="clear" w:color="auto" w:fill="CCEEFF"/>
          </w:tcPr>
          <w:p>
            <w:pPr>
              <w:ind w:left="260"/>
              <w:spacing w:after="0" w:line="260"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4"/>
                <w:szCs w:val="24"/>
                <w:color w:val="auto"/>
                <w:vertAlign w:val="superscript"/>
              </w:rPr>
              <w:t>(3)</w:t>
            </w:r>
          </w:p>
        </w:tc>
        <w:tc>
          <w:tcPr>
            <w:tcW w:w="12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146.2</w:t>
            </w: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5-15 days</w:t>
            </w:r>
          </w:p>
        </w:tc>
        <w:tc>
          <w:tcPr>
            <w:tcW w:w="0" w:type="dxa"/>
            <w:vAlign w:val="bottom"/>
          </w:tcPr>
          <w:p>
            <w:pPr>
              <w:spacing w:after="0"/>
              <w:rPr>
                <w:sz w:val="1"/>
                <w:szCs w:val="1"/>
                <w:color w:val="auto"/>
              </w:rPr>
            </w:pPr>
          </w:p>
        </w:tc>
      </w:tr>
      <w:tr>
        <w:trPr>
          <w:trHeight w:val="260"/>
        </w:trPr>
        <w:tc>
          <w:tcPr>
            <w:tcW w:w="5720" w:type="dxa"/>
            <w:vAlign w:val="bottom"/>
          </w:tcPr>
          <w:p>
            <w:pPr>
              <w:ind w:left="40"/>
              <w:spacing w:after="0" w:line="260" w:lineRule="exact"/>
              <w:rPr>
                <w:sz w:val="20"/>
                <w:szCs w:val="20"/>
                <w:color w:val="auto"/>
              </w:rPr>
            </w:pPr>
            <w:r>
              <w:rPr>
                <w:rFonts w:ascii="Arial" w:cs="Arial" w:eastAsia="Arial" w:hAnsi="Arial"/>
                <w:sz w:val="17"/>
                <w:szCs w:val="17"/>
                <w:color w:val="auto"/>
              </w:rPr>
              <w:t xml:space="preserve">Balanced pension trust: </w:t>
            </w:r>
            <w:r>
              <w:rPr>
                <w:rFonts w:ascii="Arial" w:cs="Arial" w:eastAsia="Arial" w:hAnsi="Arial"/>
                <w:sz w:val="24"/>
                <w:szCs w:val="24"/>
                <w:color w:val="auto"/>
                <w:vertAlign w:val="superscript"/>
              </w:rPr>
              <w:t>(4)</w:t>
            </w:r>
          </w:p>
        </w:tc>
        <w:tc>
          <w:tcPr>
            <w:tcW w:w="1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International equity</w:t>
            </w:r>
          </w:p>
        </w:tc>
        <w:tc>
          <w:tcPr>
            <w:tcW w:w="1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3-5 days</w:t>
            </w:r>
          </w:p>
        </w:tc>
        <w:tc>
          <w:tcPr>
            <w:tcW w:w="0" w:type="dxa"/>
            <w:vAlign w:val="bottom"/>
          </w:tcPr>
          <w:p>
            <w:pPr>
              <w:spacing w:after="0"/>
              <w:rPr>
                <w:sz w:val="1"/>
                <w:szCs w:val="1"/>
                <w:color w:val="auto"/>
              </w:rPr>
            </w:pPr>
          </w:p>
        </w:tc>
      </w:tr>
      <w:tr>
        <w:trPr>
          <w:trHeight w:val="234"/>
        </w:trPr>
        <w:tc>
          <w:tcPr>
            <w:tcW w:w="5720" w:type="dxa"/>
            <w:vAlign w:val="bottom"/>
          </w:tcPr>
          <w:p>
            <w:pPr>
              <w:ind w:left="260"/>
              <w:spacing w:after="0"/>
              <w:rPr>
                <w:sz w:val="20"/>
                <w:szCs w:val="20"/>
                <w:color w:val="auto"/>
              </w:rPr>
            </w:pPr>
            <w:r>
              <w:rPr>
                <w:rFonts w:ascii="Arial" w:cs="Arial" w:eastAsia="Arial" w:hAnsi="Arial"/>
                <w:sz w:val="17"/>
                <w:szCs w:val="17"/>
                <w:color w:val="auto"/>
              </w:rPr>
              <w:t>Fixed income</w:t>
            </w:r>
          </w:p>
        </w:tc>
        <w:tc>
          <w:tcPr>
            <w:tcW w:w="128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tcPr>
          <w:p>
            <w:pPr>
              <w:jc w:val="center"/>
              <w:spacing w:after="0"/>
              <w:rPr>
                <w:sz w:val="20"/>
                <w:szCs w:val="20"/>
                <w:color w:val="auto"/>
              </w:rPr>
            </w:pPr>
            <w:r>
              <w:rPr>
                <w:rFonts w:ascii="Arial" w:cs="Arial" w:eastAsia="Arial" w:hAnsi="Arial"/>
                <w:sz w:val="17"/>
                <w:szCs w:val="17"/>
                <w:color w:val="auto"/>
                <w:w w:val="88"/>
              </w:rPr>
              <w:t>3-5 days</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Pension fund:</w:t>
            </w:r>
          </w:p>
        </w:tc>
        <w:tc>
          <w:tcPr>
            <w:tcW w:w="1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720" w:type="dxa"/>
            <w:vAlign w:val="bottom"/>
          </w:tcPr>
          <w:p>
            <w:pPr>
              <w:ind w:left="260"/>
              <w:spacing w:after="0" w:line="260" w:lineRule="exact"/>
              <w:rPr>
                <w:sz w:val="20"/>
                <w:szCs w:val="20"/>
                <w:color w:val="auto"/>
              </w:rPr>
            </w:pPr>
            <w:r>
              <w:rPr>
                <w:rFonts w:ascii="Arial" w:cs="Arial" w:eastAsia="Arial" w:hAnsi="Arial"/>
                <w:sz w:val="17"/>
                <w:szCs w:val="17"/>
                <w:color w:val="auto"/>
              </w:rPr>
              <w:t xml:space="preserve">International equity </w:t>
            </w:r>
            <w:r>
              <w:rPr>
                <w:rFonts w:ascii="Arial" w:cs="Arial" w:eastAsia="Arial" w:hAnsi="Arial"/>
                <w:sz w:val="24"/>
                <w:szCs w:val="24"/>
                <w:color w:val="auto"/>
                <w:vertAlign w:val="superscript"/>
              </w:rPr>
              <w:t>(5)</w:t>
            </w:r>
          </w:p>
        </w:tc>
        <w:tc>
          <w:tcPr>
            <w:tcW w:w="128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2"/>
                <w:szCs w:val="22"/>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tcPr>
          <w:p>
            <w:pPr>
              <w:jc w:val="center"/>
              <w:spacing w:after="0"/>
              <w:rPr>
                <w:sz w:val="20"/>
                <w:szCs w:val="20"/>
                <w:color w:val="auto"/>
              </w:rPr>
            </w:pPr>
            <w:r>
              <w:rPr>
                <w:rFonts w:ascii="Arial" w:cs="Arial" w:eastAsia="Arial" w:hAnsi="Arial"/>
                <w:sz w:val="17"/>
                <w:szCs w:val="17"/>
                <w:color w:val="auto"/>
                <w:w w:val="88"/>
              </w:rPr>
              <w:t>1-3 days</w:t>
            </w:r>
          </w:p>
        </w:tc>
        <w:tc>
          <w:tcPr>
            <w:tcW w:w="0" w:type="dxa"/>
            <w:vAlign w:val="bottom"/>
          </w:tcPr>
          <w:p>
            <w:pPr>
              <w:spacing w:after="0"/>
              <w:rPr>
                <w:sz w:val="1"/>
                <w:szCs w:val="1"/>
                <w:color w:val="auto"/>
              </w:rPr>
            </w:pPr>
          </w:p>
        </w:tc>
      </w:tr>
      <w:tr>
        <w:trPr>
          <w:trHeight w:val="260"/>
        </w:trPr>
        <w:tc>
          <w:tcPr>
            <w:tcW w:w="5720" w:type="dxa"/>
            <w:vAlign w:val="bottom"/>
            <w:shd w:val="clear" w:color="auto" w:fill="CCEEFF"/>
          </w:tcPr>
          <w:p>
            <w:pPr>
              <w:ind w:left="260"/>
              <w:spacing w:after="0" w:line="260"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4"/>
                <w:szCs w:val="24"/>
                <w:color w:val="auto"/>
                <w:vertAlign w:val="superscript"/>
              </w:rPr>
              <w:t>(6)</w:t>
            </w:r>
          </w:p>
        </w:tc>
        <w:tc>
          <w:tcPr>
            <w:tcW w:w="12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8.9</w:t>
            </w: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1-3 days</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CEEFF"/>
            </w:tcBorders>
          </w:tcPr>
          <w:p>
            <w:pPr>
              <w:ind w:left="260"/>
              <w:spacing w:after="0" w:line="260" w:lineRule="exact"/>
              <w:rPr>
                <w:sz w:val="20"/>
                <w:szCs w:val="20"/>
                <w:color w:val="auto"/>
              </w:rPr>
            </w:pPr>
            <w:r>
              <w:rPr>
                <w:rFonts w:ascii="Arial" w:cs="Arial" w:eastAsia="Arial" w:hAnsi="Arial"/>
                <w:sz w:val="17"/>
                <w:szCs w:val="17"/>
                <w:color w:val="auto"/>
              </w:rPr>
              <w:t xml:space="preserve">Blend </w:t>
            </w:r>
            <w:r>
              <w:rPr>
                <w:rFonts w:ascii="Arial" w:cs="Arial" w:eastAsia="Arial" w:hAnsi="Arial"/>
                <w:sz w:val="24"/>
                <w:szCs w:val="24"/>
                <w:color w:val="auto"/>
                <w:vertAlign w:val="superscript"/>
              </w:rPr>
              <w:t>(7)</w:t>
            </w:r>
          </w:p>
        </w:tc>
        <w:tc>
          <w:tcPr>
            <w:tcW w:w="1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7.8</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rPr>
              <w:t>Daily</w:t>
            </w:r>
          </w:p>
        </w:tc>
        <w:tc>
          <w:tcPr>
            <w:tcW w:w="182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8"/>
              </w:rPr>
              <w:t>1-3 days</w:t>
            </w:r>
          </w:p>
        </w:tc>
        <w:tc>
          <w:tcPr>
            <w:tcW w:w="0" w:type="dxa"/>
            <w:vAlign w:val="bottom"/>
          </w:tcPr>
          <w:p>
            <w:pPr>
              <w:spacing w:after="0"/>
              <w:rPr>
                <w:sz w:val="1"/>
                <w:szCs w:val="1"/>
                <w:color w:val="auto"/>
              </w:rPr>
            </w:pPr>
          </w:p>
        </w:tc>
      </w:tr>
      <w:tr>
        <w:trPr>
          <w:trHeight w:val="24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28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283.8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7251700" cy="165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277" w:lineRule="exact"/>
        <w:rPr>
          <w:sz w:val="20"/>
          <w:szCs w:val="20"/>
          <w:color w:val="auto"/>
        </w:rPr>
      </w:pPr>
    </w:p>
    <w:p>
      <w:pPr>
        <w:ind w:left="500" w:hanging="354"/>
        <w:spacing w:after="0"/>
        <w:tabs>
          <w:tab w:leader="none" w:pos="50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This category includes investments primarily in U.S. equity securities that include large, mid and small capitalization companies.</w:t>
      </w:r>
    </w:p>
    <w:p>
      <w:pPr>
        <w:spacing w:after="0" w:line="53" w:lineRule="exact"/>
        <w:rPr>
          <w:rFonts w:ascii="Arial" w:cs="Arial" w:eastAsia="Arial" w:hAnsi="Arial"/>
          <w:sz w:val="24"/>
          <w:szCs w:val="24"/>
          <w:color w:val="auto"/>
          <w:vertAlign w:val="superscript"/>
        </w:rPr>
      </w:pPr>
    </w:p>
    <w:p>
      <w:pPr>
        <w:ind w:left="500" w:right="40" w:hanging="354"/>
        <w:spacing w:after="0" w:line="211" w:lineRule="auto"/>
        <w:tabs>
          <w:tab w:leader="none" w:pos="500" w:val="left"/>
        </w:tabs>
        <w:numPr>
          <w:ilvl w:val="0"/>
          <w:numId w:val="20"/>
        </w:numPr>
        <w:rPr>
          <w:rFonts w:ascii="Arial" w:cs="Arial" w:eastAsia="Arial" w:hAnsi="Arial"/>
          <w:sz w:val="24"/>
          <w:szCs w:val="24"/>
          <w:color w:val="auto"/>
          <w:vertAlign w:val="subscript"/>
        </w:rPr>
      </w:pPr>
      <w:r>
        <w:rPr>
          <w:rFonts w:ascii="Arial" w:cs="Arial" w:eastAsia="Arial" w:hAnsi="Arial"/>
          <w:sz w:val="17"/>
          <w:szCs w:val="17"/>
          <w:color w:val="auto"/>
        </w:rPr>
        <w:t>This category includes investments primarily in international equity securities that include large, mid and small capitalization companies in large developed markets as well as emerging markets equities.</w:t>
      </w:r>
    </w:p>
    <w:p>
      <w:pPr>
        <w:spacing w:after="0" w:line="40" w:lineRule="exact"/>
        <w:rPr>
          <w:rFonts w:ascii="Arial" w:cs="Arial" w:eastAsia="Arial" w:hAnsi="Arial"/>
          <w:sz w:val="24"/>
          <w:szCs w:val="24"/>
          <w:color w:val="auto"/>
          <w:vertAlign w:val="subscript"/>
        </w:rPr>
      </w:pPr>
    </w:p>
    <w:p>
      <w:pPr>
        <w:ind w:left="500" w:right="20" w:hanging="354"/>
        <w:spacing w:after="0" w:line="218" w:lineRule="auto"/>
        <w:tabs>
          <w:tab w:leader="none" w:pos="500" w:val="left"/>
        </w:tabs>
        <w:numPr>
          <w:ilvl w:val="0"/>
          <w:numId w:val="20"/>
        </w:numPr>
        <w:rPr>
          <w:rFonts w:ascii="Arial" w:cs="Arial" w:eastAsia="Arial" w:hAnsi="Arial"/>
          <w:sz w:val="24"/>
          <w:szCs w:val="24"/>
          <w:color w:val="auto"/>
          <w:vertAlign w:val="subscript"/>
        </w:rPr>
      </w:pPr>
      <w:r>
        <w:rPr>
          <w:rFonts w:ascii="Arial" w:cs="Arial" w:eastAsia="Arial" w:hAnsi="Arial"/>
          <w:sz w:val="17"/>
          <w:szCs w:val="17"/>
          <w:color w:val="auto"/>
        </w:rPr>
        <w:t>This category includes investments in U.S. investment grade and high yield fixed income securities, international fixed income securities and emerging markets fixed income securities.</w:t>
      </w:r>
    </w:p>
    <w:p>
      <w:pPr>
        <w:spacing w:after="0" w:line="40" w:lineRule="exact"/>
        <w:rPr>
          <w:rFonts w:ascii="Arial" w:cs="Arial" w:eastAsia="Arial" w:hAnsi="Arial"/>
          <w:sz w:val="24"/>
          <w:szCs w:val="24"/>
          <w:color w:val="auto"/>
          <w:vertAlign w:val="subscript"/>
        </w:rPr>
      </w:pPr>
    </w:p>
    <w:p>
      <w:pPr>
        <w:ind w:left="500"/>
        <w:spacing w:after="0"/>
        <w:rPr>
          <w:rFonts w:ascii="Arial" w:cs="Arial" w:eastAsia="Arial" w:hAnsi="Arial"/>
          <w:sz w:val="24"/>
          <w:szCs w:val="24"/>
          <w:color w:val="auto"/>
          <w:vertAlign w:val="subscript"/>
        </w:rPr>
      </w:pPr>
      <w:r>
        <w:rPr>
          <w:rFonts w:ascii="Arial" w:cs="Arial" w:eastAsia="Arial" w:hAnsi="Arial"/>
          <w:sz w:val="16"/>
          <w:szCs w:val="16"/>
          <w:color w:val="auto"/>
        </w:rPr>
        <w:t>The investment objectives of the plan are to provide long-term capital growth and income by investing primarily in a well-diversified, balanced portfolio of</w:t>
      </w:r>
    </w:p>
    <w:p>
      <w:pPr>
        <w:spacing w:after="0" w:line="36" w:lineRule="exact"/>
        <w:rPr>
          <w:rFonts w:ascii="Arial" w:cs="Arial" w:eastAsia="Arial" w:hAnsi="Arial"/>
          <w:sz w:val="24"/>
          <w:szCs w:val="24"/>
          <w:color w:val="auto"/>
          <w:vertAlign w:val="subscript"/>
        </w:rPr>
      </w:pPr>
    </w:p>
    <w:p>
      <w:pPr>
        <w:ind w:left="500" w:right="40" w:hanging="354"/>
        <w:spacing w:after="0" w:line="212" w:lineRule="auto"/>
        <w:tabs>
          <w:tab w:leader="none" w:pos="50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Canadian common stocks, bonds and money market securities. The plan also holds a portion of its assets in international equities, a portion of which may be invested in U.S. securities.</w:t>
      </w:r>
    </w:p>
    <w:p>
      <w:pPr>
        <w:ind w:left="500" w:hanging="354"/>
        <w:spacing w:after="0" w:line="226" w:lineRule="auto"/>
        <w:tabs>
          <w:tab w:leader="none" w:pos="500" w:val="left"/>
        </w:tabs>
        <w:numPr>
          <w:ilvl w:val="0"/>
          <w:numId w:val="20"/>
        </w:numPr>
        <w:rPr>
          <w:rFonts w:ascii="Arial" w:cs="Arial" w:eastAsia="Arial" w:hAnsi="Arial"/>
          <w:sz w:val="24"/>
          <w:szCs w:val="24"/>
          <w:color w:val="auto"/>
          <w:vertAlign w:val="subscript"/>
        </w:rPr>
      </w:pPr>
      <w:r>
        <w:rPr>
          <w:rFonts w:ascii="Arial" w:cs="Arial" w:eastAsia="Arial" w:hAnsi="Arial"/>
          <w:sz w:val="17"/>
          <w:szCs w:val="17"/>
          <w:color w:val="auto"/>
        </w:rPr>
        <w:t>This category includes investments in international equity securities, a portion of which may be invested in U.S.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-875665</wp:posOffset>
            </wp:positionV>
            <wp:extent cx="7251700" cy="297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700" cy="2978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97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700" cy="29781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color w:val="auto"/>
        </w:rPr>
        <w:t>and aims to provide returns consistent with the markets in which it invests and provide broad exposure to countries around the world.</w:t>
      </w:r>
    </w:p>
    <w:p>
      <w:pPr>
        <w:spacing w:after="0" w:line="51" w:lineRule="exact"/>
        <w:rPr>
          <w:sz w:val="20"/>
          <w:szCs w:val="20"/>
          <w:color w:val="auto"/>
        </w:rPr>
      </w:pPr>
    </w:p>
    <w:p>
      <w:pPr>
        <w:ind w:left="500" w:right="20" w:hanging="354"/>
        <w:spacing w:after="0" w:line="218" w:lineRule="auto"/>
        <w:tabs>
          <w:tab w:leader="none" w:pos="500" w:val="left"/>
        </w:tabs>
        <w:numPr>
          <w:ilvl w:val="0"/>
          <w:numId w:val="21"/>
        </w:numPr>
        <w:rPr>
          <w:rFonts w:ascii="Arial" w:cs="Arial" w:eastAsia="Arial" w:hAnsi="Arial"/>
          <w:sz w:val="24"/>
          <w:szCs w:val="24"/>
          <w:color w:val="auto"/>
          <w:vertAlign w:val="subscript"/>
        </w:rPr>
      </w:pPr>
      <w:r>
        <w:rPr>
          <w:rFonts w:ascii="Arial" w:cs="Arial" w:eastAsia="Arial" w:hAnsi="Arial"/>
          <w:sz w:val="17"/>
          <w:szCs w:val="17"/>
          <w:color w:val="auto"/>
        </w:rPr>
        <w:t>This category includes investments in U.K. government index-linked securities (index-linked gilts) that have maturity periods of 5 years or longer with a derivatives overlay and investment grade corporate bonds denominated in sterling.</w:t>
      </w:r>
    </w:p>
    <w:p>
      <w:pPr>
        <w:spacing w:after="0" w:line="40" w:lineRule="exact"/>
        <w:rPr>
          <w:rFonts w:ascii="Arial" w:cs="Arial" w:eastAsia="Arial" w:hAnsi="Arial"/>
          <w:sz w:val="24"/>
          <w:szCs w:val="24"/>
          <w:color w:val="auto"/>
          <w:vertAlign w:val="subscript"/>
        </w:rPr>
      </w:pPr>
    </w:p>
    <w:p>
      <w:pPr>
        <w:ind w:left="500"/>
        <w:spacing w:after="0"/>
        <w:rPr>
          <w:rFonts w:ascii="Arial" w:cs="Arial" w:eastAsia="Arial" w:hAnsi="Arial"/>
          <w:sz w:val="24"/>
          <w:szCs w:val="24"/>
          <w:color w:val="auto"/>
          <w:vertAlign w:val="subscript"/>
        </w:rPr>
      </w:pPr>
      <w:r>
        <w:rPr>
          <w:rFonts w:ascii="Arial" w:cs="Arial" w:eastAsia="Arial" w:hAnsi="Arial"/>
          <w:sz w:val="16"/>
          <w:szCs w:val="16"/>
          <w:color w:val="auto"/>
        </w:rPr>
        <w:t>This category includes investments in pooled funds where the fund manager has discretion for the asset allocation and can invest in a wide range of</w:t>
      </w:r>
    </w:p>
    <w:p>
      <w:pPr>
        <w:spacing w:after="0" w:line="36" w:lineRule="exact"/>
        <w:rPr>
          <w:rFonts w:ascii="Arial" w:cs="Arial" w:eastAsia="Arial" w:hAnsi="Arial"/>
          <w:sz w:val="24"/>
          <w:szCs w:val="24"/>
          <w:color w:val="auto"/>
          <w:vertAlign w:val="subscript"/>
        </w:rPr>
      </w:pPr>
    </w:p>
    <w:p>
      <w:pPr>
        <w:ind w:left="500" w:hanging="354"/>
        <w:spacing w:after="0" w:line="181" w:lineRule="auto"/>
        <w:tabs>
          <w:tab w:leader="none" w:pos="50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international and US asset classes including equity, credit markets, sovereign debt and alternative assets (including derivative-based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7251700" cy="429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700" cy="42989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544" w:right="239" w:bottom="1440" w:gutter="0" w:footer="0" w:header="0"/>
          <w:type w:val="continuous"/>
        </w:sectPr>
      </w:pPr>
    </w:p>
    <w:bookmarkStart w:id="68" w:name="page69"/>
    <w:bookmarkEnd w:id="68"/>
    <w:p>
      <w:pPr>
        <w:jc w:val="both"/>
        <w:ind w:firstLine="234"/>
        <w:spacing w:after="0" w:line="281" w:lineRule="auto"/>
        <w:rPr>
          <w:sz w:val="20"/>
          <w:szCs w:val="20"/>
          <w:color w:val="auto"/>
        </w:rPr>
      </w:pPr>
      <w:r>
        <w:rPr>
          <w:rFonts w:ascii="Arial" w:cs="Arial" w:eastAsia="Arial" w:hAnsi="Arial"/>
          <w:sz w:val="16"/>
          <w:szCs w:val="16"/>
          <w:color w:val="auto"/>
        </w:rPr>
        <w:t>The majority of our commingled pool/collective trusts, mutual funds, balanced pension trusts and pension funds are managed by professional investment advisors. The NAVs per share are furnished in monthly and/or quarterly statements received from the investment advisors and reflect valuations based upon their pricing policies. We assessed the fair value classification of these investments as Level 2 for commingled pool/collective trusts, balanced pension trusts and pension funds based on an examination of their pricing policies and the related controls and procedures. The fair values we report are based on the pool, trust or fund’s NAV per share. The NAVs per share are calculated periodically (daily or no less than one time per month) as the aggregate value of each pool or trust’s underlying assets divided by the number of units owned. See Note 17 for information about our fair value hierarchies and valuation techniques.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Joint Ventures and Other Equity Investments:</w:t>
      </w:r>
    </w:p>
    <w:p>
      <w:pPr>
        <w:spacing w:after="0" w:line="227" w:lineRule="exact"/>
        <w:rPr>
          <w:sz w:val="20"/>
          <w:szCs w:val="20"/>
          <w:color w:val="auto"/>
        </w:rPr>
      </w:pPr>
    </w:p>
    <w:p>
      <w:pPr>
        <w:jc w:val="both"/>
        <w:ind w:firstLine="221"/>
        <w:spacing w:after="0" w:line="266" w:lineRule="auto"/>
        <w:rPr>
          <w:sz w:val="20"/>
          <w:szCs w:val="20"/>
          <w:color w:val="auto"/>
        </w:rPr>
      </w:pPr>
      <w:r>
        <w:rPr>
          <w:rFonts w:ascii="Arial" w:cs="Arial" w:eastAsia="Arial" w:hAnsi="Arial"/>
          <w:sz w:val="17"/>
          <w:szCs w:val="17"/>
          <w:color w:val="auto"/>
        </w:rPr>
        <w:t>We participate in two joint ventures, the largest located in the U.S. and the other in Mexico, that are engaged in the manufacture and sale of compressors, unit coolers and condensing units. We exert significant influence over these affiliates based upon our respective 25% and 50% ownerships, but do not control them due to venture partner participation. Accordingly, these joint ventures have been accounted for under the equity method and their financial position and results of operations are not consolidated.</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combined balance of equity method investments included in Other assets, net totaled (in millions):</w:t>
      </w:r>
    </w:p>
    <w:p>
      <w:pPr>
        <w:spacing w:after="0" w:line="181"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5443220</wp:posOffset>
            </wp:positionH>
            <wp:positionV relativeFrom="paragraph">
              <wp:posOffset>32385</wp:posOffset>
            </wp:positionV>
            <wp:extent cx="18110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11020" cy="8255"/>
                    </a:xfrm>
                    <a:prstGeom prst="rect">
                      <a:avLst/>
                    </a:prstGeom>
                    <a:noFill/>
                  </pic:spPr>
                </pic:pic>
              </a:graphicData>
            </a:graphic>
          </wp:anchor>
        </w:drawing>
      </w:r>
    </w:p>
    <w:p>
      <w:pPr>
        <w:spacing w:after="0" w:line="69" w:lineRule="exact"/>
        <w:rPr>
          <w:sz w:val="20"/>
          <w:szCs w:val="20"/>
          <w:color w:val="auto"/>
        </w:rPr>
      </w:pPr>
    </w:p>
    <w:p>
      <w:pPr>
        <w:ind w:left="9120"/>
        <w:spacing w:after="0"/>
        <w:tabs>
          <w:tab w:leader="none" w:pos="1058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251700" cy="173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700" cy="173355"/>
                    </a:xfrm>
                    <a:prstGeom prst="rect">
                      <a:avLst/>
                    </a:prstGeom>
                    <a:noFill/>
                  </pic:spPr>
                </pic:pic>
              </a:graphicData>
            </a:graphic>
          </wp:anchor>
        </w:drawing>
      </w:r>
    </w:p>
    <w:p>
      <w:pPr>
        <w:spacing w:after="0" w:line="58" w:lineRule="exact"/>
        <w:rPr>
          <w:sz w:val="20"/>
          <w:szCs w:val="20"/>
          <w:color w:val="auto"/>
        </w:rPr>
      </w:pPr>
    </w:p>
    <w:p>
      <w:pPr>
        <w:ind w:left="40"/>
        <w:spacing w:after="0"/>
        <w:tabs>
          <w:tab w:leader="none" w:pos="8580" w:val="left"/>
          <w:tab w:leader="none" w:pos="9520" w:val="left"/>
          <w:tab w:leader="none" w:pos="10080" w:val="left"/>
          <w:tab w:leader="none" w:pos="11000" w:val="left"/>
        </w:tabs>
        <w:rPr>
          <w:sz w:val="20"/>
          <w:szCs w:val="20"/>
          <w:color w:val="auto"/>
        </w:rPr>
      </w:pPr>
      <w:r>
        <w:rPr>
          <w:rFonts w:ascii="Arial" w:cs="Arial" w:eastAsia="Arial" w:hAnsi="Arial"/>
          <w:sz w:val="17"/>
          <w:szCs w:val="17"/>
          <w:color w:val="auto"/>
        </w:rPr>
        <w:t>Equity method investments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38.6</w:t>
        <w:tab/>
        <w:t>$</w:t>
      </w:r>
      <w:r>
        <w:rPr>
          <w:sz w:val="20"/>
          <w:szCs w:val="20"/>
          <w:color w:val="auto"/>
        </w:rPr>
        <w:tab/>
      </w:r>
      <w:r>
        <w:rPr>
          <w:rFonts w:ascii="Arial" w:cs="Arial" w:eastAsia="Arial" w:hAnsi="Arial"/>
          <w:sz w:val="15"/>
          <w:szCs w:val="15"/>
          <w:color w:val="auto"/>
        </w:rPr>
        <w:t>36.6</w:t>
      </w: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purchase compressors from our U.S. joint venture for use in certain of our products. The amounts of purchases included in Cost of goods sold in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Operations were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9"/>
          </w:tcPr>
          <w:p>
            <w:pPr>
              <w:jc w:val="center"/>
              <w:ind w:left="276"/>
              <w:spacing w:after="0"/>
              <w:rPr>
                <w:sz w:val="20"/>
                <w:szCs w:val="20"/>
                <w:color w:val="auto"/>
              </w:rPr>
            </w:pPr>
            <w:r>
              <w:rPr>
                <w:rFonts w:ascii="Arial" w:cs="Arial" w:eastAsia="Arial" w:hAnsi="Arial"/>
                <w:sz w:val="16"/>
                <w:szCs w:val="16"/>
                <w:b w:val="1"/>
                <w:bCs w:val="1"/>
                <w:color w:val="auto"/>
                <w:w w:val="87"/>
              </w:rPr>
              <w:t>For the Years Ended December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96"/>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375"/>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Purchases of compressors from joint venture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123.1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106.4</w:t>
            </w:r>
          </w:p>
        </w:tc>
        <w:tc>
          <w:tcPr>
            <w:tcW w:w="0" w:type="dxa"/>
            <w:vAlign w:val="bottom"/>
          </w:tcPr>
          <w:p>
            <w:pPr>
              <w:spacing w:after="0"/>
              <w:rPr>
                <w:sz w:val="1"/>
                <w:szCs w:val="1"/>
                <w:color w:val="auto"/>
              </w:rPr>
            </w:pPr>
          </w:p>
        </w:tc>
      </w:tr>
      <w:tr>
        <w:trPr>
          <w:trHeight w:val="625"/>
        </w:trPr>
        <w:tc>
          <w:tcPr>
            <w:tcW w:w="7440" w:type="dxa"/>
            <w:vAlign w:val="bottom"/>
          </w:tcPr>
          <w:p>
            <w:pPr>
              <w:spacing w:after="0"/>
              <w:rPr>
                <w:sz w:val="20"/>
                <w:szCs w:val="20"/>
                <w:color w:val="auto"/>
              </w:rPr>
            </w:pPr>
            <w:r>
              <w:rPr>
                <w:rFonts w:ascii="Arial" w:cs="Arial" w:eastAsia="Arial" w:hAnsi="Arial"/>
                <w:sz w:val="17"/>
                <w:szCs w:val="17"/>
                <w:b w:val="1"/>
                <w:bCs w:val="1"/>
                <w:color w:val="auto"/>
              </w:rPr>
              <w:t>13. Income Taxes: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7440" w:type="dxa"/>
            <w:vAlign w:val="bottom"/>
          </w:tcPr>
          <w:p>
            <w:pPr>
              <w:ind w:left="240"/>
              <w:spacing w:after="0"/>
              <w:rPr>
                <w:sz w:val="20"/>
                <w:szCs w:val="20"/>
                <w:color w:val="auto"/>
              </w:rPr>
            </w:pPr>
            <w:r>
              <w:rPr>
                <w:rFonts w:ascii="Arial" w:cs="Arial" w:eastAsia="Arial" w:hAnsi="Arial"/>
                <w:sz w:val="17"/>
                <w:szCs w:val="17"/>
                <w:color w:val="auto"/>
                <w:w w:val="98"/>
              </w:rPr>
              <w:t>Our Provision for income taxes from continuing operations consisted of the following (in millions):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10"/>
          </w:tcPr>
          <w:p>
            <w:pPr>
              <w:jc w:val="center"/>
              <w:spacing w:after="0"/>
              <w:rPr>
                <w:sz w:val="20"/>
                <w:szCs w:val="20"/>
                <w:color w:val="auto"/>
              </w:rPr>
            </w:pPr>
            <w:r>
              <w:rPr>
                <w:rFonts w:ascii="Arial" w:cs="Arial" w:eastAsia="Arial" w:hAnsi="Arial"/>
                <w:sz w:val="16"/>
                <w:szCs w:val="16"/>
                <w:b w:val="1"/>
                <w:bCs w:val="1"/>
                <w:color w:val="auto"/>
                <w:w w:val="87"/>
              </w:rPr>
              <w:t>For the Years Ended December 31,</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315"/>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Current:</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Federal</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55.9</w:t>
            </w:r>
          </w:p>
        </w:tc>
        <w:tc>
          <w:tcPr>
            <w:tcW w:w="4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59.5</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State</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Foreign</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6"/>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current</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r>
        <w:trPr>
          <w:trHeight w:val="227"/>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Deferred:</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Federal</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State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7"/>
        </w:trPr>
        <w:tc>
          <w:tcPr>
            <w:tcW w:w="7440" w:type="dxa"/>
            <w:vAlign w:val="bottom"/>
          </w:tcPr>
          <w:p>
            <w:pPr>
              <w:ind w:left="260"/>
              <w:spacing w:after="0"/>
              <w:rPr>
                <w:sz w:val="20"/>
                <w:szCs w:val="20"/>
                <w:color w:val="auto"/>
              </w:rPr>
            </w:pPr>
            <w:r>
              <w:rPr>
                <w:rFonts w:ascii="Arial" w:cs="Arial" w:eastAsia="Arial" w:hAnsi="Arial"/>
                <w:sz w:val="17"/>
                <w:szCs w:val="17"/>
                <w:color w:val="auto"/>
              </w:rPr>
              <w:t>Total deferred</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6"/>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provision for income taxes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156.9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7"/>
                <w:szCs w:val="17"/>
                <w:color w:val="auto"/>
                <w:w w:val="95"/>
              </w:rPr>
              <w:t>Income from continuing operations before income taxes was comprised of the following (in millions):</w:t>
            </w: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7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10"/>
          </w:tcPr>
          <w:p>
            <w:pPr>
              <w:jc w:val="center"/>
              <w:spacing w:after="0"/>
              <w:rPr>
                <w:sz w:val="20"/>
                <w:szCs w:val="20"/>
                <w:color w:val="auto"/>
              </w:rPr>
            </w:pPr>
            <w:r>
              <w:rPr>
                <w:rFonts w:ascii="Arial" w:cs="Arial" w:eastAsia="Arial" w:hAnsi="Arial"/>
                <w:sz w:val="16"/>
                <w:szCs w:val="16"/>
                <w:b w:val="1"/>
                <w:bCs w:val="1"/>
                <w:color w:val="auto"/>
                <w:w w:val="87"/>
              </w:rPr>
              <w:t>For the Years Ended December 31,</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315"/>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Domestic</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383.2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428.7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402.5</w:t>
            </w:r>
          </w:p>
        </w:tc>
        <w:tc>
          <w:tcPr>
            <w:tcW w:w="0" w:type="dxa"/>
            <w:vAlign w:val="bottom"/>
          </w:tcPr>
          <w:p>
            <w:pPr>
              <w:spacing w:after="0"/>
              <w:rPr>
                <w:sz w:val="1"/>
                <w:szCs w:val="1"/>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Foreign</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124.7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26"/>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507.9</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467.9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464.0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544" w:right="239" w:bottom="1440" w:gutter="0" w:footer="0" w:header="0"/>
          <w:type w:val="continuous"/>
        </w:sectPr>
      </w:pPr>
    </w:p>
    <w:bookmarkStart w:id="69" w:name="page70"/>
    <w:bookmarkEnd w:id="69"/>
    <w:p>
      <w:pPr>
        <w:ind w:left="240"/>
        <w:spacing w:after="0"/>
        <w:rPr>
          <w:sz w:val="20"/>
          <w:szCs w:val="20"/>
          <w:color w:val="auto"/>
        </w:rPr>
      </w:pPr>
      <w:r>
        <w:rPr>
          <w:rFonts w:ascii="Arial" w:cs="Arial" w:eastAsia="Arial" w:hAnsi="Arial"/>
          <w:sz w:val="16"/>
          <w:szCs w:val="16"/>
          <w:color w:val="auto"/>
        </w:rPr>
        <w:t>The difference between the income tax provision from continuing operations computed at the statutory federal income tax rate and the financial statement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Provision for income taxes is summarized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7251700" cy="165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148"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4723765</wp:posOffset>
            </wp:positionH>
            <wp:positionV relativeFrom="paragraph">
              <wp:posOffset>32385</wp:posOffset>
            </wp:positionV>
            <wp:extent cx="25304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30475" cy="825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at the U.S. statutory rate of 21% (35% for 2017)</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162.4</w:t>
            </w:r>
          </w:p>
        </w:tc>
        <w:tc>
          <w:tcPr>
            <w:tcW w:w="0" w:type="dxa"/>
            <w:vAlign w:val="bottom"/>
          </w:tcPr>
          <w:p>
            <w:pPr>
              <w:spacing w:after="0"/>
              <w:rPr>
                <w:sz w:val="1"/>
                <w:szCs w:val="1"/>
                <w:color w:val="auto"/>
              </w:rPr>
            </w:pPr>
          </w:p>
        </w:tc>
      </w:tr>
      <w:tr>
        <w:trPr>
          <w:trHeight w:val="234"/>
        </w:trPr>
        <w:tc>
          <w:tcPr>
            <w:tcW w:w="7440" w:type="dxa"/>
            <w:vAlign w:val="bottom"/>
          </w:tcPr>
          <w:p>
            <w:pPr>
              <w:ind w:left="40"/>
              <w:spacing w:after="0"/>
              <w:rPr>
                <w:sz w:val="20"/>
                <w:szCs w:val="20"/>
                <w:color w:val="auto"/>
              </w:rPr>
            </w:pPr>
            <w:r>
              <w:rPr>
                <w:rFonts w:ascii="Arial" w:cs="Arial" w:eastAsia="Arial" w:hAnsi="Arial"/>
                <w:sz w:val="17"/>
                <w:szCs w:val="17"/>
                <w:color w:val="auto"/>
              </w:rPr>
              <w:t>Increase (reduction) in tax expense resulting from:</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State income tax, net of federal income tax benefit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34"/>
        </w:trPr>
        <w:tc>
          <w:tcPr>
            <w:tcW w:w="7440" w:type="dxa"/>
            <w:vAlign w:val="bottom"/>
          </w:tcPr>
          <w:p>
            <w:pPr>
              <w:ind w:left="260"/>
              <w:spacing w:after="0"/>
              <w:rPr>
                <w:sz w:val="20"/>
                <w:szCs w:val="20"/>
                <w:color w:val="auto"/>
              </w:rPr>
            </w:pPr>
            <w:r>
              <w:rPr>
                <w:rFonts w:ascii="Arial" w:cs="Arial" w:eastAsia="Arial" w:hAnsi="Arial"/>
                <w:sz w:val="17"/>
                <w:szCs w:val="17"/>
                <w:color w:val="auto"/>
              </w:rPr>
              <w:t>Domestic manufacturing deduction</w:t>
            </w:r>
          </w:p>
        </w:tc>
        <w:tc>
          <w:tcPr>
            <w:tcW w:w="300" w:type="dxa"/>
            <w:vAlign w:val="bottom"/>
          </w:tcPr>
          <w:p>
            <w:pPr>
              <w:spacing w:after="0"/>
              <w:rPr>
                <w:sz w:val="20"/>
                <w:szCs w:val="20"/>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8"/>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4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Tax credits, net of unrecognized tax benefits</w:t>
            </w:r>
          </w:p>
        </w:tc>
        <w:tc>
          <w:tcPr>
            <w:tcW w:w="30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14"/>
        </w:trPr>
        <w:tc>
          <w:tcPr>
            <w:tcW w:w="7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260"/>
              <w:spacing w:after="0"/>
              <w:rPr>
                <w:sz w:val="20"/>
                <w:szCs w:val="20"/>
                <w:color w:val="auto"/>
              </w:rPr>
            </w:pPr>
            <w:r>
              <w:rPr>
                <w:rFonts w:ascii="Arial" w:cs="Arial" w:eastAsia="Arial" w:hAnsi="Arial"/>
                <w:sz w:val="17"/>
                <w:szCs w:val="17"/>
                <w:color w:val="auto"/>
              </w:rPr>
              <w:t>Change in unrecognized tax benefits</w:t>
            </w:r>
          </w:p>
        </w:tc>
        <w:tc>
          <w:tcPr>
            <w:tcW w:w="30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 in valuation allowance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34"/>
        </w:trPr>
        <w:tc>
          <w:tcPr>
            <w:tcW w:w="7440" w:type="dxa"/>
            <w:vAlign w:val="bottom"/>
          </w:tcPr>
          <w:p>
            <w:pPr>
              <w:ind w:left="260"/>
              <w:spacing w:after="0"/>
              <w:rPr>
                <w:sz w:val="20"/>
                <w:szCs w:val="20"/>
                <w:color w:val="auto"/>
              </w:rPr>
            </w:pPr>
            <w:r>
              <w:rPr>
                <w:rFonts w:ascii="Arial" w:cs="Arial" w:eastAsia="Arial" w:hAnsi="Arial"/>
                <w:sz w:val="17"/>
                <w:szCs w:val="17"/>
                <w:color w:val="auto"/>
              </w:rPr>
              <w:t>Foreign taxes at rates other than U.S. statutory rate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Deemed inclusions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34"/>
        </w:trPr>
        <w:tc>
          <w:tcPr>
            <w:tcW w:w="7440" w:type="dxa"/>
            <w:vAlign w:val="bottom"/>
          </w:tcPr>
          <w:p>
            <w:pPr>
              <w:ind w:left="260"/>
              <w:spacing w:after="0"/>
              <w:rPr>
                <w:sz w:val="20"/>
                <w:szCs w:val="20"/>
                <w:color w:val="auto"/>
              </w:rPr>
            </w:pPr>
            <w:r>
              <w:rPr>
                <w:rFonts w:ascii="Arial" w:cs="Arial" w:eastAsia="Arial" w:hAnsi="Arial"/>
                <w:sz w:val="17"/>
                <w:szCs w:val="17"/>
                <w:color w:val="auto"/>
              </w:rPr>
              <w:t>Global intangible low-taxed income</w:t>
            </w:r>
          </w:p>
        </w:tc>
        <w:tc>
          <w:tcPr>
            <w:tcW w:w="30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 in rates from the Tax Act &amp; other law changes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34"/>
        </w:trPr>
        <w:tc>
          <w:tcPr>
            <w:tcW w:w="7440" w:type="dxa"/>
            <w:vAlign w:val="bottom"/>
          </w:tcPr>
          <w:p>
            <w:pPr>
              <w:ind w:left="260"/>
              <w:spacing w:after="0"/>
              <w:rPr>
                <w:sz w:val="20"/>
                <w:szCs w:val="20"/>
                <w:color w:val="auto"/>
              </w:rPr>
            </w:pPr>
            <w:r>
              <w:rPr>
                <w:rFonts w:ascii="Arial" w:cs="Arial" w:eastAsia="Arial" w:hAnsi="Arial"/>
                <w:sz w:val="17"/>
                <w:szCs w:val="17"/>
                <w:color w:val="auto"/>
              </w:rPr>
              <w:t>Excess tax benefits from stock-based compensation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Miscellaneous other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47"/>
        </w:trPr>
        <w:tc>
          <w:tcPr>
            <w:tcW w:w="7440" w:type="dxa"/>
            <w:vAlign w:val="bottom"/>
          </w:tcPr>
          <w:p>
            <w:pPr>
              <w:ind w:left="40"/>
              <w:spacing w:after="0"/>
              <w:rPr>
                <w:sz w:val="20"/>
                <w:szCs w:val="20"/>
                <w:color w:val="auto"/>
              </w:rPr>
            </w:pPr>
            <w:r>
              <w:rPr>
                <w:rFonts w:ascii="Arial" w:cs="Arial" w:eastAsia="Arial" w:hAnsi="Arial"/>
                <w:sz w:val="17"/>
                <w:szCs w:val="17"/>
                <w:color w:val="auto"/>
              </w:rPr>
              <w:t>Total provision for income taxes</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99.1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107.6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156.9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17"/>
          <w:szCs w:val="17"/>
          <w:color w:val="auto"/>
        </w:rPr>
        <w:t>Deferred income taxes reflect the tax consequences on future years of temporary differences between the tax basis of assets and liabilities and their financial reporting basis and depending on the classification of the asset or liability generating the deferred tax. The deferred tax provision for the periods shown represents the effect of changes in the amounts of temporary differences during those periods.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544" w:right="239" w:bottom="1440" w:gutter="0" w:footer="0" w:header="0"/>
        </w:sectPr>
      </w:pPr>
    </w:p>
    <w:bookmarkStart w:id="70" w:name="page71"/>
    <w:bookmarkEnd w:id="70"/>
    <w:p>
      <w:pPr>
        <w:ind w:left="240"/>
        <w:spacing w:after="0"/>
        <w:rPr>
          <w:sz w:val="20"/>
          <w:szCs w:val="20"/>
          <w:color w:val="auto"/>
        </w:rPr>
      </w:pPr>
      <w:r>
        <w:rPr>
          <w:rFonts w:ascii="Arial" w:cs="Arial" w:eastAsia="Arial" w:hAnsi="Arial"/>
          <w:sz w:val="17"/>
          <w:szCs w:val="17"/>
          <w:color w:val="auto"/>
        </w:rPr>
        <w:t>Deferred tax assets (liabilities) were comprised of the following (in millions):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4"/>
          </w:tcPr>
          <w:p>
            <w:pPr>
              <w:jc w:val="right"/>
              <w:ind w:right="454"/>
              <w:spacing w:after="0"/>
              <w:rPr>
                <w:sz w:val="20"/>
                <w:szCs w:val="20"/>
                <w:color w:val="auto"/>
              </w:rPr>
            </w:pPr>
            <w:r>
              <w:rPr>
                <w:rFonts w:ascii="Arial" w:cs="Arial" w:eastAsia="Arial" w:hAnsi="Arial"/>
                <w:sz w:val="16"/>
                <w:szCs w:val="16"/>
                <w:b w:val="1"/>
                <w:bCs w:val="1"/>
                <w:color w:val="auto"/>
              </w:rPr>
              <w:t>As of December 31,</w:t>
            </w:r>
          </w:p>
        </w:tc>
      </w:tr>
      <w:tr>
        <w:trPr>
          <w:trHeight w:val="32"/>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1"/>
        </w:trPr>
        <w:tc>
          <w:tcPr>
            <w:tcW w:w="9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r>
      <w:tr>
        <w:trPr>
          <w:trHeight w:val="32"/>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Gross deferred tax assets: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Warranties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27.8</w:t>
            </w: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carryforwards (foreign, U.S. and state)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23.1</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Post-retirement and pension benefits</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22.4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21.3</w:t>
            </w: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Inventory reserves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9.3</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Receivables allowance</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3.4</w:t>
            </w: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Compensation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7.9</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Insurance liabilities</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2.9</w:t>
            </w: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Legal reserves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7.4</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Tax credits, net of federal effect</w:t>
            </w:r>
          </w:p>
        </w:tc>
        <w:tc>
          <w:tcPr>
            <w:tcW w:w="2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11.0</w:t>
            </w: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8.1</w:t>
            </w:r>
          </w:p>
        </w:tc>
      </w:tr>
      <w:tr>
        <w:trPr>
          <w:trHeight w:val="227"/>
        </w:trPr>
        <w:tc>
          <w:tcPr>
            <w:tcW w:w="9020" w:type="dxa"/>
            <w:vAlign w:val="bottom"/>
          </w:tcPr>
          <w:p>
            <w:pPr>
              <w:ind w:left="260"/>
              <w:spacing w:after="0"/>
              <w:rPr>
                <w:sz w:val="20"/>
                <w:szCs w:val="20"/>
                <w:color w:val="auto"/>
              </w:rPr>
            </w:pPr>
            <w:r>
              <w:rPr>
                <w:rFonts w:ascii="Arial" w:cs="Arial" w:eastAsia="Arial" w:hAnsi="Arial"/>
                <w:sz w:val="17"/>
                <w:szCs w:val="17"/>
                <w:color w:val="auto"/>
              </w:rPr>
              <w:t>Total deferred tax assets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116.9</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122.2</w:t>
            </w: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Valuation allowance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w:t>
            </w:r>
          </w:p>
        </w:tc>
      </w:tr>
      <w:tr>
        <w:trPr>
          <w:trHeight w:val="227"/>
        </w:trPr>
        <w:tc>
          <w:tcPr>
            <w:tcW w:w="9020" w:type="dxa"/>
            <w:vAlign w:val="bottom"/>
          </w:tcPr>
          <w:p>
            <w:pPr>
              <w:ind w:left="260"/>
              <w:spacing w:after="0"/>
              <w:rPr>
                <w:sz w:val="20"/>
                <w:szCs w:val="20"/>
                <w:color w:val="auto"/>
              </w:rPr>
            </w:pPr>
            <w:r>
              <w:rPr>
                <w:rFonts w:ascii="Arial" w:cs="Arial" w:eastAsia="Arial" w:hAnsi="Arial"/>
                <w:sz w:val="17"/>
                <w:szCs w:val="17"/>
                <w:color w:val="auto"/>
              </w:rPr>
              <w:t>Total deferred tax assets, net of valuation allowance</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92.0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96.8</w:t>
            </w: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Gross deferred tax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26"/>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34"/>
        </w:trPr>
        <w:tc>
          <w:tcPr>
            <w:tcW w:w="9020" w:type="dxa"/>
            <w:vAlign w:val="bottom"/>
          </w:tcPr>
          <w:p>
            <w:pPr>
              <w:ind w:left="4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6"/>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3"/>
        </w:trPr>
        <w:tc>
          <w:tcPr>
            <w:tcW w:w="9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deferred tax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w:t>
            </w:r>
          </w:p>
        </w:tc>
      </w:tr>
      <w:tr>
        <w:trPr>
          <w:trHeight w:val="247"/>
        </w:trPr>
        <w:tc>
          <w:tcPr>
            <w:tcW w:w="9020" w:type="dxa"/>
            <w:vAlign w:val="bottom"/>
          </w:tcPr>
          <w:p>
            <w:pPr>
              <w:ind w:left="40"/>
              <w:spacing w:after="0"/>
              <w:rPr>
                <w:sz w:val="20"/>
                <w:szCs w:val="20"/>
                <w:color w:val="auto"/>
              </w:rPr>
            </w:pPr>
            <w:r>
              <w:rPr>
                <w:rFonts w:ascii="Arial" w:cs="Arial" w:eastAsia="Arial" w:hAnsi="Arial"/>
                <w:sz w:val="17"/>
                <w:szCs w:val="17"/>
                <w:color w:val="auto"/>
              </w:rPr>
              <w:t>Net deferred tax assets</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21.5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67.0</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As of December 31, 2019 and 2018, we had $0.1 million and $0.6 million in tax-effected state net operating loss carryforwards, respectively, and $14.9 million and $12.6 million in tax-effected foreign net operating loss carryforwards, respectively. The deferred tax asset valuation allowance relates primarily to the operating loss carryforwards in European tax jurisdictions. The remainder of the valuation allowance relates to state tax credits.</w:t>
      </w:r>
    </w:p>
    <w:p>
      <w:pPr>
        <w:spacing w:after="0" w:line="17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In assessing whether a deferred tax asset will be realized, we consider whether it is more likely than not that some portion or all of the deferred tax asset will not be realized. We consider the reversal of existing taxable temporary differences, projected future taxable income and tax planning strategies in making this assessment. Based upon the level of historical taxable income and projections for future taxable income over the periods in which the deferred tax assets are deductible, we believe it is more likely than not we will realize the benefits of these deductible differences, net of the existing valuation allowances, as of December 31, 2019.</w:t>
      </w:r>
    </w:p>
    <w:p>
      <w:pPr>
        <w:spacing w:after="0" w:line="179" w:lineRule="exact"/>
        <w:rPr>
          <w:sz w:val="20"/>
          <w:szCs w:val="20"/>
          <w:color w:val="auto"/>
        </w:rPr>
      </w:pPr>
    </w:p>
    <w:p>
      <w:pPr>
        <w:jc w:val="both"/>
        <w:ind w:firstLine="234"/>
        <w:spacing w:after="0" w:line="319" w:lineRule="auto"/>
        <w:rPr>
          <w:sz w:val="20"/>
          <w:szCs w:val="20"/>
          <w:color w:val="auto"/>
        </w:rPr>
      </w:pPr>
      <w:r>
        <w:rPr>
          <w:rFonts w:ascii="Arial" w:cs="Arial" w:eastAsia="Arial" w:hAnsi="Arial"/>
          <w:sz w:val="16"/>
          <w:szCs w:val="16"/>
          <w:color w:val="auto"/>
        </w:rPr>
        <w:t>No provision was made for income taxes which may become payable upon distribution of our foreign subsidiaries’ earnings. An actual repatriation in the future from our non-U.S. subsidiaries could still be subject to foreign withholding taxes and U.S. state taxes, but we expect any amounts to be immaterial.</w:t>
      </w:r>
    </w:p>
    <w:p>
      <w:pPr>
        <w:spacing w:after="0" w:line="136"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We are currently under examination for our U.S. federal income taxes for 2019 and 2018 and are subject to examination by numerous other taxing authorities in the U.S. and foreign jurisdictions. We are generally no longer subject to U.S., state and local or non-U.S. income tax examinations by taxing authorities for years before 2012.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544"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14. Lines of Credit and Financing Arrangements:</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our outstanding debt obligations and their classification in the accompanying Consolidated Balance Sheets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1700" cy="165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172"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5443220</wp:posOffset>
            </wp:positionH>
            <wp:positionV relativeFrom="paragraph">
              <wp:posOffset>32385</wp:posOffset>
            </wp:positionV>
            <wp:extent cx="18110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11020" cy="825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454"/>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r>
      <w:tr>
        <w:trPr>
          <w:trHeight w:val="32"/>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Current maturities of long-term debt:</w:t>
            </w: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4"/>
        </w:trPr>
        <w:tc>
          <w:tcPr>
            <w:tcW w:w="8580" w:type="dxa"/>
            <w:vAlign w:val="bottom"/>
          </w:tcPr>
          <w:p>
            <w:pPr>
              <w:ind w:left="40"/>
              <w:spacing w:after="0"/>
              <w:rPr>
                <w:sz w:val="20"/>
                <w:szCs w:val="20"/>
                <w:color w:val="auto"/>
              </w:rPr>
            </w:pPr>
            <w:r>
              <w:rPr>
                <w:rFonts w:ascii="Arial" w:cs="Arial" w:eastAsia="Arial" w:hAnsi="Arial"/>
                <w:sz w:val="17"/>
                <w:szCs w:val="17"/>
                <w:color w:val="auto"/>
              </w:rPr>
              <w:t>Asset securitization program</w:t>
            </w: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285.0</w:t>
            </w:r>
          </w:p>
        </w:tc>
        <w:tc>
          <w:tcPr>
            <w:tcW w:w="10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268.0</w:t>
            </w:r>
          </w:p>
        </w:tc>
      </w:tr>
      <w:tr>
        <w:trPr>
          <w:trHeight w:val="26"/>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Finance lease obligations</w:t>
            </w: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3.5</w:t>
            </w:r>
          </w:p>
        </w:tc>
      </w:tr>
      <w:tr>
        <w:trPr>
          <w:trHeight w:val="234"/>
        </w:trPr>
        <w:tc>
          <w:tcPr>
            <w:tcW w:w="8580" w:type="dxa"/>
            <w:vAlign w:val="bottom"/>
          </w:tcPr>
          <w:p>
            <w:pPr>
              <w:ind w:left="40"/>
              <w:spacing w:after="0"/>
              <w:rPr>
                <w:sz w:val="20"/>
                <w:szCs w:val="20"/>
                <w:color w:val="auto"/>
              </w:rPr>
            </w:pPr>
            <w:r>
              <w:rPr>
                <w:rFonts w:ascii="Arial" w:cs="Arial" w:eastAsia="Arial" w:hAnsi="Arial"/>
                <w:sz w:val="17"/>
                <w:szCs w:val="17"/>
                <w:color w:val="auto"/>
              </w:rPr>
              <w:t>Domestic credit facility</w:t>
            </w:r>
          </w:p>
        </w:tc>
        <w:tc>
          <w:tcPr>
            <w:tcW w:w="48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30.0</w:t>
            </w:r>
          </w:p>
        </w:tc>
      </w:tr>
      <w:tr>
        <w:trPr>
          <w:trHeight w:val="26"/>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Debt issuance costs</w:t>
            </w: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27"/>
        </w:trPr>
        <w:tc>
          <w:tcPr>
            <w:tcW w:w="8580" w:type="dxa"/>
            <w:vAlign w:val="bottom"/>
          </w:tcPr>
          <w:p>
            <w:pPr>
              <w:ind w:left="40"/>
              <w:spacing w:after="0"/>
              <w:rPr>
                <w:sz w:val="20"/>
                <w:szCs w:val="20"/>
                <w:color w:val="auto"/>
              </w:rPr>
            </w:pPr>
            <w:r>
              <w:rPr>
                <w:rFonts w:ascii="Arial" w:cs="Arial" w:eastAsia="Arial" w:hAnsi="Arial"/>
                <w:sz w:val="17"/>
                <w:szCs w:val="17"/>
                <w:color w:val="auto"/>
              </w:rPr>
              <w:t>Total current maturities of long-term debt</w:t>
            </w:r>
          </w:p>
        </w:tc>
        <w:tc>
          <w:tcPr>
            <w:tcW w:w="480" w:type="dxa"/>
            <w:vAlign w:val="bottom"/>
            <w:tcBorders>
              <w:top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321.9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300.8</w:t>
            </w:r>
          </w:p>
        </w:tc>
      </w:tr>
      <w:tr>
        <w:trPr>
          <w:trHeight w:val="26"/>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Long-Term Debt:</w:t>
            </w: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4"/>
        </w:trPr>
        <w:tc>
          <w:tcPr>
            <w:tcW w:w="8580" w:type="dxa"/>
            <w:vAlign w:val="bottom"/>
          </w:tcPr>
          <w:p>
            <w:pPr>
              <w:ind w:left="40"/>
              <w:spacing w:after="0"/>
              <w:rPr>
                <w:sz w:val="20"/>
                <w:szCs w:val="20"/>
                <w:color w:val="auto"/>
              </w:rPr>
            </w:pPr>
            <w:r>
              <w:rPr>
                <w:rFonts w:ascii="Arial" w:cs="Arial" w:eastAsia="Arial" w:hAnsi="Arial"/>
                <w:sz w:val="17"/>
                <w:szCs w:val="17"/>
                <w:color w:val="auto"/>
              </w:rPr>
              <w:t>Finance lease obligations</w:t>
            </w:r>
          </w:p>
        </w:tc>
        <w:tc>
          <w:tcPr>
            <w:tcW w:w="48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15.7</w:t>
            </w:r>
          </w:p>
        </w:tc>
      </w:tr>
      <w:tr>
        <w:trPr>
          <w:trHeight w:val="26"/>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Domestic credit facility</w:t>
            </w: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475.5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378.0</w:t>
            </w:r>
          </w:p>
        </w:tc>
      </w:tr>
      <w:tr>
        <w:trPr>
          <w:trHeight w:val="234"/>
        </w:trPr>
        <w:tc>
          <w:tcPr>
            <w:tcW w:w="8580" w:type="dxa"/>
            <w:vAlign w:val="bottom"/>
          </w:tcPr>
          <w:p>
            <w:pPr>
              <w:ind w:left="40"/>
              <w:spacing w:after="0"/>
              <w:rPr>
                <w:sz w:val="20"/>
                <w:szCs w:val="20"/>
                <w:color w:val="auto"/>
              </w:rPr>
            </w:pPr>
            <w:r>
              <w:rPr>
                <w:rFonts w:ascii="Arial" w:cs="Arial" w:eastAsia="Arial" w:hAnsi="Arial"/>
                <w:sz w:val="17"/>
                <w:szCs w:val="17"/>
                <w:color w:val="auto"/>
              </w:rPr>
              <w:t>Senior unsecured notes</w:t>
            </w:r>
          </w:p>
        </w:tc>
        <w:tc>
          <w:tcPr>
            <w:tcW w:w="48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350.0</w:t>
            </w:r>
          </w:p>
        </w:tc>
      </w:tr>
      <w:tr>
        <w:trPr>
          <w:trHeight w:val="26"/>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Debt issuance costs</w:t>
            </w: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27"/>
        </w:trPr>
        <w:tc>
          <w:tcPr>
            <w:tcW w:w="8580" w:type="dxa"/>
            <w:vAlign w:val="bottom"/>
          </w:tcPr>
          <w:p>
            <w:pPr>
              <w:ind w:left="40"/>
              <w:spacing w:after="0"/>
              <w:rPr>
                <w:sz w:val="20"/>
                <w:szCs w:val="20"/>
                <w:color w:val="auto"/>
              </w:rPr>
            </w:pPr>
            <w:r>
              <w:rPr>
                <w:rFonts w:ascii="Arial" w:cs="Arial" w:eastAsia="Arial" w:hAnsi="Arial"/>
                <w:sz w:val="17"/>
                <w:szCs w:val="17"/>
                <w:color w:val="auto"/>
              </w:rPr>
              <w:t>Total long-term debt</w:t>
            </w:r>
          </w:p>
        </w:tc>
        <w:tc>
          <w:tcPr>
            <w:tcW w:w="480" w:type="dxa"/>
            <w:vAlign w:val="bottom"/>
            <w:tcBorders>
              <w:top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849.3</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740.5</w:t>
            </w:r>
          </w:p>
        </w:tc>
      </w:tr>
      <w:tr>
        <w:trPr>
          <w:trHeight w:val="26"/>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debt</w:t>
            </w:r>
          </w:p>
        </w:tc>
        <w:tc>
          <w:tcPr>
            <w:tcW w:w="4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1,171.2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1,041.3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04"/>
        </w:trPr>
        <w:tc>
          <w:tcPr>
            <w:tcW w:w="9060" w:type="dxa"/>
            <w:vAlign w:val="bottom"/>
            <w:gridSpan w:val="2"/>
          </w:tcPr>
          <w:p>
            <w:pPr>
              <w:ind w:left="400"/>
              <w:spacing w:after="0"/>
              <w:rPr>
                <w:sz w:val="20"/>
                <w:szCs w:val="20"/>
                <w:color w:val="auto"/>
              </w:rPr>
            </w:pPr>
            <w:r>
              <w:rPr>
                <w:rFonts w:ascii="Arial" w:cs="Arial" w:eastAsia="Arial" w:hAnsi="Arial"/>
                <w:sz w:val="17"/>
                <w:szCs w:val="17"/>
                <w:color w:val="auto"/>
                <w:w w:val="93"/>
              </w:rPr>
              <w:t>As of December 31, 2019, the aggregate amounts of required principal payments on total debt were as follows (in millions):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0"/>
        </w:trPr>
        <w:tc>
          <w:tcPr>
            <w:tcW w:w="8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2020</w:t>
            </w: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322.8</w:t>
            </w:r>
          </w:p>
        </w:tc>
      </w:tr>
      <w:tr>
        <w:trPr>
          <w:trHeight w:val="234"/>
        </w:trPr>
        <w:tc>
          <w:tcPr>
            <w:tcW w:w="8580" w:type="dxa"/>
            <w:vAlign w:val="bottom"/>
          </w:tcPr>
          <w:p>
            <w:pPr>
              <w:ind w:left="40"/>
              <w:spacing w:after="0"/>
              <w:rPr>
                <w:sz w:val="20"/>
                <w:szCs w:val="20"/>
                <w:color w:val="auto"/>
              </w:rPr>
            </w:pPr>
            <w:r>
              <w:rPr>
                <w:rFonts w:ascii="Arial" w:cs="Arial" w:eastAsia="Arial" w:hAnsi="Arial"/>
                <w:sz w:val="17"/>
                <w:szCs w:val="17"/>
                <w:color w:val="auto"/>
              </w:rPr>
              <w:t>2021</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481.9</w:t>
            </w:r>
          </w:p>
        </w:tc>
      </w:tr>
      <w:tr>
        <w:trPr>
          <w:trHeight w:val="26"/>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4.7</w:t>
            </w:r>
          </w:p>
        </w:tc>
      </w:tr>
      <w:tr>
        <w:trPr>
          <w:trHeight w:val="234"/>
        </w:trPr>
        <w:tc>
          <w:tcPr>
            <w:tcW w:w="8580" w:type="dxa"/>
            <w:vAlign w:val="bottom"/>
          </w:tcPr>
          <w:p>
            <w:pPr>
              <w:ind w:left="40"/>
              <w:spacing w:after="0"/>
              <w:rPr>
                <w:sz w:val="20"/>
                <w:szCs w:val="20"/>
                <w:color w:val="auto"/>
              </w:rPr>
            </w:pPr>
            <w:r>
              <w:rPr>
                <w:rFonts w:ascii="Arial" w:cs="Arial" w:eastAsia="Arial" w:hAnsi="Arial"/>
                <w:sz w:val="17"/>
                <w:szCs w:val="17"/>
                <w:color w:val="auto"/>
              </w:rPr>
              <w:t>2023</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352.5</w:t>
            </w:r>
          </w:p>
        </w:tc>
      </w:tr>
      <w:tr>
        <w:trPr>
          <w:trHeight w:val="26"/>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w:t>
            </w: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0.6</w:t>
            </w:r>
          </w:p>
        </w:tc>
      </w:tr>
      <w:tr>
        <w:trPr>
          <w:trHeight w:val="234"/>
        </w:trPr>
        <w:tc>
          <w:tcPr>
            <w:tcW w:w="858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11.7</w:t>
            </w: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Debt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Obligations</w:t>
      </w:r>
    </w:p>
    <w:p>
      <w:pPr>
        <w:spacing w:after="0" w:line="22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Through several of our foreign subsidiaries, we have facilities available to assist in financing seasonal borrowing needs for our foreign locations. As of December 31, 2019 or 2018, we did not have any outstanding short-term foreign obligations. Proceeds from these facilities were $5.3 million, $40.3 million and $30.4 million during the years ended December 31, 2019, 2018 and 2017, respectively. Repayments on the facilities were $5.3 million, $40.3 million and $31.9 million during the years ended December 31, 2019, 2018 and 2017,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538" w:right="239" w:bottom="1440" w:gutter="0" w:footer="0" w:header="0"/>
        </w:sectPr>
      </w:pPr>
    </w:p>
    <w:bookmarkStart w:id="72" w:name="page73"/>
    <w:bookmarkEnd w:id="72"/>
    <w:p>
      <w:pPr>
        <w:spacing w:after="0"/>
        <w:rPr>
          <w:sz w:val="20"/>
          <w:szCs w:val="20"/>
          <w:color w:val="auto"/>
        </w:rPr>
      </w:pPr>
      <w:r>
        <w:rPr>
          <w:rFonts w:ascii="Arial" w:cs="Arial" w:eastAsia="Arial" w:hAnsi="Arial"/>
          <w:sz w:val="17"/>
          <w:szCs w:val="17"/>
          <w:i w:val="1"/>
          <w:iCs w:val="1"/>
          <w:color w:val="auto"/>
        </w:rPr>
        <w:t>Asset Securitization Program</w:t>
      </w:r>
    </w:p>
    <w:p>
      <w:pPr>
        <w:spacing w:after="0" w:line="221" w:lineRule="exact"/>
        <w:rPr>
          <w:sz w:val="20"/>
          <w:szCs w:val="20"/>
          <w:color w:val="auto"/>
        </w:rPr>
      </w:pPr>
    </w:p>
    <w:p>
      <w:pPr>
        <w:jc w:val="both"/>
        <w:ind w:firstLine="234"/>
        <w:spacing w:after="0" w:line="260" w:lineRule="auto"/>
        <w:rPr>
          <w:sz w:val="20"/>
          <w:szCs w:val="20"/>
          <w:color w:val="auto"/>
        </w:rPr>
      </w:pPr>
      <w:r>
        <w:rPr>
          <w:rFonts w:ascii="Arial" w:cs="Arial" w:eastAsia="Arial" w:hAnsi="Arial"/>
          <w:sz w:val="17"/>
          <w:szCs w:val="17"/>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18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We renewed the ASP in November 2019, extending its term to November 2021 and increasing the maximum securitization amount to a range from $250.0 million to $400.0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7"/>
              </w:rPr>
              <w:t>As of December 31,</w:t>
            </w:r>
          </w:p>
        </w:tc>
        <w:tc>
          <w:tcPr>
            <w:tcW w:w="960" w:type="dxa"/>
            <w:vAlign w:val="bottom"/>
          </w:tcPr>
          <w:p>
            <w:pPr>
              <w:spacing w:after="0"/>
              <w:rPr>
                <w:sz w:val="17"/>
                <w:szCs w:val="17"/>
                <w:color w:val="auto"/>
              </w:rPr>
            </w:pPr>
          </w:p>
        </w:tc>
      </w:tr>
      <w:tr>
        <w:trPr>
          <w:trHeight w:val="32"/>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1"/>
        </w:trPr>
        <w:tc>
          <w:tcPr>
            <w:tcW w:w="8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555"/>
              <w:spacing w:after="0"/>
              <w:rPr>
                <w:sz w:val="20"/>
                <w:szCs w:val="20"/>
                <w:color w:val="auto"/>
              </w:rPr>
            </w:pPr>
            <w:r>
              <w:rPr>
                <w:rFonts w:ascii="Arial" w:cs="Arial" w:eastAsia="Arial" w:hAnsi="Arial"/>
                <w:sz w:val="16"/>
                <w:szCs w:val="16"/>
                <w:b w:val="1"/>
                <w:bCs w:val="1"/>
                <w:color w:val="auto"/>
                <w:w w:val="84"/>
              </w:rPr>
              <w:t>2018</w:t>
            </w:r>
          </w:p>
        </w:tc>
      </w:tr>
      <w:tr>
        <w:trPr>
          <w:trHeight w:val="32"/>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Eligible amount available under the ASP on qualified accounts receivable</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320.0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290.0</w:t>
            </w:r>
          </w:p>
        </w:tc>
      </w:tr>
      <w:tr>
        <w:trPr>
          <w:trHeight w:val="234"/>
        </w:trPr>
        <w:tc>
          <w:tcPr>
            <w:tcW w:w="8120" w:type="dxa"/>
            <w:vAlign w:val="bottom"/>
          </w:tcPr>
          <w:p>
            <w:pPr>
              <w:ind w:left="40"/>
              <w:spacing w:after="0"/>
              <w:rPr>
                <w:sz w:val="20"/>
                <w:szCs w:val="20"/>
                <w:color w:val="auto"/>
              </w:rPr>
            </w:pPr>
            <w:r>
              <w:rPr>
                <w:rFonts w:ascii="Arial" w:cs="Arial" w:eastAsia="Arial" w:hAnsi="Arial"/>
                <w:sz w:val="17"/>
                <w:szCs w:val="17"/>
                <w:color w:val="auto"/>
              </w:rPr>
              <w:t>Less: Beneficial interest transferred</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(285.0)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(268.0)</w:t>
            </w:r>
          </w:p>
        </w:tc>
      </w:tr>
      <w:tr>
        <w:trPr>
          <w:trHeight w:val="26"/>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Remaining amount available</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jc w:val="both"/>
        <w:ind w:firstLine="234"/>
        <w:spacing w:after="0" w:line="261" w:lineRule="auto"/>
        <w:rPr>
          <w:sz w:val="20"/>
          <w:szCs w:val="20"/>
          <w:color w:val="auto"/>
        </w:rPr>
      </w:pPr>
      <w:r>
        <w:rPr>
          <w:rFonts w:ascii="Arial" w:cs="Arial" w:eastAsia="Arial" w:hAnsi="Arial"/>
          <w:sz w:val="17"/>
          <w:szCs w:val="17"/>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0.70%. The average rates as of December 31, 2019 and 2018 were 2.51% and 3.27%, respectively. The unused fee is based on 101% of the maximum available amount less the beneficial interest transferred and is calculated at rate ranging between 0.25% and 0.35%, depending on available borrowings, throughout the term of the agreement. We recorded these fees in Interest expense, net in the accompanying Consolidated Statements of Operations.</w:t>
      </w:r>
    </w:p>
    <w:p>
      <w:pPr>
        <w:spacing w:after="0" w:line="183"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The ASP contains certain restrictive covenants relating to the quality of our accounts receivable and cross-default provisions with our Sixth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December 31, 2019, we believe we were in compliance with all covenant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Debt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Domestic Credit Facility</w:t>
      </w:r>
    </w:p>
    <w:p>
      <w:pPr>
        <w:spacing w:after="0" w:line="221" w:lineRule="exact"/>
        <w:rPr>
          <w:sz w:val="20"/>
          <w:szCs w:val="20"/>
          <w:color w:val="auto"/>
        </w:rPr>
      </w:pPr>
    </w:p>
    <w:p>
      <w:pPr>
        <w:jc w:val="both"/>
        <w:ind w:firstLine="234"/>
        <w:spacing w:after="0" w:line="261" w:lineRule="auto"/>
        <w:rPr>
          <w:sz w:val="20"/>
          <w:szCs w:val="20"/>
          <w:color w:val="auto"/>
        </w:rPr>
      </w:pPr>
      <w:r>
        <w:rPr>
          <w:rFonts w:ascii="Arial" w:cs="Arial" w:eastAsia="Arial" w:hAnsi="Arial"/>
          <w:sz w:val="17"/>
          <w:szCs w:val="17"/>
          <w:color w:val="auto"/>
        </w:rPr>
        <w:t>On January 22, 2019, we amended our Domestic Credit Facility to provide for a $350.0 million increase in revolving commitments. The Domestic Credit Facility currently consists of a $1,000.0 million unsecured revolving credit facility and a $160.0 million unsecured term loan that matures in August 2021 (the “Maturity Date”). Under our Domestic Credit Facility, we had outstanding borrowings of $505.5 million, of which $160.0 million was the term loan balance, as well as $2.4 million committed to standby letters of credit as of December 31, 2019. Subject to covenant limitations, $652.1 million was available for future borrowings. The unsecured term loan also matures on the Maturity Date and requires quarterly principal repayments of $7.5 million. The revolving credit facility includes a subfacility for swingline loans of up to $65.0 million.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544" w:right="239" w:bottom="1440" w:gutter="0" w:footer="0" w:header="0"/>
        </w:sectPr>
      </w:pPr>
    </w:p>
    <w:bookmarkStart w:id="73" w:name="page74"/>
    <w:bookmarkEnd w:id="73"/>
    <w:p>
      <w:pPr>
        <w:ind w:left="320"/>
        <w:spacing w:after="0"/>
        <w:rPr>
          <w:sz w:val="20"/>
          <w:szCs w:val="20"/>
          <w:color w:val="auto"/>
        </w:rPr>
      </w:pPr>
      <w:r>
        <w:rPr>
          <w:rFonts w:ascii="Arial" w:cs="Arial" w:eastAsia="Arial" w:hAnsi="Arial"/>
          <w:sz w:val="17"/>
          <w:szCs w:val="17"/>
          <w:color w:val="auto"/>
        </w:rPr>
        <w:t>Our weighted average borrowing rate on the facility was as follows:</w:t>
      </w:r>
    </w:p>
    <w:p>
      <w:pPr>
        <w:spacing w:after="0" w:line="181" w:lineRule="exact"/>
        <w:rPr>
          <w:sz w:val="20"/>
          <w:szCs w:val="20"/>
          <w:color w:val="auto"/>
        </w:rPr>
      </w:pPr>
    </w:p>
    <w:p>
      <w:pPr>
        <w:ind w:left="942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32385</wp:posOffset>
            </wp:positionV>
            <wp:extent cx="17360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36090" cy="825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418"/>
              <w:spacing w:after="0"/>
              <w:rPr>
                <w:sz w:val="20"/>
                <w:szCs w:val="20"/>
                <w:color w:val="auto"/>
              </w:rPr>
            </w:pPr>
            <w:r>
              <w:rPr>
                <w:rFonts w:ascii="Arial" w:cs="Arial" w:eastAsia="Arial" w:hAnsi="Arial"/>
                <w:sz w:val="16"/>
                <w:szCs w:val="16"/>
                <w:b w:val="1"/>
                <w:bCs w:val="1"/>
                <w:color w:val="auto"/>
              </w:rPr>
              <w:t>2018</w:t>
            </w:r>
          </w:p>
        </w:tc>
      </w:tr>
      <w:tr>
        <w:trPr>
          <w:trHeight w:val="32"/>
        </w:trPr>
        <w:tc>
          <w:tcPr>
            <w:tcW w:w="86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7"/>
        </w:trPr>
        <w:tc>
          <w:tcPr>
            <w:tcW w:w="9520" w:type="dxa"/>
            <w:vAlign w:val="bottom"/>
            <w:gridSpan w:val="2"/>
            <w:shd w:val="clear" w:color="auto" w:fill="CCEEFF"/>
          </w:tcPr>
          <w:p>
            <w:pPr>
              <w:jc w:val="right"/>
              <w:ind w:right="7180"/>
              <w:spacing w:after="0"/>
              <w:rPr>
                <w:sz w:val="20"/>
                <w:szCs w:val="20"/>
                <w:color w:val="auto"/>
              </w:rPr>
            </w:pPr>
            <w:r>
              <w:rPr>
                <w:rFonts w:ascii="Arial" w:cs="Arial" w:eastAsia="Arial" w:hAnsi="Arial"/>
                <w:sz w:val="17"/>
                <w:szCs w:val="17"/>
                <w:color w:val="auto"/>
                <w:w w:val="92"/>
              </w:rPr>
              <w:t>Weighted average borrowing rate</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2.93%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r>
      <w:tr>
        <w:trPr>
          <w:trHeight w:val="26"/>
        </w:trPr>
        <w:tc>
          <w:tcPr>
            <w:tcW w:w="86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52"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Interest Expense Ratio. The required ratios under our Domestic Credit Facility are detailed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Consolidated Indebtedness to Adjusted EBITDA Ratio no greater than</w:t>
            </w:r>
          </w:p>
        </w:tc>
        <w:tc>
          <w:tcPr>
            <w:tcW w:w="3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 1.0</w:t>
            </w:r>
          </w:p>
        </w:tc>
      </w:tr>
      <w:tr>
        <w:trPr>
          <w:trHeight w:val="234"/>
        </w:trPr>
        <w:tc>
          <w:tcPr>
            <w:tcW w:w="7880" w:type="dxa"/>
            <w:vAlign w:val="bottom"/>
          </w:tcPr>
          <w:p>
            <w:pPr>
              <w:ind w:left="40"/>
              <w:spacing w:after="0"/>
              <w:rPr>
                <w:sz w:val="20"/>
                <w:szCs w:val="20"/>
                <w:color w:val="auto"/>
              </w:rPr>
            </w:pPr>
            <w:r>
              <w:rPr>
                <w:rFonts w:ascii="Arial" w:cs="Arial" w:eastAsia="Arial" w:hAnsi="Arial"/>
                <w:sz w:val="17"/>
                <w:szCs w:val="17"/>
                <w:color w:val="auto"/>
              </w:rPr>
              <w:t>Cash Flow to Interest Expense Ratio no less than</w:t>
            </w:r>
          </w:p>
        </w:tc>
        <w:tc>
          <w:tcPr>
            <w:tcW w:w="3540" w:type="dxa"/>
            <w:vAlign w:val="bottom"/>
          </w:tcPr>
          <w:p>
            <w:pPr>
              <w:jc w:val="right"/>
              <w:spacing w:after="0"/>
              <w:rPr>
                <w:sz w:val="20"/>
                <w:szCs w:val="20"/>
                <w:color w:val="auto"/>
              </w:rPr>
            </w:pPr>
            <w:r>
              <w:rPr>
                <w:rFonts w:ascii="Arial" w:cs="Arial" w:eastAsia="Arial" w:hAnsi="Arial"/>
                <w:sz w:val="17"/>
                <w:szCs w:val="17"/>
                <w:color w:val="auto"/>
              </w:rPr>
              <w:t>3.0 : 1.0</w:t>
            </w:r>
          </w:p>
        </w:tc>
      </w:tr>
    </w:tbl>
    <w:p>
      <w:pPr>
        <w:spacing w:after="0" w:line="378"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67" w:lineRule="exact"/>
        <w:rPr>
          <w:sz w:val="20"/>
          <w:szCs w:val="20"/>
          <w:color w:val="auto"/>
        </w:rPr>
      </w:pPr>
    </w:p>
    <w:p>
      <w:pPr>
        <w:ind w:left="620" w:hanging="22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fail to pay any principal or interest when due on any other indebtedness or receivables securitization exceeding $75.0 million; or</w:t>
      </w:r>
    </w:p>
    <w:p>
      <w:pPr>
        <w:spacing w:after="0" w:line="117" w:lineRule="exact"/>
        <w:rPr>
          <w:rFonts w:ascii="Arial" w:cs="Arial" w:eastAsia="Arial" w:hAnsi="Arial"/>
          <w:sz w:val="17"/>
          <w:szCs w:val="17"/>
          <w:color w:val="auto"/>
        </w:rPr>
      </w:pPr>
    </w:p>
    <w:p>
      <w:pPr>
        <w:jc w:val="both"/>
        <w:ind w:left="620" w:hanging="225"/>
        <w:spacing w:after="0" w:line="271"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171"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175"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If any event of default occurs and is continuing, the administrative agent, or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 As of December 31, 2019, we believe we were in compliance with all covenant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Unsecured Notes</w:t>
      </w:r>
    </w:p>
    <w:p>
      <w:pPr>
        <w:spacing w:after="0" w:line="221" w:lineRule="exact"/>
        <w:rPr>
          <w:sz w:val="20"/>
          <w:szCs w:val="20"/>
          <w:color w:val="auto"/>
        </w:rPr>
      </w:pPr>
    </w:p>
    <w:p>
      <w:pPr>
        <w:jc w:val="both"/>
        <w:ind w:firstLine="234"/>
        <w:spacing w:after="0" w:line="260" w:lineRule="auto"/>
        <w:rPr>
          <w:sz w:val="20"/>
          <w:szCs w:val="20"/>
          <w:color w:val="auto"/>
        </w:rPr>
      </w:pPr>
      <w:r>
        <w:rPr>
          <w:rFonts w:ascii="Arial" w:cs="Arial" w:eastAsia="Arial" w:hAnsi="Arial"/>
          <w:sz w:val="17"/>
          <w:szCs w:val="17"/>
          <w:color w:val="auto"/>
        </w:rPr>
        <w:t>We issued $350.0 million of senior unsecured notes in November 2016 (the “Notes”) which will mature on November 15, 2023 with interest being paid on May 15 and November 15 at 3.00% per annum semiannually. The Notes are guaranteed, on a senior unsecured basis, by each of our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 million in principal which is then accelerated, and such acceleration is not rescinded within 30 days of the notice date. As of December 31, 2019, we believe we were in compliance with all covenant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Comprehensive Income:</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on items not reclassified in their entirety from AOCL to Net Income in the accompanying Consolidated Statements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Operations (in millions):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544" w:right="239" w:bottom="1440" w:gutter="0" w:footer="0" w:header="0"/>
        </w:sectPr>
      </w:pPr>
    </w:p>
    <w:bookmarkStart w:id="74" w:name="page75"/>
    <w:bookmarkEnd w:id="74"/>
    <w:tbl>
      <w:tblPr>
        <w:tblLayout w:type="fixed"/>
        <w:tblInd w:w="2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4"/>
          </w:tcPr>
          <w:p>
            <w:pPr>
              <w:jc w:val="right"/>
              <w:ind w:right="354"/>
              <w:spacing w:after="0"/>
              <w:rPr>
                <w:sz w:val="20"/>
                <w:szCs w:val="20"/>
                <w:color w:val="auto"/>
              </w:rPr>
            </w:pPr>
            <w:r>
              <w:rPr>
                <w:rFonts w:ascii="Arial" w:cs="Arial" w:eastAsia="Arial" w:hAnsi="Arial"/>
                <w:sz w:val="16"/>
                <w:szCs w:val="16"/>
                <w:b w:val="1"/>
                <w:bCs w:val="1"/>
                <w:color w:val="auto"/>
                <w:w w:val="93"/>
              </w:rPr>
              <w:t>For the Years Ended December 31,</w:t>
            </w:r>
          </w:p>
        </w:tc>
        <w:tc>
          <w:tcPr>
            <w:tcW w:w="1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203"/>
        </w:trPr>
        <w:tc>
          <w:tcPr>
            <w:tcW w:w="4560" w:type="dxa"/>
            <w:vAlign w:val="bottom"/>
            <w:gridSpan w:val="2"/>
          </w:tcPr>
          <w:p>
            <w:pPr>
              <w:ind w:left="20"/>
              <w:spacing w:after="0"/>
              <w:rPr>
                <w:sz w:val="20"/>
                <w:szCs w:val="20"/>
                <w:color w:val="auto"/>
              </w:rPr>
            </w:pPr>
            <w:r>
              <w:rPr>
                <w:rFonts w:ascii="Arial" w:cs="Arial" w:eastAsia="Arial" w:hAnsi="Arial"/>
                <w:sz w:val="16"/>
                <w:szCs w:val="16"/>
                <w:b w:val="1"/>
                <w:bCs w:val="1"/>
                <w:color w:val="auto"/>
              </w:rPr>
              <w:t>AOCL Component</w:t>
            </w:r>
          </w:p>
        </w:tc>
        <w:tc>
          <w:tcPr>
            <w:tcW w:w="280" w:type="dxa"/>
            <w:vAlign w:val="bottom"/>
          </w:tcPr>
          <w:p>
            <w:pPr>
              <w:spacing w:after="0"/>
              <w:rPr>
                <w:sz w:val="17"/>
                <w:szCs w:val="17"/>
                <w:color w:val="auto"/>
              </w:rPr>
            </w:pPr>
          </w:p>
        </w:tc>
        <w:tc>
          <w:tcPr>
            <w:tcW w:w="1240" w:type="dxa"/>
            <w:vAlign w:val="bottom"/>
          </w:tcPr>
          <w:p>
            <w:pPr>
              <w:jc w:val="right"/>
              <w:ind w:right="51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32"/>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6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Gains/(Losses) on cash flow hedges: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goods sold and</w:t>
            </w:r>
          </w:p>
        </w:tc>
        <w:tc>
          <w:tcPr>
            <w:tcW w:w="0" w:type="dxa"/>
            <w:vAlign w:val="bottom"/>
          </w:tcPr>
          <w:p>
            <w:pPr>
              <w:spacing w:after="0"/>
              <w:rPr>
                <w:sz w:val="1"/>
                <w:szCs w:val="1"/>
                <w:color w:val="auto"/>
              </w:rPr>
            </w:pPr>
          </w:p>
        </w:tc>
      </w:tr>
      <w:tr>
        <w:trPr>
          <w:trHeight w:val="221"/>
        </w:trPr>
        <w:tc>
          <w:tcPr>
            <w:tcW w:w="456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Derivative contracts</w:t>
            </w:r>
          </w:p>
        </w:tc>
        <w:tc>
          <w:tcPr>
            <w:tcW w:w="28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Losses (gains) and other expenses, net.</w:t>
            </w:r>
          </w:p>
        </w:tc>
        <w:tc>
          <w:tcPr>
            <w:tcW w:w="0" w:type="dxa"/>
            <w:vAlign w:val="bottom"/>
          </w:tcPr>
          <w:p>
            <w:pPr>
              <w:spacing w:after="0"/>
              <w:rPr>
                <w:sz w:val="1"/>
                <w:szCs w:val="1"/>
                <w:color w:val="auto"/>
              </w:rPr>
            </w:pPr>
          </w:p>
        </w:tc>
      </w:tr>
      <w:tr>
        <w:trPr>
          <w:trHeight w:val="214"/>
        </w:trPr>
        <w:tc>
          <w:tcPr>
            <w:tcW w:w="4560" w:type="dxa"/>
            <w:vAlign w:val="bottom"/>
            <w:tcBorders>
              <w:bottom w:val="single" w:sz="8" w:color="CCEEFF"/>
            </w:tcBorders>
            <w:gridSpan w:val="2"/>
            <w:vMerge w:val="continue"/>
            <w:shd w:val="clear" w:color="auto" w:fill="CCEEFF"/>
          </w:tcPr>
          <w:p>
            <w:pPr>
              <w:spacing w:after="0"/>
              <w:rPr>
                <w:sz w:val="18"/>
                <w:szCs w:val="18"/>
                <w:color w:val="auto"/>
              </w:rPr>
            </w:pP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12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vMerge w:val="continue"/>
            <w:shd w:val="clear" w:color="auto" w:fill="CCEEFF"/>
          </w:tcPr>
          <w:p>
            <w:pPr>
              <w:spacing w:after="0"/>
              <w:rPr>
                <w:sz w:val="18"/>
                <w:szCs w:val="18"/>
                <w:color w:val="auto"/>
              </w:rPr>
            </w:pPr>
          </w:p>
        </w:tc>
        <w:tc>
          <w:tcPr>
            <w:tcW w:w="12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gridSpan w:val="2"/>
          </w:tcPr>
          <w:p>
            <w:pPr>
              <w:ind w:left="20"/>
              <w:spacing w:after="0"/>
              <w:rPr>
                <w:sz w:val="20"/>
                <w:szCs w:val="20"/>
                <w:color w:val="auto"/>
              </w:rPr>
            </w:pPr>
            <w:r>
              <w:rPr>
                <w:rFonts w:ascii="Arial" w:cs="Arial" w:eastAsia="Arial" w:hAnsi="Arial"/>
                <w:sz w:val="17"/>
                <w:szCs w:val="17"/>
                <w:color w:val="auto"/>
              </w:rPr>
              <w:t>Income tax benefit (expense)</w:t>
            </w:r>
          </w:p>
        </w:tc>
        <w:tc>
          <w:tcPr>
            <w:tcW w:w="28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0" w:type="dxa"/>
            <w:vAlign w:val="bottom"/>
          </w:tcPr>
          <w:p>
            <w:pPr>
              <w:spacing w:after="0"/>
              <w:rPr>
                <w:sz w:val="1"/>
                <w:szCs w:val="1"/>
                <w:color w:val="auto"/>
              </w:rPr>
            </w:pPr>
          </w:p>
        </w:tc>
      </w:tr>
      <w:tr>
        <w:trPr>
          <w:trHeight w:val="26"/>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Net of tax</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Defined Benefit Plan Items: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7"/>
                <w:szCs w:val="17"/>
                <w:color w:val="auto"/>
              </w:rPr>
              <w:t>Cost of goods sold; Selling, general,</w:t>
            </w:r>
          </w:p>
        </w:tc>
        <w:tc>
          <w:tcPr>
            <w:tcW w:w="0" w:type="dxa"/>
            <w:vAlign w:val="bottom"/>
          </w:tcPr>
          <w:p>
            <w:pPr>
              <w:spacing w:after="0"/>
              <w:rPr>
                <w:sz w:val="1"/>
                <w:szCs w:val="1"/>
                <w:color w:val="auto"/>
              </w:rPr>
            </w:pPr>
          </w:p>
        </w:tc>
      </w:tr>
      <w:tr>
        <w:trPr>
          <w:trHeight w:val="208"/>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7"/>
                <w:szCs w:val="17"/>
                <w:color w:val="auto"/>
              </w:rPr>
              <w:t>administrative expenses and Other (income)</w:t>
            </w:r>
          </w:p>
        </w:tc>
        <w:tc>
          <w:tcPr>
            <w:tcW w:w="0" w:type="dxa"/>
            <w:vAlign w:val="bottom"/>
          </w:tcPr>
          <w:p>
            <w:pPr>
              <w:spacing w:after="0"/>
              <w:rPr>
                <w:sz w:val="1"/>
                <w:szCs w:val="1"/>
                <w:color w:val="auto"/>
              </w:rPr>
            </w:pPr>
          </w:p>
        </w:tc>
      </w:tr>
      <w:tr>
        <w:trPr>
          <w:trHeight w:val="221"/>
        </w:trPr>
        <w:tc>
          <w:tcPr>
            <w:tcW w:w="4560" w:type="dxa"/>
            <w:vAlign w:val="bottom"/>
            <w:gridSpan w:val="2"/>
          </w:tcPr>
          <w:p>
            <w:pPr>
              <w:ind w:left="20"/>
              <w:spacing w:after="0"/>
              <w:rPr>
                <w:sz w:val="20"/>
                <w:szCs w:val="20"/>
                <w:color w:val="auto"/>
              </w:rPr>
            </w:pPr>
            <w:r>
              <w:rPr>
                <w:rFonts w:ascii="Arial" w:cs="Arial" w:eastAsia="Arial" w:hAnsi="Arial"/>
                <w:sz w:val="17"/>
                <w:szCs w:val="17"/>
                <w:color w:val="auto"/>
              </w:rPr>
              <w:t>Pension and post-retirement benefits costs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7"/>
                <w:szCs w:val="17"/>
                <w:color w:val="auto"/>
              </w:rPr>
              <w:t>expense, net</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Pension settlements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Pension settlements</w:t>
            </w:r>
          </w:p>
        </w:tc>
        <w:tc>
          <w:tcPr>
            <w:tcW w:w="0" w:type="dxa"/>
            <w:vAlign w:val="bottom"/>
          </w:tcPr>
          <w:p>
            <w:pPr>
              <w:spacing w:after="0"/>
              <w:rPr>
                <w:sz w:val="1"/>
                <w:szCs w:val="1"/>
                <w:color w:val="auto"/>
              </w:rPr>
            </w:pPr>
          </w:p>
        </w:tc>
      </w:tr>
      <w:tr>
        <w:trPr>
          <w:trHeight w:val="234"/>
        </w:trPr>
        <w:tc>
          <w:tcPr>
            <w:tcW w:w="4560" w:type="dxa"/>
            <w:vAlign w:val="bottom"/>
            <w:gridSpan w:val="2"/>
          </w:tcPr>
          <w:p>
            <w:pPr>
              <w:ind w:left="20"/>
              <w:spacing w:after="0"/>
              <w:rPr>
                <w:sz w:val="20"/>
                <w:szCs w:val="20"/>
                <w:color w:val="auto"/>
              </w:rPr>
            </w:pPr>
            <w:r>
              <w:rPr>
                <w:rFonts w:ascii="Arial" w:cs="Arial" w:eastAsia="Arial" w:hAnsi="Arial"/>
                <w:sz w:val="17"/>
                <w:szCs w:val="17"/>
                <w:color w:val="auto"/>
              </w:rPr>
              <w:t>Income tax benefit</w:t>
            </w:r>
          </w:p>
        </w:tc>
        <w:tc>
          <w:tcPr>
            <w:tcW w:w="28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0" w:type="dxa"/>
            <w:vAlign w:val="bottom"/>
          </w:tcPr>
          <w:p>
            <w:pPr>
              <w:spacing w:after="0"/>
              <w:rPr>
                <w:sz w:val="1"/>
                <w:szCs w:val="1"/>
                <w:color w:val="auto"/>
              </w:rPr>
            </w:pPr>
          </w:p>
        </w:tc>
      </w:tr>
      <w:tr>
        <w:trPr>
          <w:trHeight w:val="26"/>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Net of tax</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Foreign currency translation adjustments: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7"/>
                <w:szCs w:val="17"/>
                <w:color w:val="auto"/>
                <w:w w:val="92"/>
              </w:rPr>
              <w:t>Loss (gain), net on sale of businesses and related</w:t>
            </w:r>
          </w:p>
        </w:tc>
        <w:tc>
          <w:tcPr>
            <w:tcW w:w="0" w:type="dxa"/>
            <w:vAlign w:val="bottom"/>
          </w:tcPr>
          <w:p>
            <w:pPr>
              <w:spacing w:after="0"/>
              <w:rPr>
                <w:sz w:val="1"/>
                <w:szCs w:val="1"/>
                <w:color w:val="auto"/>
              </w:rPr>
            </w:pPr>
          </w:p>
        </w:tc>
      </w:tr>
      <w:tr>
        <w:trPr>
          <w:trHeight w:val="221"/>
        </w:trPr>
        <w:tc>
          <w:tcPr>
            <w:tcW w:w="4560" w:type="dxa"/>
            <w:vAlign w:val="bottom"/>
            <w:gridSpan w:val="2"/>
          </w:tcPr>
          <w:p>
            <w:pPr>
              <w:ind w:left="20"/>
              <w:spacing w:after="0"/>
              <w:rPr>
                <w:sz w:val="20"/>
                <w:szCs w:val="20"/>
                <w:color w:val="auto"/>
              </w:rPr>
            </w:pPr>
            <w:r>
              <w:rPr>
                <w:rFonts w:ascii="Arial" w:cs="Arial" w:eastAsia="Arial" w:hAnsi="Arial"/>
                <w:sz w:val="17"/>
                <w:szCs w:val="17"/>
                <w:color w:val="auto"/>
              </w:rPr>
              <w:t>Foreign currency adjustments on sale of businesses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7"/>
                <w:szCs w:val="17"/>
                <w:color w:val="auto"/>
              </w:rPr>
              <w:t>property</w:t>
            </w:r>
          </w:p>
        </w:tc>
        <w:tc>
          <w:tcPr>
            <w:tcW w:w="0" w:type="dxa"/>
            <w:vAlign w:val="bottom"/>
          </w:tcPr>
          <w:p>
            <w:pPr>
              <w:spacing w:after="0"/>
              <w:rPr>
                <w:sz w:val="1"/>
                <w:szCs w:val="1"/>
                <w:color w:val="auto"/>
              </w:rPr>
            </w:pPr>
          </w:p>
        </w:tc>
      </w:tr>
      <w:tr>
        <w:trPr>
          <w:trHeight w:val="26"/>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Net of tax</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reclassifications from AOCL</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provide information on changes in AOCL, by component (net of tax), for the years ended December 31, 2019 and 2018 (in millions):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Gains (Losses) on</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Unrealized Gains</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Defined Benefit</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Foreign Currency</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0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w w:val="86"/>
              </w:rPr>
              <w:t>(Losses) on Available-</w:t>
            </w: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0"/>
              </w:rPr>
              <w:t>Translation</w:t>
            </w:r>
          </w:p>
        </w:tc>
        <w:tc>
          <w:tcPr>
            <w:tcW w:w="120" w:type="dxa"/>
            <w:vAlign w:val="bottom"/>
          </w:tcPr>
          <w:p>
            <w:pPr>
              <w:spacing w:after="0"/>
              <w:rPr>
                <w:sz w:val="12"/>
                <w:szCs w:val="12"/>
                <w:color w:val="auto"/>
              </w:rPr>
            </w:pPr>
          </w:p>
        </w:tc>
        <w:tc>
          <w:tcPr>
            <w:tcW w:w="9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6"/>
              </w:rPr>
              <w:t>Total AOCL</w:t>
            </w: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Cash Flow Hedges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7"/>
              </w:rPr>
              <w:t>for-Sale Securities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1"/>
              </w:rPr>
              <w:t>Plan Items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Adjustments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2018</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34"/>
        </w:trPr>
        <w:tc>
          <w:tcPr>
            <w:tcW w:w="5020" w:type="dxa"/>
            <w:vAlign w:val="bottom"/>
          </w:tcPr>
          <w:p>
            <w:pPr>
              <w:ind w:left="260"/>
              <w:spacing w:after="0"/>
              <w:rPr>
                <w:sz w:val="20"/>
                <w:szCs w:val="20"/>
                <w:color w:val="auto"/>
              </w:rPr>
            </w:pPr>
            <w:r>
              <w:rPr>
                <w:rFonts w:ascii="Arial" w:cs="Arial" w:eastAsia="Arial" w:hAnsi="Arial"/>
                <w:sz w:val="17"/>
                <w:szCs w:val="17"/>
                <w:color w:val="auto"/>
              </w:rPr>
              <w:t>Other comprehensive income (loss) before reclassifications</w:t>
            </w:r>
          </w:p>
        </w:tc>
        <w:tc>
          <w:tcPr>
            <w:tcW w:w="40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8"/>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Amounts reclassified from AOCL</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27"/>
        </w:trPr>
        <w:tc>
          <w:tcPr>
            <w:tcW w:w="5020" w:type="dxa"/>
            <w:vAlign w:val="bottom"/>
          </w:tcPr>
          <w:p>
            <w:pPr>
              <w:ind w:left="260"/>
              <w:spacing w:after="0"/>
              <w:rPr>
                <w:sz w:val="20"/>
                <w:szCs w:val="20"/>
                <w:color w:val="auto"/>
              </w:rPr>
            </w:pPr>
            <w:r>
              <w:rPr>
                <w:rFonts w:ascii="Arial" w:cs="Arial" w:eastAsia="Arial" w:hAnsi="Arial"/>
                <w:sz w:val="17"/>
                <w:szCs w:val="17"/>
                <w:color w:val="auto"/>
              </w:rPr>
              <w:t>Net other comprehensive (loss) income</w:t>
            </w: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73.0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2019</w:t>
            </w: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020" w:type="dxa"/>
            <w:vAlign w:val="bottom"/>
          </w:tcPr>
          <w:p>
            <w:pPr>
              <w:spacing w:after="0"/>
              <w:rPr>
                <w:sz w:val="24"/>
                <w:szCs w:val="24"/>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Gains (Losses) on</w:t>
            </w: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Unrealized Gains</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Defined Benefit</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Foreign Currency</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0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w w:val="86"/>
              </w:rPr>
              <w:t>(Losses) on Available-</w:t>
            </w: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0"/>
              </w:rPr>
              <w:t>Translation</w:t>
            </w:r>
          </w:p>
        </w:tc>
        <w:tc>
          <w:tcPr>
            <w:tcW w:w="120" w:type="dxa"/>
            <w:vAlign w:val="bottom"/>
          </w:tcPr>
          <w:p>
            <w:pPr>
              <w:spacing w:after="0"/>
              <w:rPr>
                <w:sz w:val="12"/>
                <w:szCs w:val="12"/>
                <w:color w:val="auto"/>
              </w:rPr>
            </w:pPr>
          </w:p>
        </w:tc>
        <w:tc>
          <w:tcPr>
            <w:tcW w:w="9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6"/>
              </w:rPr>
              <w:t>Total AOCL</w:t>
            </w: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Cash Flow Hedges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for-Sale Securities</w:t>
            </w:r>
          </w:p>
        </w:tc>
        <w:tc>
          <w:tcPr>
            <w:tcW w:w="16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Plan Items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Adjustments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2017</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(157.4)</w:t>
            </w:r>
          </w:p>
        </w:tc>
        <w:tc>
          <w:tcPr>
            <w:tcW w:w="0" w:type="dxa"/>
            <w:vAlign w:val="bottom"/>
          </w:tcPr>
          <w:p>
            <w:pPr>
              <w:spacing w:after="0"/>
              <w:rPr>
                <w:sz w:val="1"/>
                <w:szCs w:val="1"/>
                <w:color w:val="auto"/>
              </w:rPr>
            </w:pPr>
          </w:p>
        </w:tc>
      </w:tr>
      <w:tr>
        <w:trPr>
          <w:trHeight w:val="234"/>
        </w:trPr>
        <w:tc>
          <w:tcPr>
            <w:tcW w:w="5020" w:type="dxa"/>
            <w:vAlign w:val="bottom"/>
          </w:tcPr>
          <w:p>
            <w:pPr>
              <w:ind w:left="260"/>
              <w:spacing w:after="0"/>
              <w:rPr>
                <w:sz w:val="20"/>
                <w:szCs w:val="20"/>
                <w:color w:val="auto"/>
              </w:rPr>
            </w:pPr>
            <w:r>
              <w:rPr>
                <w:rFonts w:ascii="Arial" w:cs="Arial" w:eastAsia="Arial" w:hAnsi="Arial"/>
                <w:sz w:val="17"/>
                <w:szCs w:val="17"/>
                <w:color w:val="auto"/>
              </w:rPr>
              <w:t>Other comprehensive loss before reclassifications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Amounts reclassified from AOCI</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27"/>
        </w:trPr>
        <w:tc>
          <w:tcPr>
            <w:tcW w:w="5020" w:type="dxa"/>
            <w:vAlign w:val="bottom"/>
          </w:tcPr>
          <w:p>
            <w:pPr>
              <w:ind w:left="260"/>
              <w:spacing w:after="0"/>
              <w:rPr>
                <w:sz w:val="20"/>
                <w:szCs w:val="20"/>
                <w:color w:val="auto"/>
              </w:rPr>
            </w:pPr>
            <w:r>
              <w:rPr>
                <w:rFonts w:ascii="Arial" w:cs="Arial" w:eastAsia="Arial" w:hAnsi="Arial"/>
                <w:sz w:val="17"/>
                <w:szCs w:val="17"/>
                <w:color w:val="auto"/>
              </w:rPr>
              <w:t>Net other comprehensive (loss) income</w:t>
            </w: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2018</w:t>
            </w: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Stock-Based Compensation:</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Stock-based compensation expense related to continuing operations was included in Selling, general and administrative expenses in the accompanying</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Operations as follows (in millions):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712" w:right="239" w:bottom="1440" w:gutter="0" w:footer="0" w:header="0"/>
        </w:sectPr>
      </w:pPr>
    </w:p>
    <w:bookmarkStart w:id="75" w:name="page76"/>
    <w:bookmarkEnd w:id="75"/>
    <w:tbl>
      <w:tblPr>
        <w:tblLayout w:type="fixed"/>
        <w:tblInd w:w="2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gridSpan w:val="6"/>
          </w:tcPr>
          <w:p>
            <w:pPr>
              <w:ind w:left="20"/>
              <w:spacing w:after="0"/>
              <w:rPr>
                <w:sz w:val="20"/>
                <w:szCs w:val="20"/>
                <w:color w:val="auto"/>
              </w:rPr>
            </w:pPr>
            <w:r>
              <w:rPr>
                <w:rFonts w:ascii="Arial" w:cs="Arial" w:eastAsia="Arial" w:hAnsi="Arial"/>
                <w:sz w:val="16"/>
                <w:szCs w:val="16"/>
                <w:b w:val="1"/>
                <w:bCs w:val="1"/>
                <w:color w:val="auto"/>
                <w:w w:val="87"/>
              </w:rPr>
              <w:t>For the Years Ended December 31,</w:t>
            </w:r>
          </w:p>
        </w:tc>
        <w:tc>
          <w:tcPr>
            <w:tcW w:w="800" w:type="dxa"/>
            <w:vAlign w:val="bottom"/>
          </w:tcPr>
          <w:p>
            <w:pPr>
              <w:spacing w:after="0"/>
              <w:rPr>
                <w:sz w:val="17"/>
                <w:szCs w:val="17"/>
                <w:color w:val="auto"/>
              </w:rPr>
            </w:pPr>
          </w:p>
        </w:tc>
      </w:tr>
      <w:tr>
        <w:trPr>
          <w:trHeight w:val="32"/>
        </w:trPr>
        <w:tc>
          <w:tcPr>
            <w:tcW w:w="7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1"/>
        </w:trPr>
        <w:tc>
          <w:tcPr>
            <w:tcW w:w="7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8"/>
              <w:spacing w:after="0"/>
              <w:rPr>
                <w:sz w:val="20"/>
                <w:szCs w:val="20"/>
                <w:color w:val="auto"/>
              </w:rPr>
            </w:pPr>
            <w:r>
              <w:rPr>
                <w:rFonts w:ascii="Arial" w:cs="Arial" w:eastAsia="Arial" w:hAnsi="Arial"/>
                <w:sz w:val="16"/>
                <w:szCs w:val="16"/>
                <w:b w:val="1"/>
                <w:bCs w:val="1"/>
                <w:color w:val="auto"/>
                <w:w w:val="89"/>
              </w:rPr>
              <w:t>2017</w:t>
            </w:r>
          </w:p>
        </w:tc>
      </w:tr>
      <w:tr>
        <w:trPr>
          <w:trHeight w:val="32"/>
        </w:trPr>
        <w:tc>
          <w:tcPr>
            <w:tcW w:w="7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3"/>
        </w:trPr>
        <w:tc>
          <w:tcPr>
            <w:tcW w:w="742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Compensation expense</w:t>
            </w:r>
            <w:r>
              <w:rPr>
                <w:rFonts w:ascii="Arial" w:cs="Arial" w:eastAsia="Arial" w:hAnsi="Arial"/>
                <w:sz w:val="24"/>
                <w:szCs w:val="24"/>
                <w:color w:val="auto"/>
                <w:vertAlign w:val="superscript"/>
              </w:rPr>
              <w:t>(1)</w:t>
            </w: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21.3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26.3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24.9</w:t>
            </w:r>
          </w:p>
        </w:tc>
      </w:tr>
    </w:tbl>
    <w:p>
      <w:pPr>
        <w:spacing w:after="0" w:line="164" w:lineRule="exact"/>
        <w:rPr>
          <w:sz w:val="20"/>
          <w:szCs w:val="20"/>
          <w:color w:val="auto"/>
        </w:rPr>
      </w:pPr>
    </w:p>
    <w:p>
      <w:pPr>
        <w:ind w:left="580" w:hanging="185"/>
        <w:spacing w:after="0"/>
        <w:tabs>
          <w:tab w:leader="none" w:pos="58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Stock-based compensation expense was recorded in our Corporate and other business segment.</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Incentive Plan</w:t>
      </w:r>
    </w:p>
    <w:p>
      <w:pPr>
        <w:spacing w:after="0" w:line="22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Under the Lennox International Inc. 2019 Equity and Incentive Plan Compensation Plan, we are authorized to issue awards for 1.5 million shares of common stock. The plan provides for various long-term incentive awards, including performance share units, restricted stock units and stock appreciation rights. A description of these long-term incentive awards and related activity within each award category is provided below.</w:t>
      </w:r>
    </w:p>
    <w:p>
      <w:pPr>
        <w:spacing w:after="0" w:line="17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As of December 31, 2019, awards for 1.5 million shares of common stock had been granted, net of cancellations and repurchases, and there were 1.4 million shares available for future issuance.</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Performance Share Units</w:t>
      </w:r>
    </w:p>
    <w:p>
      <w:pPr>
        <w:spacing w:after="0" w:line="220" w:lineRule="exact"/>
        <w:rPr>
          <w:sz w:val="20"/>
          <w:szCs w:val="20"/>
          <w:color w:val="auto"/>
        </w:rPr>
      </w:pPr>
    </w:p>
    <w:p>
      <w:pPr>
        <w:jc w:val="both"/>
        <w:ind w:firstLine="234"/>
        <w:spacing w:after="0" w:line="242" w:lineRule="auto"/>
        <w:rPr>
          <w:sz w:val="20"/>
          <w:szCs w:val="20"/>
          <w:color w:val="auto"/>
        </w:rPr>
      </w:pPr>
      <w:r>
        <w:rPr>
          <w:rFonts w:ascii="Arial" w:cs="Arial" w:eastAsia="Arial" w:hAnsi="Arial"/>
          <w:sz w:val="17"/>
          <w:szCs w:val="17"/>
          <w:color w:val="auto"/>
        </w:rPr>
        <w:t>Performance share units are granted to certain employees at the discretion of the Board of Directors with a three-year performance period beginning January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of each year. Upon meeting the performance and vesting criteria, performance share units are converted to an equal number of shares of our common stock. Performance share units vest if, at the end of the three-year performance period, at least the threshold performance level has been attained. To the extent that the payout level attained is less than 100%, the difference between 100% and the units earned and distributed will be forfeited. Eligible participants may also earn additional units of our common stock, which would increase the potential payout up to 200% of the units granted, depending on LII’s performance over the three-year performance period.</w:t>
      </w:r>
    </w:p>
    <w:p>
      <w:pPr>
        <w:spacing w:after="0" w:line="196" w:lineRule="exact"/>
        <w:rPr>
          <w:sz w:val="20"/>
          <w:szCs w:val="20"/>
          <w:color w:val="auto"/>
        </w:rPr>
      </w:pPr>
    </w:p>
    <w:p>
      <w:pPr>
        <w:jc w:val="both"/>
        <w:ind w:firstLine="234"/>
        <w:spacing w:after="0" w:line="283" w:lineRule="auto"/>
        <w:rPr>
          <w:sz w:val="20"/>
          <w:szCs w:val="20"/>
          <w:color w:val="auto"/>
        </w:rPr>
      </w:pPr>
      <w:r>
        <w:rPr>
          <w:rFonts w:ascii="Arial" w:cs="Arial" w:eastAsia="Arial" w:hAnsi="Arial"/>
          <w:sz w:val="16"/>
          <w:szCs w:val="16"/>
          <w:color w:val="auto"/>
        </w:rPr>
        <w:t>Performance share units are classified as equity awards. Compensation expense is recognized on an earnings curve over the period and is based on the expected number of units to be earned and the fair value of the stock at the date of grant. The fair value of units is calculated as the average of the high and low market price of the stock on the date of grant discounted by the expected dividend rate over the service period. The number of units expected to be earned will be adjusted in future periods as necessary to reflect changes in the estimated number of award to be issued and, upon vesting, the actual number of units awarded. Our practice is to issue new shares of common stock or utilize treasury stock to satisfy performance share unit distributions.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on our performance share units: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8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60" w:type="dxa"/>
            <w:vAlign w:val="bottom"/>
          </w:tcPr>
          <w:p>
            <w:pPr>
              <w:spacing w:after="0"/>
              <w:rPr>
                <w:sz w:val="17"/>
                <w:szCs w:val="17"/>
                <w:color w:val="auto"/>
              </w:rPr>
            </w:pPr>
          </w:p>
        </w:tc>
      </w:tr>
      <w:tr>
        <w:trPr>
          <w:trHeight w:val="32"/>
        </w:trPr>
        <w:tc>
          <w:tcPr>
            <w:tcW w:w="7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1"/>
        </w:trPr>
        <w:tc>
          <w:tcPr>
            <w:tcW w:w="7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1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15"/>
              <w:spacing w:after="0"/>
              <w:rPr>
                <w:sz w:val="20"/>
                <w:szCs w:val="20"/>
                <w:color w:val="auto"/>
              </w:rPr>
            </w:pPr>
            <w:r>
              <w:rPr>
                <w:rFonts w:ascii="Arial" w:cs="Arial" w:eastAsia="Arial" w:hAnsi="Arial"/>
                <w:sz w:val="16"/>
                <w:szCs w:val="16"/>
                <w:b w:val="1"/>
                <w:bCs w:val="1"/>
                <w:color w:val="auto"/>
                <w:w w:val="95"/>
              </w:rPr>
              <w:t>2017</w:t>
            </w:r>
          </w:p>
        </w:tc>
      </w:tr>
      <w:tr>
        <w:trPr>
          <w:trHeight w:val="32"/>
        </w:trPr>
        <w:tc>
          <w:tcPr>
            <w:tcW w:w="7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Compensation expense for performance share units (in millions)</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12.2</w:t>
            </w:r>
          </w:p>
        </w:tc>
      </w:tr>
      <w:tr>
        <w:trPr>
          <w:trHeight w:val="234"/>
        </w:trPr>
        <w:tc>
          <w:tcPr>
            <w:tcW w:w="7260" w:type="dxa"/>
            <w:vAlign w:val="bottom"/>
          </w:tcPr>
          <w:p>
            <w:pPr>
              <w:ind w:left="20"/>
              <w:spacing w:after="0"/>
              <w:rPr>
                <w:sz w:val="20"/>
                <w:szCs w:val="20"/>
                <w:color w:val="auto"/>
              </w:rPr>
            </w:pPr>
            <w:r>
              <w:rPr>
                <w:rFonts w:ascii="Arial" w:cs="Arial" w:eastAsia="Arial" w:hAnsi="Arial"/>
                <w:sz w:val="17"/>
                <w:szCs w:val="17"/>
                <w:color w:val="auto"/>
              </w:rPr>
              <w:t>Weighted-average fair value of grants, per share</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97"/>
              <w:spacing w:after="0"/>
              <w:rPr>
                <w:sz w:val="20"/>
                <w:szCs w:val="20"/>
                <w:color w:val="auto"/>
              </w:rPr>
            </w:pPr>
            <w:r>
              <w:rPr>
                <w:rFonts w:ascii="Arial" w:cs="Arial" w:eastAsia="Arial" w:hAnsi="Arial"/>
                <w:sz w:val="17"/>
                <w:szCs w:val="17"/>
                <w:color w:val="auto"/>
              </w:rPr>
              <w:t>245.06</w:t>
            </w:r>
          </w:p>
        </w:tc>
        <w:tc>
          <w:tcPr>
            <w:tcW w:w="100" w:type="dxa"/>
            <w:vAlign w:val="bottom"/>
          </w:tcPr>
          <w:p>
            <w:pPr>
              <w:spacing w:after="0"/>
              <w:rPr>
                <w:sz w:val="20"/>
                <w:szCs w:val="20"/>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5"/>
              <w:spacing w:after="0"/>
              <w:rPr>
                <w:sz w:val="20"/>
                <w:szCs w:val="20"/>
                <w:color w:val="auto"/>
              </w:rPr>
            </w:pPr>
            <w:r>
              <w:rPr>
                <w:rFonts w:ascii="Arial" w:cs="Arial" w:eastAsia="Arial" w:hAnsi="Arial"/>
                <w:sz w:val="17"/>
                <w:szCs w:val="17"/>
                <w:color w:val="auto"/>
              </w:rPr>
              <w:t>204.64</w:t>
            </w:r>
          </w:p>
        </w:tc>
        <w:tc>
          <w:tcPr>
            <w:tcW w:w="100" w:type="dxa"/>
            <w:vAlign w:val="bottom"/>
          </w:tcPr>
          <w:p>
            <w:pPr>
              <w:spacing w:after="0"/>
              <w:rPr>
                <w:sz w:val="20"/>
                <w:szCs w:val="20"/>
                <w:color w:val="auto"/>
              </w:rPr>
            </w:pP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5"/>
              <w:spacing w:after="0"/>
              <w:rPr>
                <w:sz w:val="20"/>
                <w:szCs w:val="20"/>
                <w:color w:val="auto"/>
              </w:rPr>
            </w:pPr>
            <w:r>
              <w:rPr>
                <w:rFonts w:ascii="Arial" w:cs="Arial" w:eastAsia="Arial" w:hAnsi="Arial"/>
                <w:sz w:val="17"/>
                <w:szCs w:val="17"/>
                <w:color w:val="auto"/>
              </w:rPr>
              <w:t>197.54</w:t>
            </w:r>
          </w:p>
        </w:tc>
      </w:tr>
      <w:tr>
        <w:trPr>
          <w:trHeight w:val="26"/>
        </w:trPr>
        <w:tc>
          <w:tcPr>
            <w:tcW w:w="7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4"/>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Payout ratio for shares paid</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185.9%</w:t>
            </w:r>
          </w:p>
        </w:tc>
      </w:tr>
      <w:tr>
        <w:trPr>
          <w:trHeight w:val="26"/>
        </w:trPr>
        <w:tc>
          <w:tcPr>
            <w:tcW w:w="7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A summary of the status of our undistributed performance share units as of December 31, 2019, and changes during the year then ended, is presented below (in millions, except per share data):</w:t>
      </w:r>
    </w:p>
    <w:p>
      <w:pPr>
        <w:spacing w:after="0" w:line="105" w:lineRule="exact"/>
        <w:rPr>
          <w:sz w:val="20"/>
          <w:szCs w:val="20"/>
          <w:color w:val="auto"/>
        </w:rPr>
      </w:pPr>
    </w:p>
    <w:tbl>
      <w:tblPr>
        <w:tblLayout w:type="fixed"/>
        <w:tblInd w:w="128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6"/>
                <w:szCs w:val="16"/>
                <w:b w:val="1"/>
                <w:bCs w:val="1"/>
                <w:color w:val="auto"/>
                <w:w w:val="87"/>
              </w:rPr>
              <w:t>Weighted-</w:t>
            </w:r>
          </w:p>
        </w:tc>
      </w:tr>
      <w:tr>
        <w:trPr>
          <w:trHeight w:val="195"/>
        </w:trPr>
        <w:tc>
          <w:tcPr>
            <w:tcW w:w="6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Average Grant</w:t>
            </w:r>
          </w:p>
        </w:tc>
      </w:tr>
      <w:tr>
        <w:trPr>
          <w:trHeight w:val="195"/>
        </w:trPr>
        <w:tc>
          <w:tcPr>
            <w:tcW w:w="6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Date Fair Value</w:t>
            </w:r>
          </w:p>
        </w:tc>
      </w:tr>
      <w:tr>
        <w:trPr>
          <w:trHeight w:val="235"/>
        </w:trPr>
        <w:tc>
          <w:tcPr>
            <w:tcW w:w="64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 xml:space="preserve">Shares </w:t>
            </w:r>
            <w:r>
              <w:rPr>
                <w:rFonts w:ascii="Arial" w:cs="Arial" w:eastAsia="Arial" w:hAnsi="Arial"/>
                <w:sz w:val="20"/>
                <w:szCs w:val="20"/>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86"/>
              </w:rPr>
              <w:t>per Share</w:t>
            </w: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Undistributed performance share units as of December 31, 2018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8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160.69</w:t>
            </w:r>
          </w:p>
        </w:tc>
      </w:tr>
      <w:tr>
        <w:trPr>
          <w:trHeight w:val="234"/>
        </w:trPr>
        <w:tc>
          <w:tcPr>
            <w:tcW w:w="6480" w:type="dxa"/>
            <w:vAlign w:val="bottom"/>
          </w:tcPr>
          <w:p>
            <w:pPr>
              <w:ind w:left="260"/>
              <w:spacing w:after="0"/>
              <w:rPr>
                <w:sz w:val="20"/>
                <w:szCs w:val="20"/>
                <w:color w:val="auto"/>
              </w:rPr>
            </w:pPr>
            <w:r>
              <w:rPr>
                <w:rFonts w:ascii="Arial" w:cs="Arial" w:eastAsia="Arial" w:hAnsi="Arial"/>
                <w:sz w:val="17"/>
                <w:szCs w:val="17"/>
                <w:color w:val="auto"/>
              </w:rPr>
              <w:t>Distributed</w:t>
            </w:r>
          </w:p>
        </w:tc>
        <w:tc>
          <w:tcPr>
            <w:tcW w:w="11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126.31</w:t>
            </w:r>
          </w:p>
        </w:tc>
      </w:tr>
      <w:tr>
        <w:trPr>
          <w:trHeight w:val="26"/>
        </w:trPr>
        <w:tc>
          <w:tcPr>
            <w:tcW w:w="64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3"/>
        </w:trPr>
        <w:tc>
          <w:tcPr>
            <w:tcW w:w="648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Undistributed performance share units as of December 31, 2019 </w:t>
            </w:r>
            <w:r>
              <w:rPr>
                <w:rFonts w:ascii="Arial" w:cs="Arial" w:eastAsia="Arial" w:hAnsi="Arial"/>
                <w:sz w:val="24"/>
                <w:szCs w:val="24"/>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191.14</w:t>
            </w:r>
          </w:p>
        </w:tc>
      </w:tr>
    </w:tbl>
    <w:p>
      <w:pPr>
        <w:spacing w:after="0" w:line="144" w:lineRule="exact"/>
        <w:rPr>
          <w:sz w:val="20"/>
          <w:szCs w:val="20"/>
          <w:color w:val="auto"/>
        </w:rPr>
      </w:pPr>
    </w:p>
    <w:p>
      <w:pPr>
        <w:ind w:left="320" w:hanging="160"/>
        <w:spacing w:after="0" w:line="223" w:lineRule="auto"/>
        <w:tabs>
          <w:tab w:leader="none" w:pos="353" w:val="left"/>
        </w:tabs>
        <w:numPr>
          <w:ilvl w:val="0"/>
          <w:numId w:val="24"/>
        </w:numPr>
        <w:rPr>
          <w:rFonts w:ascii="Arial" w:cs="Arial" w:eastAsia="Arial" w:hAnsi="Arial"/>
          <w:sz w:val="23"/>
          <w:szCs w:val="23"/>
          <w:color w:val="auto"/>
          <w:vertAlign w:val="superscript"/>
        </w:rPr>
      </w:pPr>
      <w:r>
        <w:rPr>
          <w:rFonts w:ascii="Arial" w:cs="Arial" w:eastAsia="Arial" w:hAnsi="Arial"/>
          <w:sz w:val="17"/>
          <w:szCs w:val="17"/>
          <w:color w:val="auto"/>
        </w:rPr>
        <w:t>Undistributed performance share units include approximately 0.1 million units with a weighted-average grant date fair value of $213.73 per share that had not yet vested and 0.1 million units that have vested but were not yet distributed.</w:t>
      </w:r>
    </w:p>
    <w:p>
      <w:pPr>
        <w:spacing w:after="0" w:line="1" w:lineRule="exact"/>
        <w:rPr>
          <w:rFonts w:ascii="Arial" w:cs="Arial" w:eastAsia="Arial" w:hAnsi="Arial"/>
          <w:sz w:val="23"/>
          <w:szCs w:val="23"/>
          <w:color w:val="auto"/>
          <w:vertAlign w:val="superscript"/>
        </w:rPr>
      </w:pPr>
    </w:p>
    <w:p>
      <w:pPr>
        <w:ind w:left="340" w:hanging="180"/>
        <w:spacing w:after="0" w:line="197"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Share amounts are rounded but the balance of undistributed performance share units as of December 31, 2019 accurately reflects actual units undistributed.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712" w:right="239" w:bottom="1440" w:gutter="0" w:footer="0" w:header="0"/>
        </w:sectPr>
      </w:pPr>
    </w:p>
    <w:bookmarkStart w:id="76" w:name="page77"/>
    <w:bookmarkEnd w:id="76"/>
    <w:p>
      <w:pPr>
        <w:jc w:val="both"/>
        <w:ind w:firstLine="221"/>
        <w:spacing w:after="0" w:line="271" w:lineRule="auto"/>
        <w:rPr>
          <w:sz w:val="20"/>
          <w:szCs w:val="20"/>
          <w:color w:val="auto"/>
        </w:rPr>
      </w:pPr>
      <w:r>
        <w:rPr>
          <w:rFonts w:ascii="Arial" w:cs="Arial" w:eastAsia="Arial" w:hAnsi="Arial"/>
          <w:sz w:val="17"/>
          <w:szCs w:val="17"/>
          <w:color w:val="auto"/>
        </w:rPr>
        <w:t>As of December 31, 2019, we had $16.9 million of total unrecognized compensation cost related to non-vested performance share units that is expected to be recognized over a weighted-average period of 2.3 years. Our weighted-average estimated forfeiture rate for these performance share units was 11.0% as of December 31, 2019.</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total fair value of performance share units distributed and the resulting tax deductions to realized tax benefits were as follows (in millions):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gridSpan w:val="6"/>
          </w:tcPr>
          <w:p>
            <w:pPr>
              <w:jc w:val="right"/>
              <w:spacing w:after="0"/>
              <w:rPr>
                <w:sz w:val="20"/>
                <w:szCs w:val="20"/>
                <w:color w:val="auto"/>
              </w:rPr>
            </w:pPr>
            <w:r>
              <w:rPr>
                <w:rFonts w:ascii="Arial" w:cs="Arial" w:eastAsia="Arial" w:hAnsi="Arial"/>
                <w:sz w:val="16"/>
                <w:szCs w:val="16"/>
                <w:b w:val="1"/>
                <w:bCs w:val="1"/>
                <w:color w:val="auto"/>
                <w:w w:val="87"/>
              </w:rPr>
              <w:t>For the Years Ended December 31,</w:t>
            </w:r>
          </w:p>
        </w:tc>
        <w:tc>
          <w:tcPr>
            <w:tcW w:w="800" w:type="dxa"/>
            <w:vAlign w:val="bottom"/>
          </w:tcPr>
          <w:p>
            <w:pPr>
              <w:spacing w:after="0"/>
              <w:rPr>
                <w:sz w:val="17"/>
                <w:szCs w:val="17"/>
                <w:color w:val="auto"/>
              </w:rPr>
            </w:pPr>
          </w:p>
        </w:tc>
      </w:tr>
      <w:tr>
        <w:trPr>
          <w:trHeight w:val="32"/>
        </w:trPr>
        <w:tc>
          <w:tcPr>
            <w:tcW w:w="7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1"/>
        </w:trPr>
        <w:tc>
          <w:tcPr>
            <w:tcW w:w="7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6"/>
              <w:spacing w:after="0"/>
              <w:rPr>
                <w:sz w:val="20"/>
                <w:szCs w:val="20"/>
                <w:color w:val="auto"/>
              </w:rPr>
            </w:pPr>
            <w:r>
              <w:rPr>
                <w:rFonts w:ascii="Arial" w:cs="Arial" w:eastAsia="Arial" w:hAnsi="Arial"/>
                <w:sz w:val="16"/>
                <w:szCs w:val="16"/>
                <w:b w:val="1"/>
                <w:bCs w:val="1"/>
                <w:color w:val="auto"/>
                <w:w w:val="89"/>
              </w:rPr>
              <w:t>2017</w:t>
            </w:r>
          </w:p>
        </w:tc>
      </w:tr>
      <w:tr>
        <w:trPr>
          <w:trHeight w:val="32"/>
        </w:trPr>
        <w:tc>
          <w:tcPr>
            <w:tcW w:w="7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performance share units distributed</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6"/>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64.3</w:t>
            </w:r>
          </w:p>
        </w:tc>
      </w:tr>
      <w:tr>
        <w:trPr>
          <w:trHeight w:val="234"/>
        </w:trPr>
        <w:tc>
          <w:tcPr>
            <w:tcW w:w="7420" w:type="dxa"/>
            <w:vAlign w:val="bottom"/>
          </w:tcPr>
          <w:p>
            <w:pPr>
              <w:ind w:left="20"/>
              <w:spacing w:after="0"/>
              <w:rPr>
                <w:sz w:val="20"/>
                <w:szCs w:val="20"/>
                <w:color w:val="auto"/>
              </w:rPr>
            </w:pPr>
            <w:r>
              <w:rPr>
                <w:rFonts w:ascii="Arial" w:cs="Arial" w:eastAsia="Arial" w:hAnsi="Arial"/>
                <w:sz w:val="17"/>
                <w:szCs w:val="17"/>
                <w:color w:val="auto"/>
              </w:rPr>
              <w:t>Realized tax benefits from tax deductions</w:t>
            </w:r>
          </w:p>
        </w:tc>
        <w:tc>
          <w:tcPr>
            <w:tcW w:w="820" w:type="dxa"/>
            <w:vAlign w:val="bottom"/>
          </w:tcPr>
          <w:p>
            <w:pPr>
              <w:jc w:val="right"/>
              <w:ind w:right="636"/>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ind w:right="36"/>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0"/>
                <w:szCs w:val="20"/>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24.5</w:t>
            </w:r>
          </w:p>
        </w:tc>
      </w:tr>
    </w:tbl>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21" w:lineRule="exact"/>
        <w:rPr>
          <w:sz w:val="20"/>
          <w:szCs w:val="20"/>
          <w:color w:val="auto"/>
        </w:rPr>
      </w:pPr>
    </w:p>
    <w:p>
      <w:pPr>
        <w:jc w:val="both"/>
        <w:ind w:firstLine="234"/>
        <w:spacing w:after="0" w:line="312" w:lineRule="auto"/>
        <w:rPr>
          <w:sz w:val="20"/>
          <w:szCs w:val="20"/>
          <w:color w:val="auto"/>
        </w:rPr>
      </w:pPr>
      <w:r>
        <w:rPr>
          <w:rFonts w:ascii="Arial" w:cs="Arial" w:eastAsia="Arial" w:hAnsi="Arial"/>
          <w:sz w:val="15"/>
          <w:szCs w:val="15"/>
          <w:color w:val="auto"/>
        </w:rPr>
        <w:t>Restricted stock units are issued to attract and retain key employees. Generally, at the end of a three-year retention period, the units will vest and be distributed in shares of our common stock to the participant. Our practice is to issue new shares of common stock or utilize treasury stock to satisfy restricted stock unit vestings. Restricted stock units are classified as equity awards. The fair value of units granted is the average of the high and low market price of the stock on the date of grant discounted by the expected dividend rate over the service period. Units are amortized to compensation expense ratably over the service period.</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information on our restricted stock units (in millions, except per share data):</w:t>
      </w:r>
    </w:p>
    <w:p>
      <w:pPr>
        <w:spacing w:after="0" w:line="181" w:lineRule="exact"/>
        <w:rPr>
          <w:sz w:val="20"/>
          <w:szCs w:val="20"/>
          <w:color w:val="auto"/>
        </w:rPr>
      </w:pPr>
    </w:p>
    <w:tbl>
      <w:tblPr>
        <w:tblLayout w:type="fixed"/>
        <w:tblInd w:w="130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7"/>
          </w:tcPr>
          <w:p>
            <w:pPr>
              <w:jc w:val="right"/>
              <w:ind w:right="256"/>
              <w:spacing w:after="0"/>
              <w:rPr>
                <w:sz w:val="20"/>
                <w:szCs w:val="20"/>
                <w:color w:val="auto"/>
              </w:rPr>
            </w:pPr>
            <w:r>
              <w:rPr>
                <w:rFonts w:ascii="Arial" w:cs="Arial" w:eastAsia="Arial" w:hAnsi="Arial"/>
                <w:sz w:val="16"/>
                <w:szCs w:val="16"/>
                <w:b w:val="1"/>
                <w:bCs w:val="1"/>
                <w:color w:val="auto"/>
                <w:w w:val="93"/>
              </w:rPr>
              <w:t>For the Years Ended December 31,</w:t>
            </w:r>
          </w:p>
        </w:tc>
      </w:tr>
      <w:tr>
        <w:trPr>
          <w:trHeight w:val="32"/>
        </w:trPr>
        <w:tc>
          <w:tcPr>
            <w:tcW w:w="5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1"/>
        </w:trPr>
        <w:tc>
          <w:tcPr>
            <w:tcW w:w="5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36"/>
              <w:spacing w:after="0"/>
              <w:rPr>
                <w:sz w:val="20"/>
                <w:szCs w:val="20"/>
                <w:color w:val="auto"/>
              </w:rPr>
            </w:pPr>
            <w:r>
              <w:rPr>
                <w:rFonts w:ascii="Arial" w:cs="Arial" w:eastAsia="Arial" w:hAnsi="Arial"/>
                <w:sz w:val="16"/>
                <w:szCs w:val="16"/>
                <w:b w:val="1"/>
                <w:bCs w:val="1"/>
                <w:color w:val="auto"/>
              </w:rPr>
              <w:t>2017</w:t>
            </w:r>
          </w:p>
        </w:tc>
      </w:tr>
      <w:tr>
        <w:trPr>
          <w:trHeight w:val="32"/>
        </w:trPr>
        <w:tc>
          <w:tcPr>
            <w:tcW w:w="5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3"/>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Compensation expense for restricted stock units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34"/>
        </w:trPr>
        <w:tc>
          <w:tcPr>
            <w:tcW w:w="5800" w:type="dxa"/>
            <w:vAlign w:val="bottom"/>
          </w:tcPr>
          <w:p>
            <w:pPr>
              <w:ind w:left="20"/>
              <w:spacing w:after="0"/>
              <w:rPr>
                <w:sz w:val="20"/>
                <w:szCs w:val="20"/>
                <w:color w:val="auto"/>
              </w:rPr>
            </w:pPr>
            <w:r>
              <w:rPr>
                <w:rFonts w:ascii="Arial" w:cs="Arial" w:eastAsia="Arial" w:hAnsi="Arial"/>
                <w:sz w:val="17"/>
                <w:szCs w:val="17"/>
                <w:color w:val="auto"/>
              </w:rPr>
              <w:t>Weighted-average fair value of grants, per share</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247.02</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204.64</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197.54</w:t>
            </w:r>
          </w:p>
        </w:tc>
      </w:tr>
    </w:tbl>
    <w:p>
      <w:pPr>
        <w:spacing w:after="0" w:line="200" w:lineRule="exact"/>
        <w:rPr>
          <w:sz w:val="20"/>
          <w:szCs w:val="20"/>
          <w:color w:val="auto"/>
        </w:rPr>
      </w:pPr>
    </w:p>
    <w:p>
      <w:pPr>
        <w:spacing w:after="0" w:line="230" w:lineRule="exact"/>
        <w:rPr>
          <w:sz w:val="20"/>
          <w:szCs w:val="20"/>
          <w:color w:val="auto"/>
        </w:rPr>
      </w:pPr>
    </w:p>
    <w:p>
      <w:pPr>
        <w:ind w:firstLine="234"/>
        <w:spacing w:after="0" w:line="286" w:lineRule="auto"/>
        <w:rPr>
          <w:sz w:val="20"/>
          <w:szCs w:val="20"/>
          <w:color w:val="auto"/>
        </w:rPr>
      </w:pPr>
      <w:r>
        <w:rPr>
          <w:rFonts w:ascii="Arial" w:cs="Arial" w:eastAsia="Arial" w:hAnsi="Arial"/>
          <w:sz w:val="17"/>
          <w:szCs w:val="17"/>
          <w:color w:val="auto"/>
        </w:rPr>
        <w:t>A summary of our non-vested restricted stock units as of December 31, 2019 and changes during the year then ended is presented below (in millions, except per share data):</w:t>
      </w:r>
    </w:p>
    <w:p>
      <w:pPr>
        <w:spacing w:after="0" w:line="105" w:lineRule="exact"/>
        <w:rPr>
          <w:sz w:val="20"/>
          <w:szCs w:val="20"/>
          <w:color w:val="auto"/>
        </w:rPr>
      </w:pPr>
    </w:p>
    <w:tbl>
      <w:tblPr>
        <w:tblLayout w:type="fixed"/>
        <w:tblInd w:w="128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6"/>
              <w:spacing w:after="0"/>
              <w:rPr>
                <w:sz w:val="20"/>
                <w:szCs w:val="20"/>
                <w:color w:val="auto"/>
              </w:rPr>
            </w:pPr>
            <w:r>
              <w:rPr>
                <w:rFonts w:ascii="Arial" w:cs="Arial" w:eastAsia="Arial" w:hAnsi="Arial"/>
                <w:sz w:val="16"/>
                <w:szCs w:val="16"/>
                <w:b w:val="1"/>
                <w:bCs w:val="1"/>
                <w:color w:val="auto"/>
                <w:w w:val="87"/>
              </w:rPr>
              <w:t>Weighted-</w:t>
            </w:r>
          </w:p>
        </w:tc>
      </w:tr>
      <w:tr>
        <w:trPr>
          <w:trHeight w:val="195"/>
        </w:trPr>
        <w:tc>
          <w:tcPr>
            <w:tcW w:w="6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Average Grant</w:t>
            </w:r>
          </w:p>
        </w:tc>
      </w:tr>
      <w:tr>
        <w:trPr>
          <w:trHeight w:val="195"/>
        </w:trPr>
        <w:tc>
          <w:tcPr>
            <w:tcW w:w="6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Date Fair Value</w:t>
            </w:r>
          </w:p>
        </w:tc>
      </w:tr>
      <w:tr>
        <w:trPr>
          <w:trHeight w:val="203"/>
        </w:trPr>
        <w:tc>
          <w:tcPr>
            <w:tcW w:w="654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6"/>
              <w:spacing w:after="0"/>
              <w:rPr>
                <w:sz w:val="20"/>
                <w:szCs w:val="20"/>
                <w:color w:val="auto"/>
              </w:rPr>
            </w:pPr>
            <w:r>
              <w:rPr>
                <w:rFonts w:ascii="Arial" w:cs="Arial" w:eastAsia="Arial" w:hAnsi="Arial"/>
                <w:sz w:val="16"/>
                <w:szCs w:val="16"/>
                <w:b w:val="1"/>
                <w:bCs w:val="1"/>
                <w:color w:val="auto"/>
                <w:w w:val="89"/>
              </w:rPr>
              <w:t>per Share</w:t>
            </w:r>
          </w:p>
        </w:tc>
      </w:tr>
      <w:tr>
        <w:trPr>
          <w:trHeight w:val="32"/>
        </w:trPr>
        <w:tc>
          <w:tcPr>
            <w:tcW w:w="65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restricted stock units as of December 31, 2018</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28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182.84</w:t>
            </w:r>
          </w:p>
        </w:tc>
      </w:tr>
      <w:tr>
        <w:trPr>
          <w:trHeight w:val="234"/>
        </w:trPr>
        <w:tc>
          <w:tcPr>
            <w:tcW w:w="6540" w:type="dxa"/>
            <w:vAlign w:val="bottom"/>
          </w:tcPr>
          <w:p>
            <w:pPr>
              <w:ind w:left="260"/>
              <w:spacing w:after="0"/>
              <w:rPr>
                <w:sz w:val="20"/>
                <w:szCs w:val="20"/>
                <w:color w:val="auto"/>
              </w:rPr>
            </w:pPr>
            <w:r>
              <w:rPr>
                <w:rFonts w:ascii="Arial" w:cs="Arial" w:eastAsia="Arial" w:hAnsi="Arial"/>
                <w:sz w:val="17"/>
                <w:szCs w:val="17"/>
                <w:color w:val="auto"/>
              </w:rPr>
              <w:t>Granted</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247.02</w:t>
            </w:r>
          </w:p>
        </w:tc>
      </w:tr>
      <w:tr>
        <w:trPr>
          <w:trHeight w:val="26"/>
        </w:trPr>
        <w:tc>
          <w:tcPr>
            <w:tcW w:w="6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0"/>
        </w:trPr>
        <w:tc>
          <w:tcPr>
            <w:tcW w:w="6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Vested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150.50</w:t>
            </w:r>
          </w:p>
        </w:tc>
      </w:tr>
      <w:tr>
        <w:trPr>
          <w:trHeight w:val="234"/>
        </w:trPr>
        <w:tc>
          <w:tcPr>
            <w:tcW w:w="6540" w:type="dxa"/>
            <w:vAlign w:val="bottom"/>
          </w:tcPr>
          <w:p>
            <w:pPr>
              <w:ind w:left="260"/>
              <w:spacing w:after="0"/>
              <w:rPr>
                <w:sz w:val="20"/>
                <w:szCs w:val="20"/>
                <w:color w:val="auto"/>
              </w:rPr>
            </w:pPr>
            <w:r>
              <w:rPr>
                <w:rFonts w:ascii="Arial" w:cs="Arial" w:eastAsia="Arial" w:hAnsi="Arial"/>
                <w:sz w:val="17"/>
                <w:szCs w:val="17"/>
                <w:color w:val="auto"/>
              </w:rPr>
              <w:t>Forfeited</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65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3"/>
        </w:trPr>
        <w:tc>
          <w:tcPr>
            <w:tcW w:w="654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 xml:space="preserve">Non-vested restricted stock units as of December 31, 2019 </w:t>
            </w:r>
            <w:r>
              <w:rPr>
                <w:rFonts w:ascii="Arial" w:cs="Arial" w:eastAsia="Arial" w:hAnsi="Arial"/>
                <w:sz w:val="24"/>
                <w:szCs w:val="24"/>
                <w:color w:val="auto"/>
                <w:vertAlign w:val="superscript"/>
              </w:rPr>
              <w:t>(1)</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216.07</w:t>
            </w:r>
          </w:p>
        </w:tc>
      </w:tr>
    </w:tbl>
    <w:p>
      <w:pPr>
        <w:spacing w:after="0" w:line="200" w:lineRule="exact"/>
        <w:rPr>
          <w:sz w:val="20"/>
          <w:szCs w:val="20"/>
          <w:color w:val="auto"/>
        </w:rPr>
      </w:pPr>
    </w:p>
    <w:p>
      <w:pPr>
        <w:spacing w:after="0" w:line="204" w:lineRule="exact"/>
        <w:rPr>
          <w:sz w:val="20"/>
          <w:szCs w:val="20"/>
          <w:color w:val="auto"/>
        </w:rPr>
      </w:pPr>
    </w:p>
    <w:p>
      <w:pPr>
        <w:ind w:left="320" w:hanging="160"/>
        <w:spacing w:after="0" w:line="235" w:lineRule="auto"/>
        <w:tabs>
          <w:tab w:leader="none" w:pos="349"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As of December 31, 2019, we had $20.4 million of total unrecognized compensation cost related to non-vested restricted stock units that is expected to be recognized over a weighted-average period of 2.3 years. Our estimated forfeiture rate for restricted stock units was 14.6% as of December 31, 2019.</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total fair value of restricted stock units vested and the resulting tax deductions to realized tax benefits were as follows (in millions):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gridSpan w:val="6"/>
          </w:tcPr>
          <w:p>
            <w:pPr>
              <w:jc w:val="right"/>
              <w:spacing w:after="0"/>
              <w:rPr>
                <w:sz w:val="20"/>
                <w:szCs w:val="20"/>
                <w:color w:val="auto"/>
              </w:rPr>
            </w:pPr>
            <w:r>
              <w:rPr>
                <w:rFonts w:ascii="Arial" w:cs="Arial" w:eastAsia="Arial" w:hAnsi="Arial"/>
                <w:sz w:val="16"/>
                <w:szCs w:val="16"/>
                <w:b w:val="1"/>
                <w:bCs w:val="1"/>
                <w:color w:val="auto"/>
                <w:w w:val="87"/>
              </w:rPr>
              <w:t>For the Years Ended December 31,</w:t>
            </w:r>
          </w:p>
        </w:tc>
        <w:tc>
          <w:tcPr>
            <w:tcW w:w="800" w:type="dxa"/>
            <w:vAlign w:val="bottom"/>
          </w:tcPr>
          <w:p>
            <w:pPr>
              <w:spacing w:after="0"/>
              <w:rPr>
                <w:sz w:val="17"/>
                <w:szCs w:val="17"/>
                <w:color w:val="auto"/>
              </w:rPr>
            </w:pPr>
          </w:p>
        </w:tc>
      </w:tr>
      <w:tr>
        <w:trPr>
          <w:trHeight w:val="32"/>
        </w:trPr>
        <w:tc>
          <w:tcPr>
            <w:tcW w:w="7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1"/>
        </w:trPr>
        <w:tc>
          <w:tcPr>
            <w:tcW w:w="7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6"/>
              <w:spacing w:after="0"/>
              <w:rPr>
                <w:sz w:val="20"/>
                <w:szCs w:val="20"/>
                <w:color w:val="auto"/>
              </w:rPr>
            </w:pPr>
            <w:r>
              <w:rPr>
                <w:rFonts w:ascii="Arial" w:cs="Arial" w:eastAsia="Arial" w:hAnsi="Arial"/>
                <w:sz w:val="16"/>
                <w:szCs w:val="16"/>
                <w:b w:val="1"/>
                <w:bCs w:val="1"/>
                <w:color w:val="auto"/>
                <w:w w:val="89"/>
              </w:rPr>
              <w:t>2017</w:t>
            </w:r>
          </w:p>
        </w:tc>
      </w:tr>
      <w:tr>
        <w:trPr>
          <w:trHeight w:val="32"/>
        </w:trPr>
        <w:tc>
          <w:tcPr>
            <w:tcW w:w="7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restricted stock units vested</w:t>
            </w:r>
          </w:p>
        </w:tc>
        <w:tc>
          <w:tcPr>
            <w:tcW w:w="8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6"/>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19.0</w:t>
            </w:r>
          </w:p>
        </w:tc>
      </w:tr>
      <w:tr>
        <w:trPr>
          <w:trHeight w:val="234"/>
        </w:trPr>
        <w:tc>
          <w:tcPr>
            <w:tcW w:w="7420" w:type="dxa"/>
            <w:vAlign w:val="bottom"/>
          </w:tcPr>
          <w:p>
            <w:pPr>
              <w:ind w:left="20"/>
              <w:spacing w:after="0"/>
              <w:rPr>
                <w:sz w:val="20"/>
                <w:szCs w:val="20"/>
                <w:color w:val="auto"/>
              </w:rPr>
            </w:pPr>
            <w:r>
              <w:rPr>
                <w:rFonts w:ascii="Arial" w:cs="Arial" w:eastAsia="Arial" w:hAnsi="Arial"/>
                <w:sz w:val="17"/>
                <w:szCs w:val="17"/>
                <w:color w:val="auto"/>
              </w:rPr>
              <w:t>Realized tax benefits from tax deductions</w:t>
            </w:r>
          </w:p>
        </w:tc>
        <w:tc>
          <w:tcPr>
            <w:tcW w:w="820" w:type="dxa"/>
            <w:vAlign w:val="bottom"/>
          </w:tcPr>
          <w:p>
            <w:pPr>
              <w:spacing w:after="0"/>
              <w:rPr>
                <w:sz w:val="20"/>
                <w:szCs w:val="20"/>
                <w:color w:val="auto"/>
              </w:rPr>
            </w:pPr>
          </w:p>
        </w:tc>
        <w:tc>
          <w:tcPr>
            <w:tcW w:w="460" w:type="dxa"/>
            <w:vAlign w:val="bottom"/>
          </w:tcPr>
          <w:p>
            <w:pPr>
              <w:jc w:val="right"/>
              <w:ind w:right="36"/>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7.2</w:t>
            </w:r>
          </w:p>
        </w:tc>
      </w:tr>
    </w:tbl>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Stock appreciation rights are issued to certain key employees. Each recipient is given the “right” to receive compensation, paid in shares of our common stock, equal to the future appreciation of our common stock price. Stock appreciation rights generally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544" w:right="239" w:bottom="1440" w:gutter="0" w:footer="0" w:header="0"/>
        </w:sectPr>
      </w:pPr>
    </w:p>
    <w:bookmarkStart w:id="77" w:name="page78"/>
    <w:bookmarkEnd w:id="77"/>
    <w:p>
      <w:pPr>
        <w:jc w:val="both"/>
        <w:spacing w:after="0" w:line="286" w:lineRule="auto"/>
        <w:rPr>
          <w:sz w:val="20"/>
          <w:szCs w:val="20"/>
          <w:color w:val="auto"/>
        </w:rPr>
      </w:pPr>
      <w:r>
        <w:rPr>
          <w:rFonts w:ascii="Arial" w:cs="Arial" w:eastAsia="Arial" w:hAnsi="Arial"/>
          <w:sz w:val="17"/>
          <w:szCs w:val="17"/>
          <w:color w:val="auto"/>
        </w:rPr>
        <w:t>vest in one-third increments beginning on the first anniversary date after the grant date and expire after seven years . Our practice is to issue new shares of common stock or utilize treasury stock to satisfy the exercise of stock appreciation rights.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information on our stock appreciation rights (in millions, except per share data):</w:t>
      </w:r>
    </w:p>
    <w:p>
      <w:pPr>
        <w:spacing w:after="0" w:line="181"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7"/>
          </w:tcPr>
          <w:p>
            <w:pPr>
              <w:jc w:val="right"/>
              <w:ind w:right="256"/>
              <w:spacing w:after="0"/>
              <w:rPr>
                <w:sz w:val="20"/>
                <w:szCs w:val="20"/>
                <w:color w:val="auto"/>
              </w:rPr>
            </w:pPr>
            <w:r>
              <w:rPr>
                <w:rFonts w:ascii="Arial" w:cs="Arial" w:eastAsia="Arial" w:hAnsi="Arial"/>
                <w:sz w:val="16"/>
                <w:szCs w:val="16"/>
                <w:b w:val="1"/>
                <w:bCs w:val="1"/>
                <w:color w:val="auto"/>
                <w:w w:val="93"/>
              </w:rPr>
              <w:t>For the Years Ended December 31,</w:t>
            </w:r>
          </w:p>
        </w:tc>
      </w:tr>
      <w:tr>
        <w:trPr>
          <w:trHeight w:val="32"/>
        </w:trPr>
        <w:tc>
          <w:tcPr>
            <w:tcW w:w="5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1"/>
        </w:trPr>
        <w:tc>
          <w:tcPr>
            <w:tcW w:w="5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3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3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36"/>
              <w:spacing w:after="0"/>
              <w:rPr>
                <w:sz w:val="20"/>
                <w:szCs w:val="20"/>
                <w:color w:val="auto"/>
              </w:rPr>
            </w:pPr>
            <w:r>
              <w:rPr>
                <w:rFonts w:ascii="Arial" w:cs="Arial" w:eastAsia="Arial" w:hAnsi="Arial"/>
                <w:sz w:val="16"/>
                <w:szCs w:val="16"/>
                <w:b w:val="1"/>
                <w:bCs w:val="1"/>
                <w:color w:val="auto"/>
              </w:rPr>
              <w:t>2017</w:t>
            </w:r>
          </w:p>
        </w:tc>
      </w:tr>
      <w:tr>
        <w:trPr>
          <w:trHeight w:val="32"/>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Compensation expense for stock appreciation rights</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34"/>
        </w:trPr>
        <w:tc>
          <w:tcPr>
            <w:tcW w:w="5580" w:type="dxa"/>
            <w:vAlign w:val="bottom"/>
          </w:tcPr>
          <w:p>
            <w:pPr>
              <w:ind w:left="20"/>
              <w:spacing w:after="0"/>
              <w:rPr>
                <w:sz w:val="20"/>
                <w:szCs w:val="20"/>
                <w:color w:val="auto"/>
              </w:rPr>
            </w:pPr>
            <w:r>
              <w:rPr>
                <w:rFonts w:ascii="Arial" w:cs="Arial" w:eastAsia="Arial" w:hAnsi="Arial"/>
                <w:sz w:val="17"/>
                <w:szCs w:val="17"/>
                <w:color w:val="auto"/>
              </w:rPr>
              <w:t>Weighted-average fair value of grants, per share</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35.57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32.32</w:t>
            </w:r>
          </w:p>
        </w:tc>
      </w:tr>
    </w:tbl>
    <w:p>
      <w:pPr>
        <w:spacing w:after="0" w:line="200" w:lineRule="exact"/>
        <w:rPr>
          <w:sz w:val="20"/>
          <w:szCs w:val="20"/>
          <w:color w:val="auto"/>
        </w:rPr>
      </w:pP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Compensation expense for stock appreciation rights is based on the fair value on the date of grant, estimated using the Black-Scholes-Merton valuation model, and is recognized over the service period. We used historical stock price data to estimate the expected volatility. We determined that the recipients of stock appreciation rights can be combined into one employee group that has similar historical exercise behavior and we used our historical pattern of award exercises to estimate the expected life of the awards for the employee group. The risk-free interest rate was based on the zero-coupon U.S. Treasury yield curve with a maturity equal to the expected life of the awards at the time of grant.</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fair value of the stock appreciation rights granted in 2019, 2018 and 2017 were estimated on the date of grant using the following assumptions: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1300" w:type="dxa"/>
            <w:vAlign w:val="bottom"/>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1300" w:type="dxa"/>
            <w:vAlign w:val="bottom"/>
          </w:tcPr>
          <w:p>
            <w:pPr>
              <w:jc w:val="right"/>
              <w:ind w:right="41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320" w:type="dxa"/>
            <w:vAlign w:val="bottom"/>
          </w:tcPr>
          <w:p>
            <w:pPr>
              <w:jc w:val="right"/>
              <w:ind w:right="415"/>
              <w:spacing w:after="0"/>
              <w:rPr>
                <w:sz w:val="20"/>
                <w:szCs w:val="20"/>
                <w:color w:val="auto"/>
              </w:rPr>
            </w:pPr>
            <w:r>
              <w:rPr>
                <w:rFonts w:ascii="Arial" w:cs="Arial" w:eastAsia="Arial" w:hAnsi="Arial"/>
                <w:sz w:val="16"/>
                <w:szCs w:val="16"/>
                <w:b w:val="1"/>
                <w:bCs w:val="1"/>
                <w:color w:val="auto"/>
              </w:rPr>
              <w:t>2017</w:t>
            </w:r>
          </w:p>
        </w:tc>
      </w:tr>
      <w:tr>
        <w:trPr>
          <w:trHeight w:val="32"/>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dividend yield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w:t>
            </w:r>
          </w:p>
        </w:tc>
      </w:tr>
      <w:tr>
        <w:trPr>
          <w:trHeight w:val="234"/>
        </w:trPr>
        <w:tc>
          <w:tcPr>
            <w:tcW w:w="728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300" w:type="dxa"/>
            <w:vAlign w:val="bottom"/>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26"/>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21.23%</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19.97%</w:t>
            </w:r>
          </w:p>
        </w:tc>
      </w:tr>
      <w:tr>
        <w:trPr>
          <w:trHeight w:val="234"/>
        </w:trPr>
        <w:tc>
          <w:tcPr>
            <w:tcW w:w="7280" w:type="dxa"/>
            <w:vAlign w:val="bottom"/>
          </w:tcPr>
          <w:p>
            <w:pPr>
              <w:ind w:left="20"/>
              <w:spacing w:after="0"/>
              <w:rPr>
                <w:sz w:val="20"/>
                <w:szCs w:val="20"/>
                <w:color w:val="auto"/>
              </w:rPr>
            </w:pPr>
            <w:r>
              <w:rPr>
                <w:rFonts w:ascii="Arial" w:cs="Arial" w:eastAsia="Arial" w:hAnsi="Arial"/>
                <w:sz w:val="17"/>
                <w:szCs w:val="17"/>
                <w:color w:val="auto"/>
              </w:rPr>
              <w:t>Expected life (in years)</w:t>
            </w:r>
          </w:p>
        </w:tc>
        <w:tc>
          <w:tcPr>
            <w:tcW w:w="1300" w:type="dxa"/>
            <w:vAlign w:val="bottom"/>
          </w:tcPr>
          <w:p>
            <w:pPr>
              <w:jc w:val="right"/>
              <w:ind w:right="115"/>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20"/>
                <w:szCs w:val="20"/>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20"/>
                <w:szCs w:val="20"/>
                <w:color w:val="auto"/>
              </w:rPr>
            </w:pPr>
          </w:p>
        </w:tc>
        <w:tc>
          <w:tcPr>
            <w:tcW w:w="1320" w:type="dxa"/>
            <w:vAlign w:val="bottom"/>
          </w:tcPr>
          <w:p>
            <w:pPr>
              <w:jc w:val="right"/>
              <w:ind w:right="95"/>
              <w:spacing w:after="0"/>
              <w:rPr>
                <w:sz w:val="20"/>
                <w:szCs w:val="20"/>
                <w:color w:val="auto"/>
              </w:rPr>
            </w:pPr>
            <w:r>
              <w:rPr>
                <w:rFonts w:ascii="Arial" w:cs="Arial" w:eastAsia="Arial" w:hAnsi="Arial"/>
                <w:sz w:val="17"/>
                <w:szCs w:val="17"/>
                <w:color w:val="auto"/>
              </w:rPr>
              <w:t>3.95</w:t>
            </w:r>
          </w:p>
        </w:tc>
      </w:tr>
    </w:tbl>
    <w:p>
      <w:pPr>
        <w:spacing w:after="0" w:line="200" w:lineRule="exact"/>
        <w:rPr>
          <w:sz w:val="20"/>
          <w:szCs w:val="20"/>
          <w:color w:val="auto"/>
        </w:rPr>
      </w:pPr>
    </w:p>
    <w:p>
      <w:pPr>
        <w:spacing w:after="0" w:line="230" w:lineRule="exact"/>
        <w:rPr>
          <w:sz w:val="20"/>
          <w:szCs w:val="20"/>
          <w:color w:val="auto"/>
        </w:rPr>
      </w:pPr>
    </w:p>
    <w:p>
      <w:pPr>
        <w:ind w:right="100" w:firstLine="234"/>
        <w:spacing w:after="0" w:line="286" w:lineRule="auto"/>
        <w:rPr>
          <w:sz w:val="20"/>
          <w:szCs w:val="20"/>
          <w:color w:val="auto"/>
        </w:rPr>
      </w:pPr>
      <w:r>
        <w:rPr>
          <w:rFonts w:ascii="Arial" w:cs="Arial" w:eastAsia="Arial" w:hAnsi="Arial"/>
          <w:sz w:val="17"/>
          <w:szCs w:val="17"/>
          <w:color w:val="auto"/>
        </w:rPr>
        <w:t>A summary of our stock appreciation rights as of December 31, 2019, and changes during the year then ended, is presented below (in millions, except per share data):</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Weighted-Average</w:t>
            </w:r>
          </w:p>
        </w:tc>
      </w:tr>
      <w:tr>
        <w:trPr>
          <w:trHeight w:val="195"/>
        </w:trPr>
        <w:tc>
          <w:tcPr>
            <w:tcW w:w="8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36"/>
              <w:spacing w:after="0"/>
              <w:rPr>
                <w:sz w:val="20"/>
                <w:szCs w:val="20"/>
                <w:color w:val="auto"/>
              </w:rPr>
            </w:pPr>
            <w:r>
              <w:rPr>
                <w:rFonts w:ascii="Arial" w:cs="Arial" w:eastAsia="Arial" w:hAnsi="Arial"/>
                <w:sz w:val="16"/>
                <w:szCs w:val="16"/>
                <w:b w:val="1"/>
                <w:bCs w:val="1"/>
                <w:color w:val="auto"/>
                <w:w w:val="86"/>
              </w:rPr>
              <w:t>Exercise Price per</w:t>
            </w:r>
          </w:p>
        </w:tc>
      </w:tr>
      <w:tr>
        <w:trPr>
          <w:trHeight w:val="203"/>
        </w:trPr>
        <w:tc>
          <w:tcPr>
            <w:tcW w:w="8440" w:type="dxa"/>
            <w:vAlign w:val="bottom"/>
          </w:tcPr>
          <w:p>
            <w:pPr>
              <w:spacing w:after="0"/>
              <w:rPr>
                <w:sz w:val="17"/>
                <w:szCs w:val="17"/>
                <w:color w:val="auto"/>
              </w:rPr>
            </w:pPr>
          </w:p>
        </w:tc>
        <w:tc>
          <w:tcPr>
            <w:tcW w:w="960" w:type="dxa"/>
            <w:vAlign w:val="bottom"/>
          </w:tcPr>
          <w:p>
            <w:pPr>
              <w:ind w:left="460"/>
              <w:spacing w:after="0"/>
              <w:rPr>
                <w:sz w:val="20"/>
                <w:szCs w:val="20"/>
                <w:color w:val="auto"/>
              </w:rPr>
            </w:pPr>
            <w:r>
              <w:rPr>
                <w:rFonts w:ascii="Arial" w:cs="Arial" w:eastAsia="Arial" w:hAnsi="Arial"/>
                <w:sz w:val="16"/>
                <w:szCs w:val="16"/>
                <w:b w:val="1"/>
                <w:bCs w:val="1"/>
                <w:color w:val="auto"/>
                <w:w w:val="89"/>
              </w:rPr>
              <w:t>Shares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Share</w:t>
            </w:r>
          </w:p>
        </w:tc>
      </w:tr>
      <w:tr>
        <w:trPr>
          <w:trHeight w:val="32"/>
        </w:trPr>
        <w:tc>
          <w:tcPr>
            <w:tcW w:w="84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stock appreciation rights as of December 31, 2018</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148.98</w:t>
            </w:r>
          </w:p>
        </w:tc>
      </w:tr>
      <w:tr>
        <w:trPr>
          <w:trHeight w:val="234"/>
        </w:trPr>
        <w:tc>
          <w:tcPr>
            <w:tcW w:w="9400" w:type="dxa"/>
            <w:vAlign w:val="bottom"/>
            <w:gridSpan w:val="2"/>
          </w:tcPr>
          <w:p>
            <w:pPr>
              <w:ind w:left="260"/>
              <w:spacing w:after="0"/>
              <w:rPr>
                <w:sz w:val="20"/>
                <w:szCs w:val="20"/>
                <w:color w:val="auto"/>
              </w:rPr>
            </w:pPr>
            <w:r>
              <w:rPr>
                <w:rFonts w:ascii="Arial" w:cs="Arial" w:eastAsia="Arial" w:hAnsi="Arial"/>
                <w:sz w:val="17"/>
                <w:szCs w:val="17"/>
                <w:color w:val="auto"/>
              </w:rPr>
              <w:t>Granted</w:t>
            </w:r>
          </w:p>
        </w:tc>
        <w:tc>
          <w:tcPr>
            <w:tcW w:w="420" w:type="dxa"/>
            <w:vAlign w:val="bottom"/>
          </w:tcPr>
          <w:p>
            <w:pPr>
              <w:jc w:val="right"/>
              <w:ind w:right="33"/>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257.08</w:t>
            </w:r>
          </w:p>
        </w:tc>
      </w:tr>
      <w:tr>
        <w:trPr>
          <w:trHeight w:val="26"/>
        </w:trPr>
        <w:tc>
          <w:tcPr>
            <w:tcW w:w="8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0"/>
        </w:trPr>
        <w:tc>
          <w:tcPr>
            <w:tcW w:w="8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Exercised</w:t>
            </w:r>
          </w:p>
        </w:tc>
        <w:tc>
          <w:tcPr>
            <w:tcW w:w="9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100.75</w:t>
            </w:r>
          </w:p>
        </w:tc>
      </w:tr>
      <w:tr>
        <w:trPr>
          <w:trHeight w:val="227"/>
        </w:trPr>
        <w:tc>
          <w:tcPr>
            <w:tcW w:w="8440" w:type="dxa"/>
            <w:vAlign w:val="bottom"/>
          </w:tcPr>
          <w:p>
            <w:pPr>
              <w:ind w:left="20"/>
              <w:spacing w:after="0"/>
              <w:rPr>
                <w:sz w:val="20"/>
                <w:szCs w:val="20"/>
                <w:color w:val="auto"/>
              </w:rPr>
            </w:pPr>
            <w:r>
              <w:rPr>
                <w:rFonts w:ascii="Arial" w:cs="Arial" w:eastAsia="Arial" w:hAnsi="Arial"/>
                <w:sz w:val="17"/>
                <w:szCs w:val="17"/>
                <w:color w:val="auto"/>
              </w:rPr>
              <w:t>Outstanding stock appreciation rights as of December 31, 2019</w:t>
            </w: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0.8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181.15</w:t>
            </w:r>
          </w:p>
        </w:tc>
      </w:tr>
      <w:tr>
        <w:trPr>
          <w:trHeight w:val="26"/>
        </w:trPr>
        <w:tc>
          <w:tcPr>
            <w:tcW w:w="84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7"/>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Exercisable stock appreciation rights as of December 31, 2019</w:t>
            </w: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152.28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following table summarizes information about stock appreciation rights outstanding as of December 31, 2019 (in millions, except per share data and years):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6"/>
          </w:tcPr>
          <w:p>
            <w:pPr>
              <w:ind w:left="940"/>
              <w:spacing w:after="0"/>
              <w:rPr>
                <w:sz w:val="20"/>
                <w:szCs w:val="20"/>
                <w:color w:val="auto"/>
              </w:rPr>
            </w:pPr>
            <w:r>
              <w:rPr>
                <w:rFonts w:ascii="Arial" w:cs="Arial" w:eastAsia="Arial" w:hAnsi="Arial"/>
                <w:sz w:val="16"/>
                <w:szCs w:val="16"/>
                <w:b w:val="1"/>
                <w:bCs w:val="1"/>
                <w:color w:val="auto"/>
              </w:rPr>
              <w:t>Stock Appreciation Rights Outstanding</w:t>
            </w:r>
          </w:p>
        </w:tc>
        <w:tc>
          <w:tcPr>
            <w:tcW w:w="4380" w:type="dxa"/>
            <w:vAlign w:val="bottom"/>
            <w:gridSpan w:val="5"/>
          </w:tcPr>
          <w:p>
            <w:pPr>
              <w:jc w:val="center"/>
              <w:spacing w:after="0"/>
              <w:rPr>
                <w:sz w:val="20"/>
                <w:szCs w:val="20"/>
                <w:color w:val="auto"/>
              </w:rPr>
            </w:pPr>
            <w:r>
              <w:rPr>
                <w:rFonts w:ascii="Arial" w:cs="Arial" w:eastAsia="Arial" w:hAnsi="Arial"/>
                <w:sz w:val="16"/>
                <w:szCs w:val="16"/>
                <w:b w:val="1"/>
                <w:bCs w:val="1"/>
                <w:color w:val="auto"/>
                <w:w w:val="87"/>
              </w:rPr>
              <w:t>Stock Appreciation Rights Exercisable</w:t>
            </w:r>
          </w:p>
        </w:tc>
        <w:tc>
          <w:tcPr>
            <w:tcW w:w="0" w:type="dxa"/>
            <w:vAlign w:val="bottom"/>
          </w:tcPr>
          <w:p>
            <w:pPr>
              <w:spacing w:after="0"/>
              <w:rPr>
                <w:sz w:val="1"/>
                <w:szCs w:val="1"/>
                <w:color w:val="auto"/>
              </w:rPr>
            </w:pPr>
          </w:p>
        </w:tc>
      </w:tr>
      <w:tr>
        <w:trPr>
          <w:trHeight w:val="32"/>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18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Shares</w:t>
            </w:r>
          </w:p>
        </w:tc>
        <w:tc>
          <w:tcPr>
            <w:tcW w:w="2140" w:type="dxa"/>
            <w:vAlign w:val="bottom"/>
            <w:gridSpan w:val="2"/>
          </w:tcPr>
          <w:p>
            <w:pPr>
              <w:ind w:left="160"/>
              <w:spacing w:after="0" w:line="140" w:lineRule="exact"/>
              <w:rPr>
                <w:sz w:val="20"/>
                <w:szCs w:val="20"/>
                <w:color w:val="auto"/>
              </w:rPr>
            </w:pPr>
            <w:r>
              <w:rPr>
                <w:rFonts w:ascii="Arial" w:cs="Arial" w:eastAsia="Arial" w:hAnsi="Arial"/>
                <w:sz w:val="14"/>
                <w:szCs w:val="14"/>
                <w:b w:val="1"/>
                <w:bCs w:val="1"/>
                <w:color w:val="auto"/>
                <w:w w:val="98"/>
              </w:rPr>
              <w:t>Weighted-Average Remaining</w:t>
            </w:r>
          </w:p>
        </w:tc>
        <w:tc>
          <w:tcPr>
            <w:tcW w:w="140" w:type="dxa"/>
            <w:vAlign w:val="bottom"/>
          </w:tcPr>
          <w:p>
            <w:pPr>
              <w:spacing w:after="0"/>
              <w:rPr>
                <w:sz w:val="12"/>
                <w:szCs w:val="12"/>
                <w:color w:val="auto"/>
              </w:rPr>
            </w:pPr>
          </w:p>
        </w:tc>
        <w:tc>
          <w:tcPr>
            <w:tcW w:w="1160" w:type="dxa"/>
            <w:vAlign w:val="bottom"/>
            <w:gridSpan w:val="2"/>
          </w:tcPr>
          <w:p>
            <w:pPr>
              <w:ind w:left="140"/>
              <w:spacing w:after="0" w:line="140" w:lineRule="exact"/>
              <w:rPr>
                <w:sz w:val="20"/>
                <w:szCs w:val="20"/>
                <w:color w:val="auto"/>
              </w:rPr>
            </w:pPr>
            <w:r>
              <w:rPr>
                <w:rFonts w:ascii="Arial" w:cs="Arial" w:eastAsia="Arial" w:hAnsi="Arial"/>
                <w:sz w:val="14"/>
                <w:szCs w:val="14"/>
                <w:b w:val="1"/>
                <w:bCs w:val="1"/>
                <w:color w:val="auto"/>
              </w:rPr>
              <w:t>Aggregate</w:t>
            </w:r>
          </w:p>
        </w:tc>
        <w:tc>
          <w:tcPr>
            <w:tcW w:w="1140" w:type="dxa"/>
            <w:vAlign w:val="bottom"/>
            <w:vMerge w:val="restart"/>
          </w:tcPr>
          <w:p>
            <w:pPr>
              <w:jc w:val="right"/>
              <w:ind w:right="197"/>
              <w:spacing w:after="0"/>
              <w:rPr>
                <w:sz w:val="20"/>
                <w:szCs w:val="20"/>
                <w:color w:val="auto"/>
              </w:rPr>
            </w:pPr>
            <w:r>
              <w:rPr>
                <w:rFonts w:ascii="Arial" w:cs="Arial" w:eastAsia="Arial" w:hAnsi="Arial"/>
                <w:sz w:val="16"/>
                <w:szCs w:val="16"/>
                <w:b w:val="1"/>
                <w:bCs w:val="1"/>
                <w:color w:val="auto"/>
              </w:rPr>
              <w:t xml:space="preserve">Shares </w:t>
            </w:r>
            <w:r>
              <w:rPr>
                <w:rFonts w:ascii="Arial" w:cs="Arial" w:eastAsia="Arial" w:hAnsi="Arial"/>
                <w:sz w:val="20"/>
                <w:szCs w:val="20"/>
                <w:b w:val="1"/>
                <w:bCs w:val="1"/>
                <w:color w:val="auto"/>
                <w:vertAlign w:val="superscript"/>
              </w:rPr>
              <w:t>(1)</w:t>
            </w:r>
          </w:p>
        </w:tc>
        <w:tc>
          <w:tcPr>
            <w:tcW w:w="212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9"/>
              </w:rPr>
              <w:t>Weighted-Average Remaining</w:t>
            </w:r>
          </w:p>
        </w:tc>
        <w:tc>
          <w:tcPr>
            <w:tcW w:w="100" w:type="dxa"/>
            <w:vAlign w:val="bottom"/>
          </w:tcPr>
          <w:p>
            <w:pPr>
              <w:spacing w:after="0"/>
              <w:rPr>
                <w:sz w:val="12"/>
                <w:szCs w:val="12"/>
                <w:color w:val="auto"/>
              </w:rPr>
            </w:pPr>
          </w:p>
        </w:tc>
        <w:tc>
          <w:tcPr>
            <w:tcW w:w="1020" w:type="dxa"/>
            <w:vAlign w:val="bottom"/>
          </w:tcPr>
          <w:p>
            <w:pPr>
              <w:jc w:val="right"/>
              <w:ind w:right="180"/>
              <w:spacing w:after="0" w:line="140"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Contractual Term (in years)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Intrinsic Value</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Contractual Life (in years)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233"/>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$81.11 to $131.94</w:t>
            </w: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0.2</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28.3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0.2</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34"/>
        </w:trPr>
        <w:tc>
          <w:tcPr>
            <w:tcW w:w="2400" w:type="dxa"/>
            <w:vAlign w:val="bottom"/>
            <w:gridSpan w:val="2"/>
          </w:tcPr>
          <w:p>
            <w:pPr>
              <w:ind w:left="20"/>
              <w:spacing w:after="0"/>
              <w:rPr>
                <w:sz w:val="20"/>
                <w:szCs w:val="20"/>
                <w:color w:val="auto"/>
              </w:rPr>
            </w:pPr>
            <w:r>
              <w:rPr>
                <w:rFonts w:ascii="Arial" w:cs="Arial" w:eastAsia="Arial" w:hAnsi="Arial"/>
                <w:sz w:val="17"/>
                <w:szCs w:val="17"/>
                <w:color w:val="auto"/>
              </w:rPr>
              <w:t>$156.94 to $205.53</w:t>
            </w:r>
          </w:p>
        </w:tc>
        <w:tc>
          <w:tcPr>
            <w:tcW w:w="1180" w:type="dxa"/>
            <w:vAlign w:val="bottom"/>
          </w:tcPr>
          <w:p>
            <w:pPr>
              <w:jc w:val="right"/>
              <w:ind w:right="78"/>
              <w:spacing w:after="0"/>
              <w:rPr>
                <w:sz w:val="20"/>
                <w:szCs w:val="20"/>
                <w:color w:val="auto"/>
              </w:rPr>
            </w:pPr>
            <w:r>
              <w:rPr>
                <w:rFonts w:ascii="Arial" w:cs="Arial" w:eastAsia="Arial" w:hAnsi="Arial"/>
                <w:sz w:val="17"/>
                <w:szCs w:val="17"/>
                <w:color w:val="auto"/>
              </w:rPr>
              <w:t>0.3</w:t>
            </w:r>
          </w:p>
        </w:tc>
        <w:tc>
          <w:tcPr>
            <w:tcW w:w="2020" w:type="dxa"/>
            <w:vAlign w:val="bottom"/>
          </w:tcPr>
          <w:p>
            <w:pPr>
              <w:jc w:val="right"/>
              <w:spacing w:after="0"/>
              <w:rPr>
                <w:sz w:val="20"/>
                <w:szCs w:val="20"/>
                <w:color w:val="auto"/>
              </w:rPr>
            </w:pPr>
            <w:r>
              <w:rPr>
                <w:rFonts w:ascii="Arial" w:cs="Arial" w:eastAsia="Arial" w:hAnsi="Arial"/>
                <w:sz w:val="17"/>
                <w:szCs w:val="17"/>
                <w:color w:val="auto"/>
              </w:rPr>
              <w:t>4.49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40"/>
              <w:spacing w:after="0"/>
              <w:rPr>
                <w:sz w:val="20"/>
                <w:szCs w:val="20"/>
                <w:color w:val="auto"/>
              </w:rPr>
            </w:pPr>
            <w:r>
              <w:rPr>
                <w:rFonts w:ascii="Arial" w:cs="Arial" w:eastAsia="Arial" w:hAnsi="Arial"/>
                <w:sz w:val="17"/>
                <w:szCs w:val="17"/>
                <w:color w:val="auto"/>
              </w:rPr>
              <w:t>19.3</w:t>
            </w:r>
          </w:p>
        </w:tc>
        <w:tc>
          <w:tcPr>
            <w:tcW w:w="120" w:type="dxa"/>
            <w:vAlign w:val="bottom"/>
          </w:tcPr>
          <w:p>
            <w:pPr>
              <w:spacing w:after="0"/>
              <w:rPr>
                <w:sz w:val="20"/>
                <w:szCs w:val="20"/>
                <w:color w:val="auto"/>
              </w:rPr>
            </w:pPr>
          </w:p>
        </w:tc>
        <w:tc>
          <w:tcPr>
            <w:tcW w:w="1140" w:type="dxa"/>
            <w:vAlign w:val="bottom"/>
          </w:tcPr>
          <w:p>
            <w:pPr>
              <w:jc w:val="right"/>
              <w:ind w:right="57"/>
              <w:spacing w:after="0"/>
              <w:rPr>
                <w:sz w:val="20"/>
                <w:szCs w:val="20"/>
                <w:color w:val="auto"/>
              </w:rPr>
            </w:pPr>
            <w:r>
              <w:rPr>
                <w:rFonts w:ascii="Arial" w:cs="Arial" w:eastAsia="Arial" w:hAnsi="Arial"/>
                <w:sz w:val="17"/>
                <w:szCs w:val="17"/>
                <w:color w:val="auto"/>
              </w:rPr>
              <w:t>0.3</w:t>
            </w:r>
          </w:p>
        </w:tc>
        <w:tc>
          <w:tcPr>
            <w:tcW w:w="2000" w:type="dxa"/>
            <w:vAlign w:val="bottom"/>
          </w:tcPr>
          <w:p>
            <w:pPr>
              <w:jc w:val="right"/>
              <w:spacing w:after="0"/>
              <w:rPr>
                <w:sz w:val="20"/>
                <w:szCs w:val="20"/>
                <w:color w:val="auto"/>
              </w:rPr>
            </w:pPr>
            <w:r>
              <w:rPr>
                <w:rFonts w:ascii="Arial" w:cs="Arial" w:eastAsia="Arial" w:hAnsi="Arial"/>
                <w:sz w:val="17"/>
                <w:szCs w:val="17"/>
                <w:color w:val="auto"/>
              </w:rPr>
              <w:t>4.39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2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$214.63 to $257.08</w:t>
            </w: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0.3</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0.1</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
        </w:trPr>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40" w:hanging="180"/>
        <w:spacing w:after="0"/>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Share amounts are rounded but the balance accurately reflects the actual amount of exercisable stock appreciation rights as of December 31, 2019.</w:t>
      </w:r>
    </w:p>
    <w:p>
      <w:pPr>
        <w:spacing w:after="0" w:line="196" w:lineRule="exact"/>
        <w:rPr>
          <w:sz w:val="20"/>
          <w:szCs w:val="20"/>
          <w:color w:val="auto"/>
        </w:rPr>
      </w:pPr>
    </w:p>
    <w:p>
      <w:pPr>
        <w:ind w:firstLine="221"/>
        <w:spacing w:after="0" w:line="319" w:lineRule="auto"/>
        <w:rPr>
          <w:sz w:val="20"/>
          <w:szCs w:val="20"/>
          <w:color w:val="auto"/>
        </w:rPr>
      </w:pPr>
      <w:r>
        <w:rPr>
          <w:rFonts w:ascii="Arial" w:cs="Arial" w:eastAsia="Arial" w:hAnsi="Arial"/>
          <w:sz w:val="16"/>
          <w:szCs w:val="16"/>
          <w:color w:val="auto"/>
        </w:rPr>
        <w:t>As of December 31, 2019, we had $9.5 million of unrecognized compensation cost related to non-vested stock appreciation rights that is expected to be recognized over a weighted-average period of 2.3 years. Our estimated forfeiture rate for stock appreciation rights was 12.7% as of December 31, 2019.</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544" w:right="23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The total intrinsic value of stock appreciation rights exercised and the resulting tax deductions to realize tax benefits were as follows (in millions):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gridSpan w:val="6"/>
          </w:tcPr>
          <w:p>
            <w:pPr>
              <w:jc w:val="right"/>
              <w:spacing w:after="0"/>
              <w:rPr>
                <w:sz w:val="20"/>
                <w:szCs w:val="20"/>
                <w:color w:val="auto"/>
              </w:rPr>
            </w:pPr>
            <w:r>
              <w:rPr>
                <w:rFonts w:ascii="Arial" w:cs="Arial" w:eastAsia="Arial" w:hAnsi="Arial"/>
                <w:sz w:val="16"/>
                <w:szCs w:val="16"/>
                <w:b w:val="1"/>
                <w:bCs w:val="1"/>
                <w:color w:val="auto"/>
                <w:w w:val="87"/>
              </w:rPr>
              <w:t>For the Years Ended December 31,</w:t>
            </w:r>
          </w:p>
        </w:tc>
        <w:tc>
          <w:tcPr>
            <w:tcW w:w="800" w:type="dxa"/>
            <w:vAlign w:val="bottom"/>
          </w:tcPr>
          <w:p>
            <w:pPr>
              <w:spacing w:after="0"/>
              <w:rPr>
                <w:sz w:val="17"/>
                <w:szCs w:val="17"/>
                <w:color w:val="auto"/>
              </w:rPr>
            </w:pPr>
          </w:p>
        </w:tc>
      </w:tr>
      <w:tr>
        <w:trPr>
          <w:trHeight w:val="32"/>
        </w:trPr>
        <w:tc>
          <w:tcPr>
            <w:tcW w:w="7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1"/>
        </w:trPr>
        <w:tc>
          <w:tcPr>
            <w:tcW w:w="7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6"/>
              <w:spacing w:after="0"/>
              <w:rPr>
                <w:sz w:val="20"/>
                <w:szCs w:val="20"/>
                <w:color w:val="auto"/>
              </w:rPr>
            </w:pPr>
            <w:r>
              <w:rPr>
                <w:rFonts w:ascii="Arial" w:cs="Arial" w:eastAsia="Arial" w:hAnsi="Arial"/>
                <w:sz w:val="16"/>
                <w:szCs w:val="16"/>
                <w:b w:val="1"/>
                <w:bCs w:val="1"/>
                <w:color w:val="auto"/>
                <w:w w:val="89"/>
              </w:rPr>
              <w:t>2017</w:t>
            </w:r>
          </w:p>
        </w:tc>
      </w:tr>
      <w:tr>
        <w:trPr>
          <w:trHeight w:val="32"/>
        </w:trPr>
        <w:tc>
          <w:tcPr>
            <w:tcW w:w="7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Intrinsic value of stock appreciation rights exercised</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6"/>
              </w:rPr>
              <w:t>37.1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35.9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25.1</w:t>
            </w:r>
          </w:p>
        </w:tc>
      </w:tr>
      <w:tr>
        <w:trPr>
          <w:trHeight w:val="234"/>
        </w:trPr>
        <w:tc>
          <w:tcPr>
            <w:tcW w:w="7420" w:type="dxa"/>
            <w:vAlign w:val="bottom"/>
          </w:tcPr>
          <w:p>
            <w:pPr>
              <w:ind w:left="20"/>
              <w:spacing w:after="0"/>
              <w:rPr>
                <w:sz w:val="20"/>
                <w:szCs w:val="20"/>
                <w:color w:val="auto"/>
              </w:rPr>
            </w:pPr>
            <w:r>
              <w:rPr>
                <w:rFonts w:ascii="Arial" w:cs="Arial" w:eastAsia="Arial" w:hAnsi="Arial"/>
                <w:sz w:val="17"/>
                <w:szCs w:val="17"/>
                <w:color w:val="auto"/>
              </w:rPr>
              <w:t>Realized tax benefits from tax deductions</w:t>
            </w:r>
          </w:p>
        </w:tc>
        <w:tc>
          <w:tcPr>
            <w:tcW w:w="820" w:type="dxa"/>
            <w:vAlign w:val="bottom"/>
          </w:tcPr>
          <w:p>
            <w:pPr>
              <w:jc w:val="right"/>
              <w:ind w:right="636"/>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ind w:right="36"/>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20"/>
                <w:szCs w:val="20"/>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9.6</w:t>
            </w: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22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7"/>
          <w:szCs w:val="17"/>
          <w:color w:val="auto"/>
        </w:rPr>
        <w:t>Under the 2012 Employee Stock Purchase Plan (“ESPP”), all employees who meet certain service requirements are eligible to purchase our common stock through payroll deductions at the end of three month offering periods. The purchase price for such shares is 95% of the fair market value of the stock on the last day of the offering period. A maximum of 2.5 million shares is authorized for purchase until the ESPP plan termination date of May 10, 2022, unless terminated earlier at the discretion of the Board of Directors. Employees purchased approximately 12,400 shares under the ESPP during the year ended December 31, 2019. Approximately 2.4 million shares remain available for purchase under the ESPP as of December 31, 2019.</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Fair Value Measurements:</w:t>
      </w:r>
    </w:p>
    <w:p>
      <w:pPr>
        <w:spacing w:after="0" w:line="227" w:lineRule="exact"/>
        <w:rPr>
          <w:sz w:val="20"/>
          <w:szCs w:val="20"/>
          <w:color w:val="auto"/>
        </w:rPr>
      </w:pPr>
    </w:p>
    <w:p>
      <w:pPr>
        <w:jc w:val="both"/>
        <w:ind w:firstLine="234"/>
        <w:spacing w:after="0" w:line="266"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the following three-level hierarchy for fair value measurements:</w:t>
      </w:r>
    </w:p>
    <w:p>
      <w:pPr>
        <w:spacing w:after="0" w:line="175" w:lineRule="exact"/>
        <w:rPr>
          <w:sz w:val="20"/>
          <w:szCs w:val="20"/>
          <w:color w:val="auto"/>
        </w:rPr>
      </w:pPr>
    </w:p>
    <w:p>
      <w:pPr>
        <w:ind w:left="400"/>
        <w:spacing w:after="0"/>
        <w:tabs>
          <w:tab w:leader="none" w:pos="1200" w:val="left"/>
        </w:tabs>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xml:space="preserve">Quoted prices for </w:t>
      </w:r>
      <w:r>
        <w:rPr>
          <w:rFonts w:ascii="Arial" w:cs="Arial" w:eastAsia="Arial" w:hAnsi="Arial"/>
          <w:sz w:val="15"/>
          <w:szCs w:val="15"/>
          <w:i w:val="1"/>
          <w:iCs w:val="1"/>
          <w:color w:val="auto"/>
        </w:rPr>
        <w:t>identical</w:t>
      </w:r>
      <w:r>
        <w:rPr>
          <w:rFonts w:ascii="Arial" w:cs="Arial" w:eastAsia="Arial" w:hAnsi="Arial"/>
          <w:sz w:val="15"/>
          <w:szCs w:val="15"/>
          <w:color w:val="auto"/>
        </w:rPr>
        <w:t xml:space="preserve"> instruments in active markets at the measurement date.</w:t>
      </w:r>
    </w:p>
    <w:p>
      <w:pPr>
        <w:spacing w:after="0" w:line="221" w:lineRule="exact"/>
        <w:rPr>
          <w:sz w:val="20"/>
          <w:szCs w:val="20"/>
          <w:color w:val="auto"/>
        </w:rPr>
      </w:pPr>
    </w:p>
    <w:p>
      <w:pPr>
        <w:jc w:val="both"/>
        <w:ind w:left="1260" w:hanging="858"/>
        <w:spacing w:after="0" w:line="271" w:lineRule="auto"/>
        <w:tabs>
          <w:tab w:leader="none" w:pos="1240" w:val="left"/>
        </w:tabs>
        <w:rPr>
          <w:sz w:val="20"/>
          <w:szCs w:val="20"/>
          <w:color w:val="auto"/>
        </w:rPr>
      </w:pPr>
      <w:r>
        <w:rPr>
          <w:rFonts w:ascii="Arial" w:cs="Arial" w:eastAsia="Arial" w:hAnsi="Arial"/>
          <w:sz w:val="17"/>
          <w:szCs w:val="17"/>
          <w:i w:val="1"/>
          <w:iCs w:val="1"/>
          <w:color w:val="auto"/>
        </w:rPr>
        <w:t>Level 2 -</w:t>
      </w:r>
      <w:r>
        <w:rPr>
          <w:sz w:val="20"/>
          <w:szCs w:val="20"/>
          <w:color w:val="auto"/>
        </w:rPr>
        <w:tab/>
      </w:r>
      <w:r>
        <w:rPr>
          <w:rFonts w:ascii="Arial" w:cs="Arial" w:eastAsia="Arial" w:hAnsi="Arial"/>
          <w:sz w:val="17"/>
          <w:szCs w:val="17"/>
          <w:color w:val="auto"/>
        </w:rPr>
        <w:t xml:space="preserve">Quoted prices for </w:t>
      </w:r>
      <w:r>
        <w:rPr>
          <w:rFonts w:ascii="Arial" w:cs="Arial" w:eastAsia="Arial" w:hAnsi="Arial"/>
          <w:sz w:val="17"/>
          <w:szCs w:val="17"/>
          <w:i w:val="1"/>
          <w:iCs w:val="1"/>
          <w:color w:val="auto"/>
        </w:rPr>
        <w:t>similar</w:t>
      </w:r>
      <w:r>
        <w:rPr>
          <w:rFonts w:ascii="Arial" w:cs="Arial" w:eastAsia="Arial" w:hAnsi="Arial"/>
          <w:sz w:val="17"/>
          <w:szCs w:val="17"/>
          <w:color w:val="auto"/>
        </w:rPr>
        <w:t xml:space="preserve"> instruments in active markets; quoted prices for identical or similar instruments in markets that are not active; and model-derived valuations in which all significant inputs and significant value drivers are </w:t>
      </w:r>
      <w:r>
        <w:rPr>
          <w:rFonts w:ascii="Arial" w:cs="Arial" w:eastAsia="Arial" w:hAnsi="Arial"/>
          <w:sz w:val="17"/>
          <w:szCs w:val="17"/>
          <w:i w:val="1"/>
          <w:iCs w:val="1"/>
          <w:color w:val="auto"/>
        </w:rPr>
        <w:t>observable</w:t>
      </w:r>
      <w:r>
        <w:rPr>
          <w:rFonts w:ascii="Arial" w:cs="Arial" w:eastAsia="Arial" w:hAnsi="Arial"/>
          <w:sz w:val="17"/>
          <w:szCs w:val="17"/>
          <w:color w:val="auto"/>
        </w:rPr>
        <w:t xml:space="preserve"> in active markets at the measurement date and for the anticipated term of the instrument.</w:t>
      </w:r>
    </w:p>
    <w:p>
      <w:pPr>
        <w:spacing w:after="0" w:line="171" w:lineRule="exact"/>
        <w:rPr>
          <w:sz w:val="20"/>
          <w:szCs w:val="20"/>
          <w:color w:val="auto"/>
        </w:rPr>
      </w:pPr>
    </w:p>
    <w:p>
      <w:pPr>
        <w:jc w:val="both"/>
        <w:ind w:left="1260" w:hanging="858"/>
        <w:spacing w:after="0" w:line="271" w:lineRule="auto"/>
        <w:tabs>
          <w:tab w:leader="none" w:pos="1240" w:val="left"/>
        </w:tabs>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xml:space="preserve">Valuations derived from valuation techniques in which one or more significant inputs or significant value drivers are </w:t>
      </w:r>
      <w:r>
        <w:rPr>
          <w:rFonts w:ascii="Arial" w:cs="Arial" w:eastAsia="Arial" w:hAnsi="Arial"/>
          <w:sz w:val="17"/>
          <w:szCs w:val="17"/>
          <w:i w:val="1"/>
          <w:iCs w:val="1"/>
          <w:color w:val="auto"/>
        </w:rPr>
        <w:t>unobservable</w:t>
      </w:r>
      <w:r>
        <w:rPr>
          <w:rFonts w:ascii="Arial" w:cs="Arial" w:eastAsia="Arial" w:hAnsi="Arial"/>
          <w:sz w:val="17"/>
          <w:szCs w:val="17"/>
          <w:color w:val="auto"/>
        </w:rPr>
        <w:t xml:space="preserve"> inputs that reflect the reporting entity’s own assumptions about the assumptions market participants would use in pricing the asset or liability developed based on the best information available in the circumstances.</w:t>
      </w:r>
    </w:p>
    <w:p>
      <w:pPr>
        <w:spacing w:after="0" w:line="171" w:lineRule="exact"/>
        <w:rPr>
          <w:sz w:val="20"/>
          <w:szCs w:val="20"/>
          <w:color w:val="auto"/>
        </w:rPr>
      </w:pPr>
    </w:p>
    <w:p>
      <w:pPr>
        <w:jc w:val="both"/>
        <w:ind w:firstLine="234"/>
        <w:spacing w:after="0" w:line="261" w:lineRule="auto"/>
        <w:rPr>
          <w:sz w:val="20"/>
          <w:szCs w:val="20"/>
          <w:color w:val="auto"/>
        </w:rPr>
      </w:pPr>
      <w:r>
        <w:rPr>
          <w:rFonts w:ascii="Arial" w:cs="Arial" w:eastAsia="Arial" w:hAnsi="Arial"/>
          <w:sz w:val="17"/>
          <w:szCs w:val="17"/>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2019 and 2018, the measurement dates.</w:t>
      </w:r>
    </w:p>
    <w:p>
      <w:pPr>
        <w:spacing w:after="0" w:line="183"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The methodologies used to determine the fair value of our financial assets and liabilities as of December 31, 2019 were the same as those used as of December 31, 2018.</w:t>
      </w:r>
    </w:p>
    <w:p>
      <w:pPr>
        <w:spacing w:after="0" w:line="159"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Fair values are estimates and are not necessarily indicative of amounts for which we could settle such instruments currently nor indicative of our intent or ability to dispose of or liquidate them.</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Carried at Fair Value on a Recurring Basis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Derivatives</w:t>
      </w:r>
    </w:p>
    <w:p>
      <w:pPr>
        <w:spacing w:after="0" w:line="221" w:lineRule="exact"/>
        <w:rPr>
          <w:sz w:val="20"/>
          <w:szCs w:val="20"/>
          <w:color w:val="auto"/>
        </w:rPr>
      </w:pPr>
    </w:p>
    <w:p>
      <w:pPr>
        <w:jc w:val="both"/>
        <w:ind w:firstLine="234"/>
        <w:spacing w:after="0" w:line="295" w:lineRule="auto"/>
        <w:rPr>
          <w:sz w:val="20"/>
          <w:szCs w:val="20"/>
          <w:color w:val="auto"/>
        </w:rPr>
      </w:pPr>
      <w:r>
        <w:rPr>
          <w:rFonts w:ascii="Arial" w:cs="Arial" w:eastAsia="Arial" w:hAnsi="Arial"/>
          <w:sz w:val="16"/>
          <w:szCs w:val="16"/>
          <w:color w:val="auto"/>
        </w:rPr>
        <w:t>Derivatives, classified as Level 2, were primarily valued using estimated future cash flows based on observed prices from exchange-traded derivatives. We also considered the counterparty’s creditworthiness, or our own creditworthiness, as appropriate. Adjustments were recorded to reflect the risk of credit default, but they were insignificant to the overall value of the derivatives. Refer to Note 10 for more information related to our derivative instruments.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544" w:right="239" w:bottom="1440" w:gutter="0" w:footer="0" w:header="0"/>
        </w:sectPr>
      </w:pPr>
    </w:p>
    <w:bookmarkStart w:id="79" w:name="page80"/>
    <w:bookmarkEnd w:id="79"/>
    <w:p>
      <w:pPr>
        <w:ind w:left="60"/>
        <w:spacing w:after="0"/>
        <w:rPr>
          <w:sz w:val="20"/>
          <w:szCs w:val="20"/>
          <w:color w:val="auto"/>
        </w:rPr>
      </w:pPr>
      <w:r>
        <w:rPr>
          <w:rFonts w:ascii="Arial" w:cs="Arial" w:eastAsia="Arial" w:hAnsi="Arial"/>
          <w:sz w:val="17"/>
          <w:szCs w:val="17"/>
          <w:b w:val="1"/>
          <w:bCs w:val="1"/>
          <w:i w:val="1"/>
          <w:iCs w:val="1"/>
          <w:color w:val="auto"/>
        </w:rPr>
        <w:t>Other Fair Value Disclosures</w:t>
      </w:r>
    </w:p>
    <w:p>
      <w:pPr>
        <w:spacing w:after="0" w:line="221"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The carrying amounts of Cash and cash equivalents, Accounts and notes receivable, net, Accounts payable, Other current liabilities, and Short-term debt approximate fair value due to the short maturities of these instruments. The carrying amount of our Domestic Credit Facility in Long-term debt also approximates fair value due to its variable-rate characteristics.</w:t>
      </w:r>
    </w:p>
    <w:p>
      <w:pPr>
        <w:spacing w:after="0" w:line="17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The fair value of our senior unsecured notes in Long-term debt was based on the amount of future cash flows using current market rates for debt instruments of similar maturities and credit risk. The following table presents the fair value for our senior unsecured notes in Long-term debt (in millions):</w:t>
      </w:r>
    </w:p>
    <w:p>
      <w:pPr>
        <w:spacing w:after="0" w:line="118"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32385</wp:posOffset>
            </wp:positionV>
            <wp:extent cx="19018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spacing w:after="0" w:line="69" w:lineRule="exact"/>
        <w:rPr>
          <w:sz w:val="20"/>
          <w:szCs w:val="20"/>
          <w:color w:val="auto"/>
        </w:rPr>
      </w:pPr>
    </w:p>
    <w:p>
      <w:pPr>
        <w:ind w:left="8840"/>
        <w:spacing w:after="0"/>
        <w:tabs>
          <w:tab w:leader="none" w:pos="1038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32385</wp:posOffset>
            </wp:positionV>
            <wp:extent cx="7052945" cy="1733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52945" cy="17335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Quoted Prices in Active Markets for Similar Instruments (Level 2):</w:t>
      </w:r>
    </w:p>
    <w:p>
      <w:pPr>
        <w:spacing w:after="0" w:line="84" w:lineRule="exact"/>
        <w:rPr>
          <w:sz w:val="20"/>
          <w:szCs w:val="20"/>
          <w:color w:val="auto"/>
        </w:rPr>
      </w:pPr>
    </w:p>
    <w:p>
      <w:pPr>
        <w:ind w:left="180"/>
        <w:spacing w:after="0"/>
        <w:tabs>
          <w:tab w:leader="none" w:pos="8280" w:val="left"/>
          <w:tab w:leader="none" w:pos="9220" w:val="left"/>
          <w:tab w:leader="none" w:pos="9840" w:val="left"/>
          <w:tab w:leader="none" w:pos="10760" w:val="left"/>
        </w:tabs>
        <w:rPr>
          <w:sz w:val="20"/>
          <w:szCs w:val="20"/>
          <w:color w:val="auto"/>
        </w:rPr>
      </w:pPr>
      <w:r>
        <w:rPr>
          <w:rFonts w:ascii="Arial" w:cs="Arial" w:eastAsia="Arial" w:hAnsi="Arial"/>
          <w:sz w:val="17"/>
          <w:szCs w:val="17"/>
          <w:color w:val="auto"/>
        </w:rPr>
        <w:t>Senior unsecured notes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356.8</w:t>
        <w:tab/>
        <w:t>$</w:t>
      </w:r>
      <w:r>
        <w:rPr>
          <w:sz w:val="20"/>
          <w:szCs w:val="20"/>
          <w:color w:val="auto"/>
        </w:rPr>
        <w:tab/>
      </w:r>
      <w:r>
        <w:rPr>
          <w:rFonts w:ascii="Arial" w:cs="Arial" w:eastAsia="Arial" w:hAnsi="Arial"/>
          <w:sz w:val="15"/>
          <w:szCs w:val="15"/>
          <w:color w:val="auto"/>
        </w:rPr>
        <w:t>338.4</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Selected Quarterly Financial Information (unaudited):</w:t>
      </w:r>
    </w:p>
    <w:p>
      <w:pPr>
        <w:spacing w:after="0" w:line="227" w:lineRule="exact"/>
        <w:rPr>
          <w:sz w:val="20"/>
          <w:szCs w:val="20"/>
          <w:color w:val="auto"/>
        </w:rPr>
      </w:pPr>
    </w:p>
    <w:p>
      <w:pPr>
        <w:jc w:val="both"/>
        <w:ind w:firstLine="221"/>
        <w:spacing w:after="0" w:line="286" w:lineRule="auto"/>
        <w:rPr>
          <w:sz w:val="20"/>
          <w:szCs w:val="20"/>
          <w:color w:val="auto"/>
        </w:rPr>
      </w:pPr>
      <w:r>
        <w:rPr>
          <w:rFonts w:ascii="Arial" w:cs="Arial" w:eastAsia="Arial" w:hAnsi="Arial"/>
          <w:sz w:val="17"/>
          <w:szCs w:val="17"/>
          <w:color w:val="auto"/>
        </w:rPr>
        <w:t>The following tables provide information on Net sales, Gross profit, Net income, Earnings per share and Cash dividends declared per share by quarter (in millions, except per share data):</w:t>
      </w:r>
    </w:p>
    <w:p>
      <w:pPr>
        <w:spacing w:after="0" w:line="118" w:lineRule="exact"/>
        <w:rPr>
          <w:sz w:val="20"/>
          <w:szCs w:val="20"/>
          <w:color w:val="auto"/>
        </w:rPr>
      </w:pPr>
    </w:p>
    <w:tbl>
      <w:tblPr>
        <w:tblLayout w:type="fixed"/>
        <w:tblInd w:w="480" w:type="dxa"/>
        <w:tblCellMar>
          <w:top w:w="0" w:type="dxa"/>
          <w:left w:w="0" w:type="dxa"/>
          <w:bottom w:w="0" w:type="dxa"/>
          <w:right w:w="0" w:type="dxa"/>
        </w:tblCellMar>
      </w:tblPr>
      <w:tr>
        <w:trPr>
          <w:trHeight w:val="235"/>
        </w:trPr>
        <w:tc>
          <w:tcPr>
            <w:tcW w:w="2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6"/>
                <w:szCs w:val="16"/>
                <w:b w:val="1"/>
                <w:bCs w:val="1"/>
                <w:color w:val="auto"/>
                <w:w w:val="81"/>
              </w:rPr>
              <w:t xml:space="preserve">Net Sales </w:t>
            </w:r>
            <w:r>
              <w:rPr>
                <w:rFonts w:ascii="Arial" w:cs="Arial" w:eastAsia="Arial" w:hAnsi="Arial"/>
                <w:sz w:val="20"/>
                <w:szCs w:val="20"/>
                <w:b w:val="1"/>
                <w:bCs w:val="1"/>
                <w:color w:val="auto"/>
                <w:w w:val="81"/>
                <w:vertAlign w:val="superscript"/>
              </w:rPr>
              <w:t>(1)</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6"/>
                <w:szCs w:val="16"/>
                <w:b w:val="1"/>
                <w:bCs w:val="1"/>
                <w:color w:val="auto"/>
                <w:w w:val="86"/>
              </w:rPr>
              <w:t xml:space="preserve">Gross Profit </w:t>
            </w:r>
            <w:r>
              <w:rPr>
                <w:rFonts w:ascii="Arial" w:cs="Arial" w:eastAsia="Arial" w:hAnsi="Arial"/>
                <w:sz w:val="20"/>
                <w:szCs w:val="20"/>
                <w:b w:val="1"/>
                <w:bCs w:val="1"/>
                <w:color w:val="auto"/>
                <w:w w:val="86"/>
                <w:vertAlign w:val="superscript"/>
              </w:rPr>
              <w:t>(1)</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 xml:space="preserve">Net Income </w:t>
            </w:r>
            <w:r>
              <w:rPr>
                <w:rFonts w:ascii="Arial" w:cs="Arial" w:eastAsia="Arial" w:hAnsi="Arial"/>
                <w:sz w:val="20"/>
                <w:szCs w:val="20"/>
                <w:b w:val="1"/>
                <w:bCs w:val="1"/>
                <w:color w:val="auto"/>
                <w:vertAlign w:val="superscript"/>
              </w:rPr>
              <w:t>(1)</w:t>
            </w:r>
          </w:p>
        </w:tc>
        <w:tc>
          <w:tcPr>
            <w:tcW w:w="760" w:type="dxa"/>
            <w:vAlign w:val="bottom"/>
            <w:tcBorders>
              <w:bottom w:val="single" w:sz="8" w:color="auto"/>
            </w:tcBorders>
          </w:tcPr>
          <w:p>
            <w:pPr>
              <w:spacing w:after="0"/>
              <w:rPr>
                <w:sz w:val="20"/>
                <w:szCs w:val="20"/>
                <w:color w:val="auto"/>
              </w:rPr>
            </w:pPr>
          </w:p>
        </w:tc>
      </w:tr>
      <w:tr>
        <w:trPr>
          <w:trHeight w:val="221"/>
        </w:trPr>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7"/>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35"/>
              <w:spacing w:after="0"/>
              <w:rPr>
                <w:sz w:val="20"/>
                <w:szCs w:val="20"/>
                <w:color w:val="auto"/>
              </w:rPr>
            </w:pPr>
            <w:r>
              <w:rPr>
                <w:rFonts w:ascii="Arial" w:cs="Arial" w:eastAsia="Arial" w:hAnsi="Arial"/>
                <w:sz w:val="16"/>
                <w:szCs w:val="16"/>
                <w:b w:val="1"/>
                <w:bCs w:val="1"/>
                <w:color w:val="auto"/>
                <w:w w:val="84"/>
              </w:rPr>
              <w:t>2018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7"/>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35"/>
              <w:spacing w:after="0"/>
              <w:rPr>
                <w:sz w:val="20"/>
                <w:szCs w:val="20"/>
                <w:color w:val="auto"/>
              </w:rPr>
            </w:pPr>
            <w:r>
              <w:rPr>
                <w:rFonts w:ascii="Arial" w:cs="Arial" w:eastAsia="Arial" w:hAnsi="Arial"/>
                <w:sz w:val="16"/>
                <w:szCs w:val="16"/>
                <w:b w:val="1"/>
                <w:bCs w:val="1"/>
                <w:color w:val="auto"/>
                <w:w w:val="84"/>
              </w:rPr>
              <w:t>2018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35"/>
              <w:spacing w:after="0"/>
              <w:rPr>
                <w:sz w:val="20"/>
                <w:szCs w:val="20"/>
                <w:color w:val="auto"/>
              </w:rPr>
            </w:pPr>
            <w:r>
              <w:rPr>
                <w:rFonts w:ascii="Arial" w:cs="Arial" w:eastAsia="Arial" w:hAnsi="Arial"/>
                <w:sz w:val="16"/>
                <w:szCs w:val="16"/>
                <w:b w:val="1"/>
                <w:bCs w:val="1"/>
                <w:color w:val="auto"/>
                <w:w w:val="89"/>
              </w:rPr>
              <w:t>2018</w:t>
            </w:r>
          </w:p>
        </w:tc>
      </w:tr>
      <w:tr>
        <w:trPr>
          <w:trHeight w:val="32"/>
        </w:trPr>
        <w:tc>
          <w:tcPr>
            <w:tcW w:w="2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First Quarter</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790.3</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834.8</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201.6</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223.2</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69.3</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37.9</w:t>
            </w:r>
          </w:p>
        </w:tc>
      </w:tr>
      <w:tr>
        <w:trPr>
          <w:trHeight w:val="234"/>
        </w:trPr>
        <w:tc>
          <w:tcPr>
            <w:tcW w:w="2480" w:type="dxa"/>
            <w:vAlign w:val="bottom"/>
          </w:tcPr>
          <w:p>
            <w:pPr>
              <w:ind w:left="20"/>
              <w:spacing w:after="0"/>
              <w:rPr>
                <w:sz w:val="20"/>
                <w:szCs w:val="20"/>
                <w:color w:val="auto"/>
              </w:rPr>
            </w:pPr>
            <w:r>
              <w:rPr>
                <w:rFonts w:ascii="Arial" w:cs="Arial" w:eastAsia="Arial" w:hAnsi="Arial"/>
                <w:sz w:val="17"/>
                <w:szCs w:val="17"/>
                <w:color w:val="auto"/>
              </w:rPr>
              <w:t>Second Quarter</w:t>
            </w:r>
          </w:p>
        </w:tc>
        <w:tc>
          <w:tcPr>
            <w:tcW w:w="26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1,099.1</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1,175.4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332.1</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361.6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110.7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137.6</w:t>
            </w:r>
          </w:p>
        </w:tc>
      </w:tr>
      <w:tr>
        <w:trPr>
          <w:trHeight w:val="26"/>
        </w:trPr>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Third Quarter</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1,032.9</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1,030.2</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298.3</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301.9</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114.7</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108.0</w:t>
            </w:r>
          </w:p>
        </w:tc>
      </w:tr>
      <w:tr>
        <w:trPr>
          <w:trHeight w:val="234"/>
        </w:trPr>
        <w:tc>
          <w:tcPr>
            <w:tcW w:w="2480" w:type="dxa"/>
            <w:vAlign w:val="bottom"/>
          </w:tcPr>
          <w:p>
            <w:pPr>
              <w:ind w:left="20"/>
              <w:spacing w:after="0"/>
              <w:rPr>
                <w:sz w:val="20"/>
                <w:szCs w:val="20"/>
                <w:color w:val="auto"/>
              </w:rPr>
            </w:pPr>
            <w:r>
              <w:rPr>
                <w:rFonts w:ascii="Arial" w:cs="Arial" w:eastAsia="Arial" w:hAnsi="Arial"/>
                <w:sz w:val="17"/>
                <w:szCs w:val="17"/>
                <w:color w:val="auto"/>
              </w:rPr>
              <w:t>Fourth Quarter</w:t>
            </w:r>
          </w:p>
        </w:tc>
        <w:tc>
          <w:tcPr>
            <w:tcW w:w="26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885.0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843.6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247.8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224.5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114.0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75.6</w:t>
            </w:r>
          </w:p>
        </w:tc>
      </w:tr>
      <w:tr>
        <w:trPr>
          <w:trHeight w:val="572"/>
        </w:trPr>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jc w:val="center"/>
              <w:ind w:left="437"/>
              <w:spacing w:after="0"/>
              <w:rPr>
                <w:sz w:val="20"/>
                <w:szCs w:val="20"/>
                <w:color w:val="auto"/>
              </w:rPr>
            </w:pPr>
            <w:r>
              <w:rPr>
                <w:rFonts w:ascii="Arial" w:cs="Arial" w:eastAsia="Arial" w:hAnsi="Arial"/>
                <w:sz w:val="16"/>
                <w:szCs w:val="16"/>
                <w:b w:val="1"/>
                <w:bCs w:val="1"/>
                <w:color w:val="auto"/>
                <w:w w:val="86"/>
              </w:rPr>
              <w:t>Basic Earnings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89"/>
              </w:rPr>
              <w:t>Diluted Earnings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5"/>
        </w:trPr>
        <w:tc>
          <w:tcPr>
            <w:tcW w:w="2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6"/>
                <w:szCs w:val="16"/>
                <w:b w:val="1"/>
                <w:bCs w:val="1"/>
                <w:color w:val="auto"/>
                <w:w w:val="86"/>
              </w:rPr>
              <w:t xml:space="preserve">per Share </w:t>
            </w:r>
            <w:r>
              <w:rPr>
                <w:rFonts w:ascii="Arial" w:cs="Arial" w:eastAsia="Arial" w:hAnsi="Arial"/>
                <w:sz w:val="20"/>
                <w:szCs w:val="20"/>
                <w:b w:val="1"/>
                <w:bCs w:val="1"/>
                <w:color w:val="auto"/>
                <w:w w:val="86"/>
                <w:vertAlign w:val="superscript"/>
              </w:rPr>
              <w:t>(2)</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6"/>
                <w:szCs w:val="16"/>
                <w:b w:val="1"/>
                <w:bCs w:val="1"/>
                <w:color w:val="auto"/>
                <w:w w:val="86"/>
              </w:rPr>
              <w:t xml:space="preserve">per Share </w:t>
            </w:r>
            <w:r>
              <w:rPr>
                <w:rFonts w:ascii="Arial" w:cs="Arial" w:eastAsia="Arial" w:hAnsi="Arial"/>
                <w:sz w:val="20"/>
                <w:szCs w:val="20"/>
                <w:b w:val="1"/>
                <w:bCs w:val="1"/>
                <w:color w:val="auto"/>
                <w:w w:val="86"/>
                <w:vertAlign w:val="superscript"/>
              </w:rPr>
              <w:t>(2)</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0"/>
              </w:rPr>
              <w:t>Cash Dividends per Common Share</w:t>
            </w:r>
          </w:p>
        </w:tc>
      </w:tr>
      <w:tr>
        <w:trPr>
          <w:trHeight w:val="221"/>
        </w:trPr>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7"/>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35"/>
              <w:spacing w:after="0"/>
              <w:rPr>
                <w:sz w:val="20"/>
                <w:szCs w:val="20"/>
                <w:color w:val="auto"/>
              </w:rPr>
            </w:pPr>
            <w:r>
              <w:rPr>
                <w:rFonts w:ascii="Arial" w:cs="Arial" w:eastAsia="Arial" w:hAnsi="Arial"/>
                <w:sz w:val="16"/>
                <w:szCs w:val="16"/>
                <w:b w:val="1"/>
                <w:bCs w:val="1"/>
                <w:color w:val="auto"/>
                <w:w w:val="84"/>
              </w:rPr>
              <w:t>2018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7"/>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35"/>
              <w:spacing w:after="0"/>
              <w:rPr>
                <w:sz w:val="20"/>
                <w:szCs w:val="20"/>
                <w:color w:val="auto"/>
              </w:rPr>
            </w:pPr>
            <w:r>
              <w:rPr>
                <w:rFonts w:ascii="Arial" w:cs="Arial" w:eastAsia="Arial" w:hAnsi="Arial"/>
                <w:sz w:val="16"/>
                <w:szCs w:val="16"/>
                <w:b w:val="1"/>
                <w:bCs w:val="1"/>
                <w:color w:val="auto"/>
                <w:w w:val="84"/>
              </w:rPr>
              <w:t>2018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35"/>
              <w:spacing w:after="0"/>
              <w:rPr>
                <w:sz w:val="20"/>
                <w:szCs w:val="20"/>
                <w:color w:val="auto"/>
              </w:rPr>
            </w:pPr>
            <w:r>
              <w:rPr>
                <w:rFonts w:ascii="Arial" w:cs="Arial" w:eastAsia="Arial" w:hAnsi="Arial"/>
                <w:sz w:val="16"/>
                <w:szCs w:val="16"/>
                <w:b w:val="1"/>
                <w:bCs w:val="1"/>
                <w:color w:val="auto"/>
                <w:w w:val="89"/>
              </w:rPr>
              <w:t>2018</w:t>
            </w:r>
          </w:p>
        </w:tc>
      </w:tr>
      <w:tr>
        <w:trPr>
          <w:trHeight w:val="32"/>
        </w:trPr>
        <w:tc>
          <w:tcPr>
            <w:tcW w:w="2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First Quarter</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1.75</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0.91</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1.73</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0.90</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0.64</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0.51</w:t>
            </w:r>
          </w:p>
        </w:tc>
      </w:tr>
      <w:tr>
        <w:trPr>
          <w:trHeight w:val="234"/>
        </w:trPr>
        <w:tc>
          <w:tcPr>
            <w:tcW w:w="2480" w:type="dxa"/>
            <w:vAlign w:val="bottom"/>
          </w:tcPr>
          <w:p>
            <w:pPr>
              <w:ind w:left="20"/>
              <w:spacing w:after="0"/>
              <w:rPr>
                <w:sz w:val="20"/>
                <w:szCs w:val="20"/>
                <w:color w:val="auto"/>
              </w:rPr>
            </w:pPr>
            <w:r>
              <w:rPr>
                <w:rFonts w:ascii="Arial" w:cs="Arial" w:eastAsia="Arial" w:hAnsi="Arial"/>
                <w:sz w:val="17"/>
                <w:szCs w:val="17"/>
                <w:color w:val="auto"/>
              </w:rPr>
              <w:t>Second Quarter</w:t>
            </w:r>
          </w:p>
        </w:tc>
        <w:tc>
          <w:tcPr>
            <w:tcW w:w="26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2.83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3.38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2.80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3.35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0.77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0.64</w:t>
            </w:r>
          </w:p>
        </w:tc>
      </w:tr>
      <w:tr>
        <w:trPr>
          <w:trHeight w:val="26"/>
        </w:trPr>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Third Quarter</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2.97</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2.68</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2.94</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2.65</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0.77</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0.64</w:t>
            </w:r>
          </w:p>
        </w:tc>
      </w:tr>
      <w:tr>
        <w:trPr>
          <w:trHeight w:val="234"/>
        </w:trPr>
        <w:tc>
          <w:tcPr>
            <w:tcW w:w="2480" w:type="dxa"/>
            <w:vAlign w:val="bottom"/>
          </w:tcPr>
          <w:p>
            <w:pPr>
              <w:ind w:left="20"/>
              <w:spacing w:after="0"/>
              <w:rPr>
                <w:sz w:val="20"/>
                <w:szCs w:val="20"/>
                <w:color w:val="auto"/>
              </w:rPr>
            </w:pPr>
            <w:r>
              <w:rPr>
                <w:rFonts w:ascii="Arial" w:cs="Arial" w:eastAsia="Arial" w:hAnsi="Arial"/>
                <w:sz w:val="17"/>
                <w:szCs w:val="17"/>
                <w:color w:val="auto"/>
              </w:rPr>
              <w:t>Fourth Quarter</w:t>
            </w:r>
          </w:p>
        </w:tc>
        <w:tc>
          <w:tcPr>
            <w:tcW w:w="26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2.96</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1.89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2.93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1.87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0.77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0.64</w:t>
            </w:r>
          </w:p>
        </w:tc>
      </w:tr>
    </w:tbl>
    <w:p>
      <w:pPr>
        <w:spacing w:after="0" w:line="307" w:lineRule="exact"/>
        <w:rPr>
          <w:sz w:val="20"/>
          <w:szCs w:val="20"/>
          <w:color w:val="auto"/>
        </w:rPr>
      </w:pPr>
    </w:p>
    <w:p>
      <w:pPr>
        <w:ind w:left="660" w:hanging="187"/>
        <w:spacing w:after="0"/>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The sum of the quarterly results for each of the four quarters may not equal the full year results due to rounding.</w:t>
      </w:r>
    </w:p>
    <w:p>
      <w:pPr>
        <w:spacing w:after="0" w:line="79" w:lineRule="exact"/>
        <w:rPr>
          <w:rFonts w:ascii="Arial" w:cs="Arial" w:eastAsia="Arial" w:hAnsi="Arial"/>
          <w:sz w:val="22"/>
          <w:szCs w:val="22"/>
          <w:color w:val="auto"/>
          <w:vertAlign w:val="superscript"/>
        </w:rPr>
      </w:pPr>
    </w:p>
    <w:p>
      <w:pPr>
        <w:jc w:val="both"/>
        <w:ind w:left="700" w:hanging="227"/>
        <w:spacing w:after="0" w:line="261" w:lineRule="auto"/>
        <w:tabs>
          <w:tab w:leader="none" w:pos="65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EPS for each quarter is computed using the weighted-average number of shares outstanding during that quarter, while EPS for the fiscal year is computed using the weighted-average number of shares outstanding during the year. Thus, the sum of the EPS for each of the four quarters may not equal the EPS for the fiscal year.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2019 Quarterly Results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unusual or infrequent pre-tax items were included in the 2019 quarterly results:</w:t>
      </w:r>
    </w:p>
    <w:p>
      <w:pPr>
        <w:spacing w:after="0" w:line="221" w:lineRule="exact"/>
        <w:rPr>
          <w:sz w:val="20"/>
          <w:szCs w:val="20"/>
          <w:color w:val="auto"/>
        </w:rPr>
      </w:pPr>
    </w:p>
    <w:p>
      <w:pPr>
        <w:jc w:val="both"/>
        <w:ind w:firstLine="234"/>
        <w:spacing w:after="0" w:line="319" w:lineRule="auto"/>
        <w:rPr>
          <w:sz w:val="20"/>
          <w:szCs w:val="20"/>
          <w:color w:val="auto"/>
        </w:rPr>
      </w:pPr>
      <w:r>
        <w:rPr>
          <w:rFonts w:ascii="Arial" w:cs="Arial" w:eastAsia="Arial" w:hAnsi="Arial"/>
          <w:sz w:val="16"/>
          <w:szCs w:val="16"/>
          <w:i w:val="1"/>
          <w:iCs w:val="1"/>
          <w:color w:val="auto"/>
        </w:rPr>
        <w:t xml:space="preserve">1st Quarter. </w:t>
      </w:r>
      <w:r>
        <w:rPr>
          <w:rFonts w:ascii="Arial" w:cs="Arial" w:eastAsia="Arial" w:hAnsi="Arial"/>
          <w:sz w:val="16"/>
          <w:szCs w:val="16"/>
          <w:color w:val="auto"/>
        </w:rPr>
        <w:t>We signed an agreement with EPTA S.p.A., a private Italian company, for the sale of our Kysor Warren business. Refer to Note 7 for details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divestiture. We also recorded gains of $46.4 million from insurance recoveries related to our Marshalltown facility; refer to Note 5 for details.</w:t>
      </w:r>
    </w:p>
    <w:p>
      <w:pPr>
        <w:spacing w:after="0" w:line="136"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i w:val="1"/>
          <w:iCs w:val="1"/>
          <w:color w:val="auto"/>
        </w:rPr>
        <w:t>2nd Quarter</w:t>
      </w:r>
      <w:r>
        <w:rPr>
          <w:rFonts w:ascii="Arial" w:cs="Arial" w:eastAsia="Arial" w:hAnsi="Arial"/>
          <w:sz w:val="17"/>
          <w:szCs w:val="17"/>
          <w:color w:val="auto"/>
        </w:rPr>
        <w:t>. We entered into an agreement with Pacific Life Insurance Company to purchase a group annuity contract and transfer our pension plan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pension benefit obligations. Refer to Note 11 for details regarding the transaction. We also recorded gains of $31.9 million from insurance recoveries related to our Marshalltown facility; refer to Note 5 for details.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3rd Quarter</w:t>
      </w:r>
      <w:r>
        <w:rPr>
          <w:rFonts w:ascii="Arial" w:cs="Arial" w:eastAsia="Arial" w:hAnsi="Arial"/>
          <w:sz w:val="17"/>
          <w:szCs w:val="17"/>
          <w:color w:val="auto"/>
        </w:rPr>
        <w:t>. We recorded gains of $7.1 million from insurance recoveries related to our Marshalltown facility; refer to Note 5 for details.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544" w:right="239" w:bottom="1440" w:gutter="0" w:footer="0" w:header="0"/>
        </w:sectPr>
      </w:pPr>
    </w:p>
    <w:bookmarkStart w:id="80" w:name="page81"/>
    <w:bookmarkEnd w:id="80"/>
    <w:p>
      <w:pPr>
        <w:jc w:val="both"/>
        <w:ind w:firstLine="234"/>
        <w:spacing w:after="0" w:line="266" w:lineRule="auto"/>
        <w:rPr>
          <w:sz w:val="20"/>
          <w:szCs w:val="20"/>
          <w:color w:val="auto"/>
        </w:rPr>
      </w:pPr>
      <w:r>
        <w:rPr>
          <w:rFonts w:ascii="Arial" w:cs="Arial" w:eastAsia="Arial" w:hAnsi="Arial"/>
          <w:sz w:val="17"/>
          <w:szCs w:val="17"/>
          <w:i w:val="1"/>
          <w:iCs w:val="1"/>
          <w:color w:val="auto"/>
        </w:rPr>
        <w:t>4th Quarter</w:t>
      </w:r>
      <w:r>
        <w:rPr>
          <w:rFonts w:ascii="Arial" w:cs="Arial" w:eastAsia="Arial" w:hAnsi="Arial"/>
          <w:sz w:val="17"/>
          <w:szCs w:val="17"/>
          <w:color w:val="auto"/>
        </w:rPr>
        <w:t>. We entered into a second agreement with Pacific Life Insurance Company to purchase a group annuity contract and transfer our pension plan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and related pension benefit obligations. Refer to Note 11 for details regarding the transaction. We also reached a final settlement with our insurance carriers for the losses incurred from tornado damage at our Marshalltown facility. We recorded gains of $93.4 million for the settlement and receipt of insurance recoveries; refer to Note 5 for further details.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2018 Quarterly Results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unusual or infrequent pre-tax items were included in the 2018 quarterly results:</w:t>
      </w:r>
    </w:p>
    <w:p>
      <w:pPr>
        <w:spacing w:after="0" w:line="221"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i w:val="1"/>
          <w:iCs w:val="1"/>
          <w:color w:val="auto"/>
        </w:rPr>
        <w:t xml:space="preserve">1st Quarter. </w:t>
      </w:r>
      <w:r>
        <w:rPr>
          <w:rFonts w:ascii="Arial" w:cs="Arial" w:eastAsia="Arial" w:hAnsi="Arial"/>
          <w:sz w:val="17"/>
          <w:szCs w:val="17"/>
          <w:color w:val="auto"/>
        </w:rPr>
        <w:t>We obtained board approval and signed an agreement with Beijer Ref AB, a Stockholm Stock Exchange-listed company, for the sale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Australia and Asia business.</w:t>
      </w:r>
    </w:p>
    <w:p>
      <w:pPr>
        <w:spacing w:after="0" w:line="159" w:lineRule="exact"/>
        <w:rPr>
          <w:sz w:val="20"/>
          <w:szCs w:val="20"/>
          <w:color w:val="auto"/>
        </w:rPr>
      </w:pPr>
    </w:p>
    <w:p>
      <w:pPr>
        <w:jc w:val="both"/>
        <w:ind w:firstLine="234"/>
        <w:spacing w:after="0" w:line="319" w:lineRule="auto"/>
        <w:rPr>
          <w:sz w:val="20"/>
          <w:szCs w:val="20"/>
          <w:color w:val="auto"/>
        </w:rPr>
      </w:pPr>
      <w:r>
        <w:rPr>
          <w:rFonts w:ascii="Arial" w:cs="Arial" w:eastAsia="Arial" w:hAnsi="Arial"/>
          <w:sz w:val="16"/>
          <w:szCs w:val="16"/>
          <w:i w:val="1"/>
          <w:iCs w:val="1"/>
          <w:color w:val="auto"/>
        </w:rPr>
        <w:t>2nd Quarter</w:t>
      </w:r>
      <w:r>
        <w:rPr>
          <w:rFonts w:ascii="Arial" w:cs="Arial" w:eastAsia="Arial" w:hAnsi="Arial"/>
          <w:sz w:val="16"/>
          <w:szCs w:val="16"/>
          <w:color w:val="auto"/>
        </w:rPr>
        <w:t>. We completed the sale to Beijer Ref AB of our Australia and Asia business and sold our Milperra property. We obtained board approval and signed</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agreement with Elgin SA, a private Brazilian company, for the sale of our South America business. Refer to Note 7 for details regarding the divestiture.</w:t>
      </w:r>
    </w:p>
    <w:p>
      <w:pPr>
        <w:spacing w:after="0" w:line="136"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i w:val="1"/>
          <w:iCs w:val="1"/>
          <w:color w:val="auto"/>
        </w:rPr>
        <w:t>3rd Quarter</w:t>
      </w:r>
      <w:r>
        <w:rPr>
          <w:rFonts w:ascii="Arial" w:cs="Arial" w:eastAsia="Arial" w:hAnsi="Arial"/>
          <w:sz w:val="17"/>
          <w:szCs w:val="17"/>
          <w:color w:val="auto"/>
        </w:rPr>
        <w:t>. We completed the sale to Elgin SA of our South America business. Our manufacturing facility in Marshalltown, Iowa was severely damaged by a</w:t>
      </w:r>
      <w:r>
        <w:rPr>
          <w:rFonts w:ascii="Arial" w:cs="Arial" w:eastAsia="Arial" w:hAnsi="Arial"/>
          <w:sz w:val="17"/>
          <w:szCs w:val="17"/>
          <w:i w:val="1"/>
          <w:iCs w:val="1"/>
          <w:color w:val="auto"/>
        </w:rPr>
        <w:t xml:space="preserve"> </w:t>
      </w:r>
      <w:r>
        <w:rPr>
          <w:rFonts w:ascii="Arial" w:cs="Arial" w:eastAsia="Arial" w:hAnsi="Arial"/>
          <w:sz w:val="17"/>
          <w:szCs w:val="17"/>
          <w:color w:val="auto"/>
        </w:rPr>
        <w:t>tornado. Refer to Note 7 for details regarding the divestiture and Note 5 for details related to the tornado damage.</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4th Quarter</w:t>
      </w:r>
      <w:r>
        <w:rPr>
          <w:rFonts w:ascii="Arial" w:cs="Arial" w:eastAsia="Arial" w:hAnsi="Arial"/>
          <w:sz w:val="17"/>
          <w:szCs w:val="17"/>
          <w:color w:val="auto"/>
        </w:rPr>
        <w:t>. We recorded gains of $38.6 million from insurance recoveries related to our Marshalltown facility, refer to Note 5 for further details.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Condensed Consolidating Financial Statements:</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Company’s senior unsecured notes are unconditionally guaranteed by certain of the Company’s subsidiaries (the “Guarantor</w:t>
      </w: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Subsidiaries”) and are not secured by our other subsidiaries (the “Non-Guarantor Subsidiaries”). The Guarantor Subsidiaries are 100% owned, all guarantees are full and unconditional, and all guarantees are joint and several. As a result of the guarantee arrangements, we are required to present condensed consolidating financial statements.</w:t>
      </w:r>
    </w:p>
    <w:p>
      <w:pPr>
        <w:spacing w:after="0" w:line="178"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The condensed consolidating financial statements reflect the investments in subsidiaries of the Company using the equity method of accounting. The principal elimination entries eliminate investments in subsidiaries and intercompany balances and transactions.</w:t>
      </w:r>
    </w:p>
    <w:p>
      <w:pPr>
        <w:spacing w:after="0" w:line="159"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Condensed consolidating financial statements of the Company, its Guarantor Subsidiaries and Non-Guarantor Subsidiaries as of December 31, 2019 and December 31, 2018 and for the years ended December 31, 2019, 2018 and 2017 are shown on the following pages.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54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Condensed Consolidating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2019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8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Guarantor</w:t>
            </w:r>
          </w:p>
        </w:tc>
        <w:tc>
          <w:tcPr>
            <w:tcW w:w="1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4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Subsidiaries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Current Assets: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Short-term investments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Accounts and notes receivable, net</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477.8</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Inventories, net</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477.2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544.1</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227"/>
        </w:trPr>
        <w:tc>
          <w:tcPr>
            <w:tcW w:w="4700" w:type="dxa"/>
            <w:vAlign w:val="bottom"/>
          </w:tcPr>
          <w:p>
            <w:pPr>
              <w:ind w:left="260"/>
              <w:spacing w:after="0"/>
              <w:rPr>
                <w:sz w:val="20"/>
                <w:szCs w:val="20"/>
                <w:color w:val="auto"/>
              </w:rPr>
            </w:pPr>
            <w:r>
              <w:rPr>
                <w:rFonts w:ascii="Arial" w:cs="Arial" w:eastAsia="Arial" w:hAnsi="Arial"/>
                <w:sz w:val="17"/>
                <w:szCs w:val="17"/>
                <w:color w:val="auto"/>
              </w:rPr>
              <w:t>Total current assets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588.9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562.9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1,120.9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plant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388.8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445.4</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Right-of-use assets from operating leases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158.9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181.6</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166.2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186.5</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Investment in subsidiaries</w:t>
            </w: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2,128.9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390.6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50.2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(2,569.7)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Other assets, net</w:t>
            </w: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61.9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Intercompany (payables) receivables, net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1,114.6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686.6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2,875.3</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905.3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(2,432.3)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2,034.9</w:t>
            </w:r>
          </w:p>
        </w:tc>
        <w:tc>
          <w:tcPr>
            <w:tcW w:w="0" w:type="dxa"/>
            <w:vAlign w:val="bottom"/>
          </w:tcPr>
          <w:p>
            <w:pPr>
              <w:spacing w:after="0"/>
              <w:rPr>
                <w:sz w:val="1"/>
                <w:szCs w:val="1"/>
                <w:color w:val="auto"/>
              </w:rPr>
            </w:pPr>
          </w:p>
        </w:tc>
      </w:tr>
      <w:tr>
        <w:trPr>
          <w:trHeight w:val="66"/>
        </w:trPr>
        <w:tc>
          <w:tcPr>
            <w:tcW w:w="47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70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b w:val="1"/>
                <w:bCs w:val="1"/>
                <w:color w:val="auto"/>
              </w:rPr>
              <w:t>LIABILITIES AND STOCKHOLDERS’ (DEFICIT) EQUITY</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Current 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Current maturities of long-term debt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321.9</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Current operating lease liabilities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45.5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296.5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372.4</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Accrued expenses</w:t>
            </w: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211.2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255.7</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taxes (receivable) payable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700" w:type="dxa"/>
            <w:vAlign w:val="bottom"/>
          </w:tcPr>
          <w:p>
            <w:pPr>
              <w:ind w:left="26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609.8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433.9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1,002.7</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823.4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849.3</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115.3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Pensions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79.4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87.4</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104.4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134.7</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856.8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932.3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2,205.1</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Commitments and contingencies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Total stockholders’ (deficit) equity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1,943.0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(2,381.4)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(170.2)</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Total liabilities and stockholders’ (deficit) equity</w:t>
            </w: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686.6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2,875.3</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905.3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(2,432.3)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2,034.9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8"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7"/>
          <w:szCs w:val="17"/>
          <w:b w:val="1"/>
          <w:bCs w:val="1"/>
          <w:color w:val="auto"/>
        </w:rPr>
        <w:t>Condensed Consolidating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2018</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Non-Guarantor</w:t>
            </w:r>
          </w:p>
        </w:tc>
        <w:tc>
          <w:tcPr>
            <w:tcW w:w="18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4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Subsidiaries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Accounts and notes receivable, net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44.3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428.4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472.7</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Inventories, net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509.8</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54.7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60.6</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1,089.4</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Property, plant and equipment, net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293.3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118.6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408.3</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166.1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186.6</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Investment in subsidiaries</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1,311.9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357.8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(1,669.2)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Other assets, net</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48.1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65.9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Intercompany (payables) receivables, net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675.8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Total assets</w:t>
            </w: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604.4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2,102.8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938.5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(1,828.5)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1,817.2</w:t>
            </w:r>
          </w:p>
        </w:tc>
        <w:tc>
          <w:tcPr>
            <w:tcW w:w="0" w:type="dxa"/>
            <w:vAlign w:val="bottom"/>
          </w:tcPr>
          <w:p>
            <w:pPr>
              <w:spacing w:after="0"/>
              <w:rPr>
                <w:sz w:val="1"/>
                <w:szCs w:val="1"/>
                <w:color w:val="auto"/>
              </w:rPr>
            </w:pPr>
          </w:p>
        </w:tc>
      </w:tr>
      <w:tr>
        <w:trPr>
          <w:trHeight w:val="66"/>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70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b w:val="1"/>
                <w:bCs w:val="1"/>
                <w:color w:val="auto"/>
              </w:rPr>
              <w:t>LIABILITIES AND STOCKHOLDERS’ (DEFICIT) EQUITY</w:t>
            </w: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Current liabilities: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Current maturities of long-term debt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300.8</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25.5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295.7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112.1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433.3</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Accrued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272.3</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Income taxes (receivable) payable</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40.6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50.8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1,008.5</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Long-term debt</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724.9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740.5</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Pensions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Other liabilities</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126.4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135.0</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Total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754.0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769.4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1,966.8</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Commitments and contingencies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Total stockholders’ (deficit)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1,333.4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(149.6)</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Total liabilities and stockholders’ (deficit) equity</w:t>
            </w: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604.4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2,102.8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938.5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(1,828.5)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1,817.2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538"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Condensed Consolidating Statements of Operations and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2019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Guarantor</w:t>
            </w: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Guarantor</w:t>
            </w:r>
          </w:p>
        </w:tc>
        <w:tc>
          <w:tcPr>
            <w:tcW w:w="1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54"/>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center"/>
              <w:ind w:right="95"/>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Net Sales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3,479.8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555.7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(228.3)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3,807.2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goods sold</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2,513.2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2,727.4</w:t>
            </w:r>
          </w:p>
        </w:tc>
        <w:tc>
          <w:tcPr>
            <w:tcW w:w="0" w:type="dxa"/>
            <w:vAlign w:val="bottom"/>
          </w:tcPr>
          <w:p>
            <w:pPr>
              <w:spacing w:after="0"/>
              <w:rPr>
                <w:sz w:val="1"/>
                <w:szCs w:val="1"/>
                <w:color w:val="auto"/>
              </w:rPr>
            </w:pPr>
          </w:p>
        </w:tc>
      </w:tr>
      <w:tr>
        <w:trPr>
          <w:trHeight w:val="227"/>
        </w:trPr>
        <w:tc>
          <w:tcPr>
            <w:tcW w:w="4700" w:type="dxa"/>
            <w:vAlign w:val="bottom"/>
          </w:tcPr>
          <w:p>
            <w:pPr>
              <w:ind w:left="260"/>
              <w:spacing w:after="0"/>
              <w:rPr>
                <w:sz w:val="20"/>
                <w:szCs w:val="20"/>
                <w:color w:val="auto"/>
              </w:rPr>
            </w:pPr>
            <w:r>
              <w:rPr>
                <w:rFonts w:ascii="Arial" w:cs="Arial" w:eastAsia="Arial" w:hAnsi="Arial"/>
                <w:sz w:val="17"/>
                <w:szCs w:val="17"/>
                <w:color w:val="auto"/>
              </w:rPr>
              <w:t>Gross profit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966.6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114.1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1,079.8</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60"/>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559.6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585.9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Losses (gains) and other expenses, net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34"/>
        </w:trPr>
        <w:tc>
          <w:tcPr>
            <w:tcW w:w="4700" w:type="dxa"/>
            <w:vAlign w:val="bottom"/>
          </w:tcPr>
          <w:p>
            <w:pPr>
              <w:ind w:left="260"/>
              <w:spacing w:after="0"/>
              <w:rPr>
                <w:sz w:val="20"/>
                <w:szCs w:val="20"/>
                <w:color w:val="auto"/>
              </w:rPr>
            </w:pPr>
            <w:r>
              <w:rPr>
                <w:rFonts w:ascii="Arial" w:cs="Arial" w:eastAsia="Arial" w:hAnsi="Arial"/>
                <w:sz w:val="17"/>
                <w:szCs w:val="17"/>
                <w:color w:val="auto"/>
              </w:rPr>
              <w:t>Restructuring charges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w w:val="99"/>
              </w:rPr>
              <w:t>Loss (gain), net on sale of businesses and related property</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34"/>
        </w:trPr>
        <w:tc>
          <w:tcPr>
            <w:tcW w:w="4700" w:type="dxa"/>
            <w:vAlign w:val="bottom"/>
          </w:tcPr>
          <w:p>
            <w:pPr>
              <w:ind w:left="260"/>
              <w:spacing w:after="0"/>
              <w:rPr>
                <w:sz w:val="20"/>
                <w:szCs w:val="20"/>
                <w:color w:val="auto"/>
              </w:rPr>
            </w:pPr>
            <w:r>
              <w:rPr>
                <w:rFonts w:ascii="Arial" w:cs="Arial" w:eastAsia="Arial" w:hAnsi="Arial"/>
                <w:sz w:val="17"/>
                <w:szCs w:val="17"/>
                <w:color w:val="auto"/>
              </w:rPr>
              <w:t>Gain from insurance recoveries, net of losses incurred</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(178.8)</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Income from equity method investments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466.5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Operating income</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415.7</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621.5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86.8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(467.1)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656.9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Pension settlements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99.2</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expense (income), net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7"/>
        </w:trPr>
        <w:tc>
          <w:tcPr>
            <w:tcW w:w="4700" w:type="dxa"/>
            <w:vAlign w:val="bottom"/>
          </w:tcPr>
          <w:p>
            <w:pPr>
              <w:ind w:left="360"/>
              <w:spacing w:after="0"/>
              <w:rPr>
                <w:sz w:val="20"/>
                <w:szCs w:val="20"/>
                <w:color w:val="auto"/>
              </w:rPr>
            </w:pPr>
            <w:r>
              <w:rPr>
                <w:rFonts w:ascii="Arial" w:cs="Arial" w:eastAsia="Arial" w:hAnsi="Arial"/>
                <w:sz w:val="17"/>
                <w:szCs w:val="17"/>
                <w:color w:val="auto"/>
              </w:rPr>
              <w:t>Income from continuing operations before income taxes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406.8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492.1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76.1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(467.1)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507.9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99.1</w:t>
            </w:r>
          </w:p>
        </w:tc>
        <w:tc>
          <w:tcPr>
            <w:tcW w:w="0" w:type="dxa"/>
            <w:vAlign w:val="bottom"/>
          </w:tcPr>
          <w:p>
            <w:pPr>
              <w:spacing w:after="0"/>
              <w:rPr>
                <w:sz w:val="1"/>
                <w:szCs w:val="1"/>
                <w:color w:val="auto"/>
              </w:rPr>
            </w:pPr>
          </w:p>
        </w:tc>
      </w:tr>
      <w:tr>
        <w:trPr>
          <w:trHeight w:val="227"/>
        </w:trPr>
        <w:tc>
          <w:tcPr>
            <w:tcW w:w="4700" w:type="dxa"/>
            <w:vAlign w:val="bottom"/>
          </w:tcPr>
          <w:p>
            <w:pPr>
              <w:ind w:left="360"/>
              <w:spacing w:after="0"/>
              <w:rPr>
                <w:sz w:val="20"/>
                <w:szCs w:val="20"/>
                <w:color w:val="auto"/>
              </w:rPr>
            </w:pPr>
            <w:r>
              <w:rPr>
                <w:rFonts w:ascii="Arial" w:cs="Arial" w:eastAsia="Arial" w:hAnsi="Arial"/>
                <w:sz w:val="17"/>
                <w:szCs w:val="17"/>
                <w:b w:val="1"/>
                <w:bCs w:val="1"/>
                <w:color w:val="auto"/>
              </w:rPr>
              <w:t>Income from continuing operations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408.8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419.6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(467.1)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408.8</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from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Net income</w:t>
            </w: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408.8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419.6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47.4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(467.1)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408.7</w:t>
            </w:r>
          </w:p>
        </w:tc>
        <w:tc>
          <w:tcPr>
            <w:tcW w:w="0" w:type="dxa"/>
            <w:vAlign w:val="bottom"/>
          </w:tcPr>
          <w:p>
            <w:pPr>
              <w:spacing w:after="0"/>
              <w:rPr>
                <w:sz w:val="1"/>
                <w:szCs w:val="1"/>
                <w:color w:val="auto"/>
              </w:rPr>
            </w:pPr>
          </w:p>
        </w:tc>
      </w:tr>
      <w:tr>
        <w:trPr>
          <w:trHeight w:val="66"/>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b w:val="1"/>
                <w:bCs w:val="1"/>
                <w:color w:val="auto"/>
              </w:rPr>
              <w:t>Other comprehensive income</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w:t>
            </w: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416.2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494.1</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50.5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(467.1)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493.7</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4"/>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8"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b w:val="1"/>
          <w:bCs w:val="1"/>
          <w:color w:val="auto"/>
        </w:rPr>
        <w:t>Condensed Consolidating Statements of Operations and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2018</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Guarantor</w:t>
            </w: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Guarantor</w:t>
            </w:r>
          </w:p>
        </w:tc>
        <w:tc>
          <w:tcPr>
            <w:tcW w:w="1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54"/>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center"/>
              <w:ind w:right="95"/>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Net sales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3,473.2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1,129.6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(718.9)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3,883.9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goods sold</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2,500.6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2,772.7</w:t>
            </w:r>
          </w:p>
        </w:tc>
        <w:tc>
          <w:tcPr>
            <w:tcW w:w="0" w:type="dxa"/>
            <w:vAlign w:val="bottom"/>
          </w:tcPr>
          <w:p>
            <w:pPr>
              <w:spacing w:after="0"/>
              <w:rPr>
                <w:sz w:val="1"/>
                <w:szCs w:val="1"/>
                <w:color w:val="auto"/>
              </w:rPr>
            </w:pPr>
          </w:p>
        </w:tc>
      </w:tr>
      <w:tr>
        <w:trPr>
          <w:trHeight w:val="227"/>
        </w:trPr>
        <w:tc>
          <w:tcPr>
            <w:tcW w:w="4700" w:type="dxa"/>
            <w:vAlign w:val="bottom"/>
          </w:tcPr>
          <w:p>
            <w:pPr>
              <w:ind w:left="260"/>
              <w:spacing w:after="0"/>
              <w:rPr>
                <w:sz w:val="20"/>
                <w:szCs w:val="20"/>
                <w:color w:val="auto"/>
              </w:rPr>
            </w:pPr>
            <w:r>
              <w:rPr>
                <w:rFonts w:ascii="Arial" w:cs="Arial" w:eastAsia="Arial" w:hAnsi="Arial"/>
                <w:sz w:val="17"/>
                <w:szCs w:val="17"/>
                <w:color w:val="auto"/>
              </w:rPr>
              <w:t>Gross profit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972.6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140.9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1,111.2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60"/>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555.3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53.6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608.2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Losses (gains) and other expenses, net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34"/>
        </w:trPr>
        <w:tc>
          <w:tcPr>
            <w:tcW w:w="4700" w:type="dxa"/>
            <w:vAlign w:val="bottom"/>
          </w:tcPr>
          <w:p>
            <w:pPr>
              <w:ind w:left="260"/>
              <w:spacing w:after="0"/>
              <w:rPr>
                <w:sz w:val="20"/>
                <w:szCs w:val="20"/>
                <w:color w:val="auto"/>
              </w:rPr>
            </w:pPr>
            <w:r>
              <w:rPr>
                <w:rFonts w:ascii="Arial" w:cs="Arial" w:eastAsia="Arial" w:hAnsi="Arial"/>
                <w:sz w:val="17"/>
                <w:szCs w:val="17"/>
                <w:color w:val="auto"/>
              </w:rPr>
              <w:t>Restructuring charges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w w:val="99"/>
              </w:rPr>
              <w:t>Loss (gain), net on sale of businesses and related property</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34"/>
        </w:trPr>
        <w:tc>
          <w:tcPr>
            <w:tcW w:w="4700" w:type="dxa"/>
            <w:vAlign w:val="bottom"/>
          </w:tcPr>
          <w:p>
            <w:pPr>
              <w:ind w:left="260"/>
              <w:spacing w:after="0"/>
              <w:rPr>
                <w:sz w:val="20"/>
                <w:szCs w:val="20"/>
                <w:color w:val="auto"/>
              </w:rPr>
            </w:pPr>
            <w:r>
              <w:rPr>
                <w:rFonts w:ascii="Arial" w:cs="Arial" w:eastAsia="Arial" w:hAnsi="Arial"/>
                <w:sz w:val="17"/>
                <w:szCs w:val="17"/>
                <w:color w:val="auto"/>
              </w:rPr>
              <w:t>Gain from insurance recoveries, net of losses incurred</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Income from equity method investments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435.6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Operational income</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365.4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479.1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(436.9)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509.9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Pension settlement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expense (income), net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7"/>
        </w:trPr>
        <w:tc>
          <w:tcPr>
            <w:tcW w:w="4700" w:type="dxa"/>
            <w:vAlign w:val="bottom"/>
          </w:tcPr>
          <w:p>
            <w:pPr>
              <w:ind w:left="580"/>
              <w:spacing w:after="0"/>
              <w:rPr>
                <w:sz w:val="20"/>
                <w:szCs w:val="20"/>
                <w:color w:val="auto"/>
              </w:rPr>
            </w:pPr>
            <w:r>
              <w:rPr>
                <w:rFonts w:ascii="Arial" w:cs="Arial" w:eastAsia="Arial" w:hAnsi="Arial"/>
                <w:sz w:val="17"/>
                <w:szCs w:val="17"/>
                <w:color w:val="auto"/>
                <w:w w:val="97"/>
              </w:rPr>
              <w:t>Income from continuing operations before income taxes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356.4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459.1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89.3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(436.9)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467.9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Income from continuing operations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359.0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367.0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71.3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(437.0)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360.3</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from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Net income</w:t>
            </w: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359.0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367.0</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(437.0)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359.0</w:t>
            </w:r>
          </w:p>
        </w:tc>
        <w:tc>
          <w:tcPr>
            <w:tcW w:w="0" w:type="dxa"/>
            <w:vAlign w:val="bottom"/>
          </w:tcPr>
          <w:p>
            <w:pPr>
              <w:spacing w:after="0"/>
              <w:rPr>
                <w:sz w:val="1"/>
                <w:szCs w:val="1"/>
                <w:color w:val="auto"/>
              </w:rPr>
            </w:pPr>
          </w:p>
        </w:tc>
      </w:tr>
      <w:tr>
        <w:trPr>
          <w:trHeight w:val="66"/>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b w:val="1"/>
                <w:bCs w:val="1"/>
                <w:color w:val="auto"/>
              </w:rPr>
              <w:t>Other comprehensive loss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w:t>
            </w: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343.6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351.7</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69.3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(437.0)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327.6</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4"/>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8"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Condensed Consolidating Statements of Operations and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2017</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54"/>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4"/>
                <w:szCs w:val="14"/>
                <w:b w:val="1"/>
                <w:bCs w:val="1"/>
                <w:color w:val="auto"/>
              </w:rPr>
              <w:t>Subsidiaries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Net Sales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3,295.8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1,144.2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(600.4)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3,839.6</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goods sold</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2,359.6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2,714.4</w:t>
            </w:r>
          </w:p>
        </w:tc>
        <w:tc>
          <w:tcPr>
            <w:tcW w:w="0" w:type="dxa"/>
            <w:vAlign w:val="bottom"/>
          </w:tcPr>
          <w:p>
            <w:pPr>
              <w:spacing w:after="0"/>
              <w:rPr>
                <w:sz w:val="1"/>
                <w:szCs w:val="1"/>
                <w:color w:val="auto"/>
              </w:rPr>
            </w:pPr>
          </w:p>
        </w:tc>
      </w:tr>
      <w:tr>
        <w:trPr>
          <w:trHeight w:val="227"/>
        </w:trPr>
        <w:tc>
          <w:tcPr>
            <w:tcW w:w="4700" w:type="dxa"/>
            <w:vAlign w:val="bottom"/>
          </w:tcPr>
          <w:p>
            <w:pPr>
              <w:ind w:left="260"/>
              <w:spacing w:after="0"/>
              <w:rPr>
                <w:sz w:val="20"/>
                <w:szCs w:val="20"/>
                <w:color w:val="auto"/>
              </w:rPr>
            </w:pPr>
            <w:r>
              <w:rPr>
                <w:rFonts w:ascii="Arial" w:cs="Arial" w:eastAsia="Arial" w:hAnsi="Arial"/>
                <w:sz w:val="17"/>
                <w:szCs w:val="17"/>
                <w:color w:val="auto"/>
              </w:rPr>
              <w:t>Gross profit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936.2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190.6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1,125.2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60"/>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553.6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85.0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637.7</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Losses (gains) and other expenses, net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34"/>
        </w:trPr>
        <w:tc>
          <w:tcPr>
            <w:tcW w:w="4700" w:type="dxa"/>
            <w:vAlign w:val="bottom"/>
          </w:tcPr>
          <w:p>
            <w:pPr>
              <w:ind w:left="260"/>
              <w:spacing w:after="0"/>
              <w:rPr>
                <w:sz w:val="20"/>
                <w:szCs w:val="20"/>
                <w:color w:val="auto"/>
              </w:rPr>
            </w:pPr>
            <w:r>
              <w:rPr>
                <w:rFonts w:ascii="Arial" w:cs="Arial" w:eastAsia="Arial" w:hAnsi="Arial"/>
                <w:sz w:val="17"/>
                <w:szCs w:val="17"/>
                <w:color w:val="auto"/>
              </w:rPr>
              <w:t>Restructuring charges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w w:val="99"/>
              </w:rPr>
              <w:t>Loss (gain), net on sale of businesses and related property</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4"/>
        </w:trPr>
        <w:tc>
          <w:tcPr>
            <w:tcW w:w="4700" w:type="dxa"/>
            <w:vAlign w:val="bottom"/>
          </w:tcPr>
          <w:p>
            <w:pPr>
              <w:ind w:left="260"/>
              <w:spacing w:after="0"/>
              <w:rPr>
                <w:sz w:val="20"/>
                <w:szCs w:val="20"/>
                <w:color w:val="auto"/>
              </w:rPr>
            </w:pPr>
            <w:r>
              <w:rPr>
                <w:rFonts w:ascii="Arial" w:cs="Arial" w:eastAsia="Arial" w:hAnsi="Arial"/>
                <w:sz w:val="17"/>
                <w:szCs w:val="17"/>
                <w:color w:val="auto"/>
              </w:rPr>
              <w:t>Income from equity method investments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395.3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Operational income</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494.5</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26.9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net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7"/>
        </w:trPr>
        <w:tc>
          <w:tcPr>
            <w:tcW w:w="4700" w:type="dxa"/>
            <w:vAlign w:val="bottom"/>
          </w:tcPr>
          <w:p>
            <w:pPr>
              <w:ind w:left="580"/>
              <w:spacing w:after="0"/>
              <w:rPr>
                <w:sz w:val="20"/>
                <w:szCs w:val="20"/>
                <w:color w:val="auto"/>
              </w:rPr>
            </w:pPr>
            <w:r>
              <w:rPr>
                <w:rFonts w:ascii="Arial" w:cs="Arial" w:eastAsia="Arial" w:hAnsi="Arial"/>
                <w:sz w:val="17"/>
                <w:szCs w:val="17"/>
                <w:color w:val="auto"/>
                <w:w w:val="97"/>
              </w:rPr>
              <w:t>Income from continuing operations before income taxes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295.4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453.7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110.8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(395.9)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464.0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156.9</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Income from continuing operations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305.7</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317.5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(395.7)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307.1</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from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Net income</w:t>
            </w: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305.7</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317.5</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78.2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(395.7)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305.7</w:t>
            </w:r>
          </w:p>
        </w:tc>
        <w:tc>
          <w:tcPr>
            <w:tcW w:w="0" w:type="dxa"/>
            <w:vAlign w:val="bottom"/>
          </w:tcPr>
          <w:p>
            <w:pPr>
              <w:spacing w:after="0"/>
              <w:rPr>
                <w:sz w:val="1"/>
                <w:szCs w:val="1"/>
                <w:color w:val="auto"/>
              </w:rPr>
            </w:pPr>
          </w:p>
        </w:tc>
      </w:tr>
      <w:tr>
        <w:trPr>
          <w:trHeight w:val="66"/>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b w:val="1"/>
                <w:bCs w:val="1"/>
                <w:color w:val="auto"/>
              </w:rPr>
              <w:t>Other comprehensive income</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w:t>
            </w: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307.4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323.0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108.7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(395.7)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343.4</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538"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Condensed Consolidating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2019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421.8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396.1</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9"/>
              </w:rPr>
              <w:t>Proceeds from the disposal of property, plant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Purchases of short-term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Net proceeds from sale of businesses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42.8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Insurance recoveries received for property damage incurred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from natural disaster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28.2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Short-term debt payments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Short-term debt borrowings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Asset securitization borrowings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184.5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184.5</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Asset securitization payments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(167.5)</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Long-term debt payments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Long-term debt borrowings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Borrowings on credit facility</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2,367.0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2,367.0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Payments on credit facility</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(2,269.5)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(2,269.5)</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Payments of deferred financing costs</w:t>
            </w:r>
          </w:p>
        </w:tc>
        <w:tc>
          <w:tcPr>
            <w:tcW w:w="260" w:type="dxa"/>
            <w:vAlign w:val="bottom"/>
          </w:tcPr>
          <w:p>
            <w:pPr>
              <w:spacing w:after="0"/>
              <w:rPr>
                <w:sz w:val="20"/>
                <w:szCs w:val="20"/>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restart"/>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8"/>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employee stock purchases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4"/>
        </w:trPr>
        <w:tc>
          <w:tcPr>
            <w:tcW w:w="4700" w:type="dxa"/>
            <w:vAlign w:val="bottom"/>
          </w:tcPr>
          <w:p>
            <w:pPr>
              <w:ind w:left="160"/>
              <w:spacing w:after="0"/>
              <w:rPr>
                <w:sz w:val="20"/>
                <w:szCs w:val="20"/>
                <w:color w:val="auto"/>
              </w:rPr>
            </w:pPr>
            <w:r>
              <w:rPr>
                <w:rFonts w:ascii="Arial" w:cs="Arial" w:eastAsia="Arial" w:hAnsi="Arial"/>
                <w:sz w:val="16"/>
                <w:szCs w:val="16"/>
                <w:color w:val="auto"/>
                <w:w w:val="95"/>
              </w:rPr>
              <w:t>Repurchases of common stock to satisfy employee withholding tax</w:t>
            </w:r>
          </w:p>
        </w:tc>
        <w:tc>
          <w:tcPr>
            <w:tcW w:w="2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60" w:type="dxa"/>
            <w:vAlign w:val="bottom"/>
            <w:gridSpan w:val="2"/>
            <w:vMerge w:val="restart"/>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13"/>
        </w:trPr>
        <w:tc>
          <w:tcPr>
            <w:tcW w:w="4700" w:type="dxa"/>
            <w:vAlign w:val="bottom"/>
          </w:tcPr>
          <w:p>
            <w:pPr>
              <w:ind w:left="160"/>
              <w:spacing w:after="0"/>
              <w:rPr>
                <w:sz w:val="20"/>
                <w:szCs w:val="20"/>
                <w:color w:val="auto"/>
              </w:rPr>
            </w:pPr>
            <w:r>
              <w:rPr>
                <w:rFonts w:ascii="Arial" w:cs="Arial" w:eastAsia="Arial" w:hAnsi="Arial"/>
                <w:sz w:val="16"/>
                <w:szCs w:val="16"/>
                <w:color w:val="auto"/>
              </w:rPr>
              <w:t>obligations</w:t>
            </w: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Repurchases of common stock</w:t>
            </w:r>
          </w:p>
        </w:tc>
        <w:tc>
          <w:tcPr>
            <w:tcW w:w="26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vMerge w:val="restart"/>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214"/>
        </w:trPr>
        <w:tc>
          <w:tcPr>
            <w:tcW w:w="47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Intercompany debt</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Intercompany financing activity</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441.5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Cash dividends paid</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(110.5)</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(423.4)</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(Decrease) increase in cash and cash equivalents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Cash and cash equivalents, beginning of year</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15.4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7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end of year</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4"/>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8"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7"/>
          <w:szCs w:val="17"/>
          <w:b w:val="1"/>
          <w:bCs w:val="1"/>
          <w:color w:val="auto"/>
        </w:rPr>
        <w:t>Condensed Consolidating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2018</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477.9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495.5</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9"/>
              </w:rPr>
              <w:t>Proceeds from the disposal of property, plant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proceeds from sale of businesses and related property</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114.7</w:t>
            </w:r>
          </w:p>
        </w:tc>
        <w:tc>
          <w:tcPr>
            <w:tcW w:w="0" w:type="dxa"/>
            <w:vAlign w:val="bottom"/>
          </w:tcPr>
          <w:p>
            <w:pPr>
              <w:spacing w:after="0"/>
              <w:rPr>
                <w:sz w:val="1"/>
                <w:szCs w:val="1"/>
                <w:color w:val="auto"/>
              </w:rPr>
            </w:pPr>
          </w:p>
        </w:tc>
      </w:tr>
      <w:tr>
        <w:trPr>
          <w:trHeight w:val="222"/>
        </w:trPr>
        <w:tc>
          <w:tcPr>
            <w:tcW w:w="4700" w:type="dxa"/>
            <w:vAlign w:val="bottom"/>
          </w:tcPr>
          <w:p>
            <w:pPr>
              <w:ind w:left="160"/>
              <w:spacing w:after="0"/>
              <w:rPr>
                <w:sz w:val="20"/>
                <w:szCs w:val="20"/>
                <w:color w:val="auto"/>
              </w:rPr>
            </w:pPr>
            <w:r>
              <w:rPr>
                <w:rFonts w:ascii="Arial" w:cs="Arial" w:eastAsia="Arial" w:hAnsi="Arial"/>
                <w:sz w:val="17"/>
                <w:szCs w:val="17"/>
                <w:color w:val="auto"/>
              </w:rPr>
              <w:t>Insurance recoveries received for property damage incurred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tcPr>
          <w:p>
            <w:pPr>
              <w:ind w:left="160"/>
              <w:spacing w:after="0"/>
              <w:rPr>
                <w:sz w:val="20"/>
                <w:szCs w:val="20"/>
                <w:color w:val="auto"/>
              </w:rPr>
            </w:pPr>
            <w:r>
              <w:rPr>
                <w:rFonts w:ascii="Arial" w:cs="Arial" w:eastAsia="Arial" w:hAnsi="Arial"/>
                <w:sz w:val="17"/>
                <w:szCs w:val="17"/>
                <w:color w:val="auto"/>
              </w:rPr>
              <w:t>from natural disaster</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(used in) provided by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Short-term debt borrowings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Short-term debt payments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Asset securitization borrowings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155.0</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Asset securitization payments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(163.0)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Long-term debt payments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Borrowings from credit facility</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2,435.9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2,435.9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Payments on credit facility</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(2,395.0)</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Proceeds from employee stock purchases</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Repurchases of common stock to satisfy employee withholding tax</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Repurchases of common stock</w:t>
            </w:r>
          </w:p>
        </w:tc>
        <w:tc>
          <w:tcPr>
            <w:tcW w:w="2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(450.2)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60" w:type="dxa"/>
            <w:vAlign w:val="bottom"/>
            <w:gridSpan w:val="2"/>
            <w:vMerge w:val="restart"/>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(450.2)</w:t>
            </w:r>
          </w:p>
        </w:tc>
        <w:tc>
          <w:tcPr>
            <w:tcW w:w="0" w:type="dxa"/>
            <w:vAlign w:val="bottom"/>
          </w:tcPr>
          <w:p>
            <w:pPr>
              <w:spacing w:after="0"/>
              <w:rPr>
                <w:sz w:val="1"/>
                <w:szCs w:val="1"/>
                <w:color w:val="auto"/>
              </w:rPr>
            </w:pPr>
          </w:p>
        </w:tc>
      </w:tr>
      <w:tr>
        <w:trPr>
          <w:trHeight w:val="208"/>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Intercompany debt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Intercompany financing activity</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487.8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Cash dividends paid</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(93.9)</w:t>
            </w:r>
          </w:p>
        </w:tc>
        <w:tc>
          <w:tcPr>
            <w:tcW w:w="0" w:type="dxa"/>
            <w:vAlign w:val="bottom"/>
          </w:tcPr>
          <w:p>
            <w:pPr>
              <w:spacing w:after="0"/>
              <w:rPr>
                <w:sz w:val="1"/>
                <w:szCs w:val="1"/>
                <w:color w:val="auto"/>
              </w:rPr>
            </w:pPr>
          </w:p>
        </w:tc>
      </w:tr>
      <w:tr>
        <w:trPr>
          <w:trHeight w:val="22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Net cash used in financing activities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(53.5)</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(428.1)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(537.8)</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Increase (decrease)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Effect of exchange rates on cash and cash equivalents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year</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68.2</w:t>
            </w:r>
          </w:p>
        </w:tc>
        <w:tc>
          <w:tcPr>
            <w:tcW w:w="0" w:type="dxa"/>
            <w:vAlign w:val="bottom"/>
          </w:tcPr>
          <w:p>
            <w:pPr>
              <w:spacing w:after="0"/>
              <w:rPr>
                <w:sz w:val="1"/>
                <w:szCs w:val="1"/>
                <w:color w:val="auto"/>
              </w:rPr>
            </w:pPr>
          </w:p>
        </w:tc>
      </w:tr>
      <w:tr>
        <w:trPr>
          <w:trHeight w:val="247"/>
        </w:trPr>
        <w:tc>
          <w:tcPr>
            <w:tcW w:w="470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end of year</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15.4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4"/>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8"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7"/>
          <w:szCs w:val="17"/>
          <w:b w:val="1"/>
          <w:bCs w:val="1"/>
          <w:color w:val="auto"/>
        </w:rPr>
        <w:t>Condensed Consolidating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2017</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467.4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325.1</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9"/>
              </w:rPr>
              <w:t>Proceeds from the disposal of property, plant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(98.3)</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(98.1)</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Short-term debt borrowings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Short-term debt payments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Asset securitization borrowings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315.0</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Asset securitization payments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(89.0)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Long-term debt payments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(200.9)</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Borrowings from credit facility</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2,376.5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2,376.5</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Payments on credit facility</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(2,265.5)</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Payments of deferred financing costs</w:t>
            </w:r>
          </w:p>
        </w:tc>
        <w:tc>
          <w:tcPr>
            <w:tcW w:w="260" w:type="dxa"/>
            <w:vAlign w:val="bottom"/>
          </w:tcPr>
          <w:p>
            <w:pPr>
              <w:spacing w:after="0"/>
              <w:rPr>
                <w:sz w:val="20"/>
                <w:szCs w:val="20"/>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restart"/>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8"/>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employee stock purchases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4"/>
        </w:trPr>
        <w:tc>
          <w:tcPr>
            <w:tcW w:w="4700" w:type="dxa"/>
            <w:vAlign w:val="bottom"/>
          </w:tcPr>
          <w:p>
            <w:pPr>
              <w:ind w:left="160"/>
              <w:spacing w:after="0"/>
              <w:rPr>
                <w:sz w:val="20"/>
                <w:szCs w:val="20"/>
                <w:color w:val="auto"/>
              </w:rPr>
            </w:pPr>
            <w:r>
              <w:rPr>
                <w:rFonts w:ascii="Arial" w:cs="Arial" w:eastAsia="Arial" w:hAnsi="Arial"/>
                <w:sz w:val="16"/>
                <w:szCs w:val="16"/>
                <w:color w:val="auto"/>
                <w:w w:val="95"/>
              </w:rPr>
              <w:t>Repurchases of common stock to satisfy employee withholding tax</w:t>
            </w:r>
          </w:p>
        </w:tc>
        <w:tc>
          <w:tcPr>
            <w:tcW w:w="2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60" w:type="dxa"/>
            <w:vAlign w:val="bottom"/>
            <w:gridSpan w:val="2"/>
            <w:vMerge w:val="restart"/>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13"/>
        </w:trPr>
        <w:tc>
          <w:tcPr>
            <w:tcW w:w="4700" w:type="dxa"/>
            <w:vAlign w:val="bottom"/>
          </w:tcPr>
          <w:p>
            <w:pPr>
              <w:ind w:left="160"/>
              <w:spacing w:after="0"/>
              <w:rPr>
                <w:sz w:val="20"/>
                <w:szCs w:val="20"/>
                <w:color w:val="auto"/>
              </w:rPr>
            </w:pPr>
            <w:r>
              <w:rPr>
                <w:rFonts w:ascii="Arial" w:cs="Arial" w:eastAsia="Arial" w:hAnsi="Arial"/>
                <w:sz w:val="16"/>
                <w:szCs w:val="16"/>
                <w:color w:val="auto"/>
              </w:rPr>
              <w:t>obligations</w:t>
            </w: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Repurchases of common stock</w:t>
            </w:r>
          </w:p>
        </w:tc>
        <w:tc>
          <w:tcPr>
            <w:tcW w:w="26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vMerge w:val="restart"/>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14"/>
        </w:trPr>
        <w:tc>
          <w:tcPr>
            <w:tcW w:w="47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6"/>
                <w:szCs w:val="16"/>
                <w:color w:val="auto"/>
              </w:rPr>
              <w:t>Intercompany debt</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56.4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Intercompany financing activity</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Arial" w:cs="Arial" w:eastAsia="Arial" w:hAnsi="Arial"/>
                <w:sz w:val="17"/>
                <w:szCs w:val="17"/>
                <w:color w:val="auto"/>
              </w:rPr>
              <w:t>Cash dividends paid</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(79.7)</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(218.3)</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Increase (decrease) in cash and cash equivalents</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7"/>
                <w:szCs w:val="17"/>
                <w:color w:val="auto"/>
              </w:rPr>
              <w:t>Cash and cash equivalents, beginning of year</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7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end of year</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68.2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538" w:right="2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our Chief Executive Officer and Chief Financial Officer have concluded that, as of December 31, 2019,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See “Management’s Report on Internal Control Over Financial Reporting” included in Item 8 “Financial Statements and Supplementary Data.”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Attestation Report of the Independent Registered Public Accounting Firm</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See “Report of Independent Registered Public Accounting Firm” included in Item 8 “Financial Statements and Supplementary Data.”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7" w:lineRule="exact"/>
        <w:rPr>
          <w:sz w:val="20"/>
          <w:szCs w:val="20"/>
          <w:color w:val="auto"/>
        </w:rPr>
      </w:pPr>
    </w:p>
    <w:p>
      <w:pPr>
        <w:jc w:val="both"/>
        <w:ind w:firstLine="221"/>
        <w:spacing w:after="0" w:line="266" w:lineRule="auto"/>
        <w:rPr>
          <w:sz w:val="20"/>
          <w:szCs w:val="20"/>
          <w:color w:val="auto"/>
        </w:rPr>
      </w:pPr>
      <w:r>
        <w:rPr>
          <w:rFonts w:ascii="Arial" w:cs="Arial" w:eastAsia="Arial" w:hAnsi="Arial"/>
          <w:sz w:val="17"/>
          <w:szCs w:val="17"/>
          <w:color w:val="auto"/>
        </w:rPr>
        <w:t>In the first quarter of 2019, we implemented new controls as part of our efforts to adopt ASU 2016-02, including new controls related to monitoring the adoption process, implementing a new IT system to capture, calculate, and account for leases, and gather the necessary data to properly account for leases under ASC 842. There were no other changes in our internal control over financial reporting that have materially affected, or are reasonably likely to materially affect,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III</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227" w:lineRule="exact"/>
        <w:rPr>
          <w:sz w:val="20"/>
          <w:szCs w:val="20"/>
          <w:color w:val="auto"/>
        </w:rPr>
      </w:pPr>
    </w:p>
    <w:p>
      <w:pPr>
        <w:jc w:val="both"/>
        <w:ind w:firstLine="234"/>
        <w:spacing w:after="0" w:line="271" w:lineRule="auto"/>
        <w:rPr>
          <w:sz w:val="20"/>
          <w:szCs w:val="20"/>
          <w:color w:val="auto"/>
        </w:rPr>
      </w:pPr>
      <w:r>
        <w:rPr>
          <w:rFonts w:ascii="Arial" w:cs="Arial" w:eastAsia="Arial" w:hAnsi="Arial"/>
          <w:sz w:val="17"/>
          <w:szCs w:val="17"/>
          <w:color w:val="auto"/>
        </w:rPr>
        <w:t>Incorporated herein by reference from the Company’s definitive proxy statement, which will be filed no later than 120 days after December 31, 2019. Also, refer to Part I, Item 1 “Business - Information about our Executive Officers ” of this Annual Report on Form 10-K, which identifies our executive officers and is incorporated herein by reference.</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Incorporated herein by reference from the Company’s definitive proxy statement, which will be filed no later than 120 days after December 31, 2019.</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538" w:right="239" w:bottom="1440" w:gutter="0" w:footer="0" w:header="0"/>
        </w:sectPr>
      </w:pPr>
    </w:p>
    <w:bookmarkStart w:id="90" w:name="page91"/>
    <w:bookmarkEnd w:id="90"/>
    <w:p>
      <w:pPr>
        <w:ind w:left="2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27" w:lineRule="exact"/>
        <w:rPr>
          <w:sz w:val="20"/>
          <w:szCs w:val="20"/>
          <w:color w:val="auto"/>
        </w:rPr>
      </w:pPr>
    </w:p>
    <w:p>
      <w:pPr>
        <w:ind w:firstLine="234"/>
        <w:spacing w:after="0" w:line="286" w:lineRule="auto"/>
        <w:rPr>
          <w:sz w:val="20"/>
          <w:szCs w:val="20"/>
          <w:color w:val="auto"/>
        </w:rPr>
      </w:pPr>
      <w:r>
        <w:rPr>
          <w:rFonts w:ascii="Arial" w:cs="Arial" w:eastAsia="Arial" w:hAnsi="Arial"/>
          <w:sz w:val="17"/>
          <w:szCs w:val="17"/>
          <w:color w:val="auto"/>
        </w:rPr>
        <w:t>Incorporated herein by reference from the Company’s definitive proxy statement, which will be filed no later than 120 days after December 31, 2019. Also, refer to Note 16 in the Notes to the Consolidated Financial Statements for additional information about our equity compensation plans.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Incorporated herein by reference from the Company’s definitive proxy statement, which will be filed no later than 120 days after December 31, 2019.</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Incorporated herein by reference from the Company’s definitive proxy statement, which will be filed no later than 120 days after December 31,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IV</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and Financial Statement Schedules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Statements</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financial statements are included in Part II, Item 8 of the Annual Report on Form 10-K:</w:t>
      </w:r>
    </w:p>
    <w:p>
      <w:pPr>
        <w:spacing w:after="0" w:line="25" w:lineRule="exact"/>
        <w:rPr>
          <w:sz w:val="20"/>
          <w:szCs w:val="20"/>
          <w:color w:val="auto"/>
        </w:rPr>
      </w:pPr>
    </w:p>
    <w:p>
      <w:pPr>
        <w:ind w:left="780" w:hanging="229"/>
        <w:spacing w:after="0"/>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w:t>
      </w:r>
    </w:p>
    <w:p>
      <w:pPr>
        <w:spacing w:after="0" w:line="12" w:lineRule="exact"/>
        <w:rPr>
          <w:rFonts w:ascii="Arial" w:cs="Arial" w:eastAsia="Arial" w:hAnsi="Arial"/>
          <w:sz w:val="17"/>
          <w:szCs w:val="17"/>
          <w:color w:val="auto"/>
        </w:rPr>
      </w:pPr>
    </w:p>
    <w:p>
      <w:pPr>
        <w:ind w:left="780" w:hanging="229"/>
        <w:spacing w:after="0"/>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Consolidated Balance Sheets as of December 31, 2019 and 2018</w:t>
      </w:r>
    </w:p>
    <w:p>
      <w:pPr>
        <w:spacing w:after="0" w:line="12" w:lineRule="exact"/>
        <w:rPr>
          <w:rFonts w:ascii="Arial" w:cs="Arial" w:eastAsia="Arial" w:hAnsi="Arial"/>
          <w:sz w:val="17"/>
          <w:szCs w:val="17"/>
          <w:color w:val="auto"/>
        </w:rPr>
      </w:pPr>
    </w:p>
    <w:p>
      <w:pPr>
        <w:ind w:left="780" w:hanging="229"/>
        <w:spacing w:after="0"/>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Consolidated Statements of Operations for the Years Ended December 31, 2019, 2018 and 2017</w:t>
      </w:r>
    </w:p>
    <w:p>
      <w:pPr>
        <w:spacing w:after="0" w:line="12" w:lineRule="exact"/>
        <w:rPr>
          <w:rFonts w:ascii="Arial" w:cs="Arial" w:eastAsia="Arial" w:hAnsi="Arial"/>
          <w:sz w:val="17"/>
          <w:szCs w:val="17"/>
          <w:color w:val="auto"/>
        </w:rPr>
      </w:pPr>
    </w:p>
    <w:p>
      <w:pPr>
        <w:ind w:left="780" w:hanging="229"/>
        <w:spacing w:after="0"/>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Consolidated Statements of Comprehensive Income for the Years Ended December 31, 2019, 2018 and 2017</w:t>
      </w:r>
    </w:p>
    <w:p>
      <w:pPr>
        <w:spacing w:after="0" w:line="12" w:lineRule="exact"/>
        <w:rPr>
          <w:rFonts w:ascii="Arial" w:cs="Arial" w:eastAsia="Arial" w:hAnsi="Arial"/>
          <w:sz w:val="17"/>
          <w:szCs w:val="17"/>
          <w:color w:val="auto"/>
        </w:rPr>
      </w:pPr>
    </w:p>
    <w:p>
      <w:pPr>
        <w:ind w:left="780" w:hanging="229"/>
        <w:spacing w:after="0"/>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Consolidated Statements of Stockholders’ (Deficit) Equity for the Years Ended December 31, 2019, 2018 and 2017</w:t>
      </w:r>
    </w:p>
    <w:p>
      <w:pPr>
        <w:spacing w:after="0" w:line="12" w:lineRule="exact"/>
        <w:rPr>
          <w:rFonts w:ascii="Arial" w:cs="Arial" w:eastAsia="Arial" w:hAnsi="Arial"/>
          <w:sz w:val="17"/>
          <w:szCs w:val="17"/>
          <w:color w:val="auto"/>
        </w:rPr>
      </w:pPr>
    </w:p>
    <w:p>
      <w:pPr>
        <w:ind w:left="780" w:hanging="229"/>
        <w:spacing w:after="0"/>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Consolidated Statements of Cash Flows for the Years Ended December 31, 2019, 2018 and 2017</w:t>
      </w:r>
    </w:p>
    <w:p>
      <w:pPr>
        <w:spacing w:after="0" w:line="12" w:lineRule="exact"/>
        <w:rPr>
          <w:rFonts w:ascii="Arial" w:cs="Arial" w:eastAsia="Arial" w:hAnsi="Arial"/>
          <w:sz w:val="17"/>
          <w:szCs w:val="17"/>
          <w:color w:val="auto"/>
        </w:rPr>
      </w:pPr>
    </w:p>
    <w:p>
      <w:pPr>
        <w:ind w:left="780" w:hanging="229"/>
        <w:spacing w:after="0"/>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Notes to the Consolidated Financial Statements for the Years Ended December 31, 2019, 2018 and 2017</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Schedules</w:t>
      </w:r>
    </w:p>
    <w:p>
      <w:pPr>
        <w:spacing w:after="0" w:line="227" w:lineRule="exact"/>
        <w:rPr>
          <w:sz w:val="20"/>
          <w:szCs w:val="20"/>
          <w:color w:val="auto"/>
        </w:rPr>
      </w:pPr>
    </w:p>
    <w:p>
      <w:pPr>
        <w:ind w:firstLine="234"/>
        <w:spacing w:after="0" w:line="286" w:lineRule="auto"/>
        <w:rPr>
          <w:sz w:val="20"/>
          <w:szCs w:val="20"/>
          <w:color w:val="auto"/>
        </w:rPr>
      </w:pPr>
      <w:r>
        <w:rPr>
          <w:rFonts w:ascii="Arial" w:cs="Arial" w:eastAsia="Arial" w:hAnsi="Arial"/>
          <w:sz w:val="17"/>
          <w:szCs w:val="17"/>
          <w:color w:val="auto"/>
        </w:rPr>
        <w:t>The financial statement schedule included in this Annual Report on Form 10-K is Schedule II - Valuation and Qualifying Accounts and Reserves for the Years Ended December 31, 2019, 2018 and 2017 (see Schedule II immediately following the signature page of this Annual Report on Form 10-K).</w:t>
      </w:r>
    </w:p>
    <w:p>
      <w:pPr>
        <w:spacing w:after="0" w:line="159" w:lineRule="exact"/>
        <w:rPr>
          <w:sz w:val="20"/>
          <w:szCs w:val="20"/>
          <w:color w:val="auto"/>
        </w:rPr>
      </w:pPr>
    </w:p>
    <w:p>
      <w:pPr>
        <w:ind w:firstLine="234"/>
        <w:spacing w:after="0" w:line="286" w:lineRule="auto"/>
        <w:rPr>
          <w:sz w:val="20"/>
          <w:szCs w:val="20"/>
          <w:color w:val="auto"/>
        </w:rPr>
      </w:pPr>
      <w:r>
        <w:rPr>
          <w:rFonts w:ascii="Arial" w:cs="Arial" w:eastAsia="Arial" w:hAnsi="Arial"/>
          <w:sz w:val="17"/>
          <w:szCs w:val="17"/>
          <w:color w:val="auto"/>
        </w:rPr>
        <w:t>Financial statement schedules not included in this Annual Report on Form 10-K have been omitted because they are not applicable or the required information is shown in the Consolidated Financial Statements or Notes thereto.</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227" w:lineRule="exact"/>
        <w:rPr>
          <w:sz w:val="20"/>
          <w:szCs w:val="20"/>
          <w:color w:val="auto"/>
        </w:rPr>
      </w:pPr>
    </w:p>
    <w:p>
      <w:pPr>
        <w:ind w:firstLine="234"/>
        <w:spacing w:after="0" w:line="286" w:lineRule="auto"/>
        <w:rPr>
          <w:sz w:val="20"/>
          <w:szCs w:val="20"/>
          <w:color w:val="auto"/>
        </w:rPr>
      </w:pPr>
      <w:r>
        <w:rPr>
          <w:rFonts w:ascii="Arial" w:cs="Arial" w:eastAsia="Arial" w:hAnsi="Arial"/>
          <w:sz w:val="17"/>
          <w:szCs w:val="17"/>
          <w:color w:val="auto"/>
        </w:rPr>
        <w:t>A list of the exhibits required to be filed or furnished as part of this Annual Report on Form 10-K is set forth in the Index to Exhibits, which immediately precedes such exhibits, and is incorporated herein by reference.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538"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500" w:type="dxa"/>
            <w:vAlign w:val="bottom"/>
            <w:gridSpan w:val="28"/>
          </w:tcPr>
          <w:p>
            <w:pPr>
              <w:ind w:left="40"/>
              <w:spacing w:after="0"/>
              <w:rPr>
                <w:sz w:val="20"/>
                <w:szCs w:val="20"/>
                <w:color w:val="auto"/>
              </w:rPr>
            </w:pPr>
            <w:r>
              <w:rPr>
                <w:rFonts w:ascii="Arial" w:cs="Arial" w:eastAsia="Arial" w:hAnsi="Arial"/>
                <w:sz w:val="17"/>
                <w:szCs w:val="17"/>
                <w:b w:val="1"/>
                <w:bCs w:val="1"/>
                <w:color w:val="auto"/>
              </w:rPr>
              <w:t>INDEX TO EXHIBITS</w:t>
            </w:r>
          </w:p>
        </w:tc>
      </w:tr>
      <w:tr>
        <w:trPr>
          <w:trHeight w:val="547"/>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3.1</w:t>
            </w:r>
          </w:p>
        </w:tc>
        <w:tc>
          <w:tcPr>
            <w:tcW w:w="10460" w:type="dxa"/>
            <w:vAlign w:val="bottom"/>
            <w:gridSpan w:val="36"/>
            <w:shd w:val="clear" w:color="auto" w:fill="CCEEFF"/>
          </w:tcPr>
          <w:p>
            <w:pPr>
              <w:spacing w:after="0"/>
              <w:rPr>
                <w:rFonts w:ascii="Arial" w:cs="Arial" w:eastAsia="Arial" w:hAnsi="Arial"/>
                <w:sz w:val="17"/>
                <w:szCs w:val="17"/>
                <w:color w:val="0000FF"/>
              </w:rPr>
            </w:pPr>
            <w:hyperlink r:id="rId74">
              <w:r>
                <w:rPr>
                  <w:rFonts w:ascii="Arial" w:cs="Arial" w:eastAsia="Arial" w:hAnsi="Arial"/>
                  <w:sz w:val="17"/>
                  <w:szCs w:val="17"/>
                  <w:color w:val="0000FF"/>
                </w:rPr>
                <w:t>Restated Certificate of Incorporation of Lennox International Inc. (“LII”) (filed as Exhibit 3.1 to LII’s Registration Statement on Form S-1</w:t>
              </w:r>
            </w:hyperlink>
          </w:p>
        </w:tc>
      </w:tr>
      <w:tr>
        <w:trPr>
          <w:trHeight w:val="188"/>
        </w:trPr>
        <w:tc>
          <w:tcPr>
            <w:tcW w:w="960" w:type="dxa"/>
            <w:vAlign w:val="bottom"/>
            <w:tcBorders>
              <w:top w:val="single" w:sz="8" w:color="CCEEFF"/>
            </w:tcBorders>
            <w:shd w:val="clear" w:color="auto" w:fill="CCEEFF"/>
          </w:tcPr>
          <w:p>
            <w:pPr>
              <w:spacing w:after="0"/>
              <w:rPr>
                <w:sz w:val="16"/>
                <w:szCs w:val="16"/>
                <w:color w:val="auto"/>
              </w:rPr>
            </w:pPr>
          </w:p>
        </w:tc>
        <w:tc>
          <w:tcPr>
            <w:tcW w:w="9600" w:type="dxa"/>
            <w:vAlign w:val="bottom"/>
            <w:tcBorders>
              <w:top w:val="single" w:sz="8" w:color="0000FF"/>
            </w:tcBorders>
            <w:gridSpan w:val="16"/>
            <w:shd w:val="clear" w:color="auto" w:fill="CCEEFF"/>
          </w:tcPr>
          <w:p>
            <w:pPr>
              <w:spacing w:after="0" w:line="189" w:lineRule="exact"/>
              <w:rPr>
                <w:rFonts w:ascii="Arial" w:cs="Arial" w:eastAsia="Arial" w:hAnsi="Arial"/>
                <w:sz w:val="17"/>
                <w:szCs w:val="17"/>
                <w:color w:val="0000FF"/>
              </w:rPr>
            </w:pPr>
            <w:hyperlink r:id="rId74">
              <w:r>
                <w:rPr>
                  <w:rFonts w:ascii="Arial" w:cs="Arial" w:eastAsia="Arial" w:hAnsi="Arial"/>
                  <w:sz w:val="17"/>
                  <w:szCs w:val="17"/>
                  <w:color w:val="0000FF"/>
                </w:rPr>
                <w:t>(Registration Statement No. 333-75725) filed on April 6, 1999 and incorporated herein by reference).</w:t>
              </w:r>
            </w:hyperlink>
          </w:p>
        </w:tc>
        <w:tc>
          <w:tcPr>
            <w:tcW w:w="860" w:type="dxa"/>
            <w:vAlign w:val="bottom"/>
            <w:tcBorders>
              <w:top w:val="single" w:sz="8" w:color="CCEEFF"/>
            </w:tcBorders>
            <w:gridSpan w:val="20"/>
            <w:shd w:val="clear" w:color="auto" w:fill="CCEEFF"/>
          </w:tcPr>
          <w:p>
            <w:pPr>
              <w:spacing w:after="0"/>
              <w:rPr>
                <w:sz w:val="16"/>
                <w:szCs w:val="16"/>
                <w:color w:val="auto"/>
              </w:rPr>
            </w:pPr>
          </w:p>
        </w:tc>
      </w:tr>
      <w:tr>
        <w:trPr>
          <w:trHeight w:val="45"/>
        </w:trPr>
        <w:tc>
          <w:tcPr>
            <w:tcW w:w="9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8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40" w:type="dxa"/>
            <w:vAlign w:val="bottom"/>
            <w:tcBorders>
              <w:top w:val="single" w:sz="8" w:color="0000FF"/>
            </w:tcBorders>
            <w:shd w:val="clear" w:color="auto" w:fill="CCEEFF"/>
          </w:tcPr>
          <w:p>
            <w:pPr>
              <w:spacing w:after="0"/>
              <w:rPr>
                <w:sz w:val="3"/>
                <w:szCs w:val="3"/>
                <w:color w:val="auto"/>
              </w:rPr>
            </w:pPr>
          </w:p>
        </w:tc>
        <w:tc>
          <w:tcPr>
            <w:tcW w:w="960" w:type="dxa"/>
            <w:vAlign w:val="bottom"/>
            <w:tcBorders>
              <w:top w:val="single" w:sz="8" w:color="0000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lef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3.2</w:t>
            </w:r>
          </w:p>
        </w:tc>
        <w:tc>
          <w:tcPr>
            <w:tcW w:w="10320" w:type="dxa"/>
            <w:vAlign w:val="bottom"/>
            <w:tcBorders>
              <w:bottom w:val="single" w:sz="8" w:color="0000FF"/>
            </w:tcBorders>
            <w:gridSpan w:val="29"/>
          </w:tcPr>
          <w:p>
            <w:pPr>
              <w:spacing w:after="0"/>
              <w:rPr>
                <w:rFonts w:ascii="Arial" w:cs="Arial" w:eastAsia="Arial" w:hAnsi="Arial"/>
                <w:sz w:val="17"/>
                <w:szCs w:val="17"/>
                <w:color w:val="0000FF"/>
                <w:w w:val="93"/>
              </w:rPr>
            </w:pPr>
            <w:hyperlink r:id="rId75">
              <w:r>
                <w:rPr>
                  <w:rFonts w:ascii="Arial" w:cs="Arial" w:eastAsia="Arial" w:hAnsi="Arial"/>
                  <w:sz w:val="17"/>
                  <w:szCs w:val="17"/>
                  <w:color w:val="0000FF"/>
                  <w:w w:val="93"/>
                </w:rPr>
                <w:t>Amended and Restated Bylaws of LII (filed as Exhibit 3.1 to LII’s Current Report on Form 8-K filed on December 16, 2013 and incorporated herein</w:t>
              </w:r>
            </w:hyperlink>
          </w:p>
        </w:tc>
        <w:tc>
          <w:tcPr>
            <w:tcW w:w="140" w:type="dxa"/>
            <w:vAlign w:val="bottom"/>
            <w:gridSpan w:val="7"/>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36"/>
          </w:tcPr>
          <w:p>
            <w:pPr>
              <w:spacing w:after="0" w:line="189" w:lineRule="exact"/>
              <w:rPr>
                <w:rFonts w:ascii="Arial" w:cs="Arial" w:eastAsia="Arial" w:hAnsi="Arial"/>
                <w:sz w:val="17"/>
                <w:szCs w:val="17"/>
                <w:color w:val="0000FF"/>
              </w:rPr>
            </w:pPr>
            <w:hyperlink r:id="rId75">
              <w:r>
                <w:rPr>
                  <w:rFonts w:ascii="Arial" w:cs="Arial" w:eastAsia="Arial" w:hAnsi="Arial"/>
                  <w:sz w:val="17"/>
                  <w:szCs w:val="17"/>
                  <w:color w:val="0000FF"/>
                </w:rPr>
                <w:t>by reference).</w:t>
              </w:r>
            </w:hyperlink>
          </w:p>
        </w:tc>
      </w:tr>
      <w:tr>
        <w:trPr>
          <w:trHeight w:val="45"/>
        </w:trPr>
        <w:tc>
          <w:tcPr>
            <w:tcW w:w="960" w:type="dxa"/>
            <w:vAlign w:val="bottom"/>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4.2</w:t>
            </w:r>
          </w:p>
        </w:tc>
        <w:tc>
          <w:tcPr>
            <w:tcW w:w="10460" w:type="dxa"/>
            <w:vAlign w:val="bottom"/>
            <w:gridSpan w:val="36"/>
            <w:shd w:val="clear" w:color="auto" w:fill="CCEEFF"/>
          </w:tcPr>
          <w:p>
            <w:pPr>
              <w:spacing w:after="0"/>
              <w:rPr>
                <w:rFonts w:ascii="Arial" w:cs="Arial" w:eastAsia="Arial" w:hAnsi="Arial"/>
                <w:sz w:val="17"/>
                <w:szCs w:val="17"/>
                <w:color w:val="0000FF"/>
              </w:rPr>
            </w:pPr>
            <w:hyperlink r:id="rId76">
              <w:r>
                <w:rPr>
                  <w:rFonts w:ascii="Arial" w:cs="Arial" w:eastAsia="Arial" w:hAnsi="Arial"/>
                  <w:sz w:val="17"/>
                  <w:szCs w:val="17"/>
                  <w:color w:val="0000FF"/>
                </w:rPr>
                <w:t>Indenture, dated as of May 3, 2010, between LII and U.S. Bank National Association, as trustee (filed as Exhibit 4.3 to LII’s Post-Effective</w:t>
              </w:r>
            </w:hyperlink>
          </w:p>
        </w:tc>
      </w:tr>
      <w:tr>
        <w:trPr>
          <w:trHeight w:val="20"/>
        </w:trPr>
        <w:tc>
          <w:tcPr>
            <w:tcW w:w="960" w:type="dxa"/>
            <w:vAlign w:val="bottom"/>
            <w:shd w:val="clear" w:color="auto" w:fill="CCEE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8"/>
        </w:trPr>
        <w:tc>
          <w:tcPr>
            <w:tcW w:w="960" w:type="dxa"/>
            <w:vAlign w:val="bottom"/>
            <w:shd w:val="clear" w:color="auto" w:fill="CCEEFF"/>
          </w:tcPr>
          <w:p>
            <w:pPr>
              <w:spacing w:after="0"/>
              <w:rPr>
                <w:sz w:val="16"/>
                <w:szCs w:val="16"/>
                <w:color w:val="auto"/>
              </w:rPr>
            </w:pPr>
          </w:p>
        </w:tc>
        <w:tc>
          <w:tcPr>
            <w:tcW w:w="10460" w:type="dxa"/>
            <w:vAlign w:val="bottom"/>
            <w:gridSpan w:val="36"/>
            <w:shd w:val="clear" w:color="auto" w:fill="CCEEFF"/>
          </w:tcPr>
          <w:p>
            <w:pPr>
              <w:spacing w:after="0" w:line="189" w:lineRule="exact"/>
              <w:rPr>
                <w:rFonts w:ascii="Arial" w:cs="Arial" w:eastAsia="Arial" w:hAnsi="Arial"/>
                <w:sz w:val="17"/>
                <w:szCs w:val="17"/>
                <w:color w:val="0000FF"/>
                <w:w w:val="96"/>
              </w:rPr>
            </w:pPr>
            <w:hyperlink r:id="rId76">
              <w:r>
                <w:rPr>
                  <w:rFonts w:ascii="Arial" w:cs="Arial" w:eastAsia="Arial" w:hAnsi="Arial"/>
                  <w:sz w:val="17"/>
                  <w:szCs w:val="17"/>
                  <w:color w:val="0000FF"/>
                  <w:w w:val="96"/>
                </w:rPr>
                <w:t>Amendment No. 1 to Registration Statement on S-3 (Registration No. 333-155796) filed on May 3, 2010, and incorporated herein by reference).</w:t>
              </w:r>
            </w:hyperlink>
          </w:p>
        </w:tc>
      </w:tr>
      <w:tr>
        <w:trPr>
          <w:trHeight w:val="45"/>
        </w:trPr>
        <w:tc>
          <w:tcPr>
            <w:tcW w:w="9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8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40" w:type="dxa"/>
            <w:vAlign w:val="bottom"/>
            <w:tcBorders>
              <w:top w:val="single" w:sz="8" w:color="0000FF"/>
            </w:tcBorders>
            <w:shd w:val="clear" w:color="auto" w:fill="CCEEFF"/>
          </w:tcPr>
          <w:p>
            <w:pPr>
              <w:spacing w:after="0"/>
              <w:rPr>
                <w:sz w:val="3"/>
                <w:szCs w:val="3"/>
                <w:color w:val="auto"/>
              </w:rPr>
            </w:pPr>
          </w:p>
        </w:tc>
        <w:tc>
          <w:tcPr>
            <w:tcW w:w="960" w:type="dxa"/>
            <w:vAlign w:val="bottom"/>
            <w:tcBorders>
              <w:top w:val="single" w:sz="8" w:color="0000FF"/>
            </w:tcBorders>
            <w:shd w:val="clear" w:color="auto" w:fill="CCEEFF"/>
          </w:tcPr>
          <w:p>
            <w:pPr>
              <w:spacing w:after="0"/>
              <w:rPr>
                <w:sz w:val="3"/>
                <w:szCs w:val="3"/>
                <w:color w:val="auto"/>
              </w:rPr>
            </w:pPr>
          </w:p>
        </w:tc>
        <w:tc>
          <w:tcPr>
            <w:tcW w:w="94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68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left w:val="single" w:sz="8" w:color="CCEE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4.3</w:t>
            </w:r>
          </w:p>
        </w:tc>
        <w:tc>
          <w:tcPr>
            <w:tcW w:w="10400" w:type="dxa"/>
            <w:vAlign w:val="bottom"/>
            <w:tcBorders>
              <w:bottom w:val="single" w:sz="8" w:color="0000FF"/>
            </w:tcBorders>
            <w:gridSpan w:val="33"/>
          </w:tcPr>
          <w:p>
            <w:pPr>
              <w:spacing w:after="0"/>
              <w:rPr>
                <w:rFonts w:ascii="Arial" w:cs="Arial" w:eastAsia="Arial" w:hAnsi="Arial"/>
                <w:sz w:val="17"/>
                <w:szCs w:val="17"/>
                <w:color w:val="0000FF"/>
                <w:w w:val="93"/>
              </w:rPr>
            </w:pPr>
            <w:hyperlink r:id="rId77">
              <w:r>
                <w:rPr>
                  <w:rFonts w:ascii="Arial" w:cs="Arial" w:eastAsia="Arial" w:hAnsi="Arial"/>
                  <w:sz w:val="17"/>
                  <w:szCs w:val="17"/>
                  <w:color w:val="0000FF"/>
                  <w:w w:val="93"/>
                </w:rPr>
                <w:t>Form of First Supplemental Indenture among LII, the guarantors party thereto and U.S. Bank National Association, as trustee (filed as Exhibit 4.11 to</w:t>
              </w:r>
            </w:hyperlink>
          </w:p>
        </w:tc>
        <w:tc>
          <w:tcPr>
            <w:tcW w:w="60" w:type="dxa"/>
            <w:vAlign w:val="bottom"/>
            <w:gridSpan w:val="3"/>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tcBorders>
              <w:bottom w:val="single" w:sz="8" w:color="0000FF"/>
            </w:tcBorders>
            <w:gridSpan w:val="36"/>
          </w:tcPr>
          <w:p>
            <w:pPr>
              <w:spacing w:after="0" w:line="189" w:lineRule="exact"/>
              <w:rPr>
                <w:rFonts w:ascii="Arial" w:cs="Arial" w:eastAsia="Arial" w:hAnsi="Arial"/>
                <w:sz w:val="17"/>
                <w:szCs w:val="17"/>
                <w:color w:val="0000FF"/>
                <w:w w:val="93"/>
              </w:rPr>
            </w:pPr>
            <w:hyperlink r:id="rId77">
              <w:r>
                <w:rPr>
                  <w:rFonts w:ascii="Arial" w:cs="Arial" w:eastAsia="Arial" w:hAnsi="Arial"/>
                  <w:sz w:val="17"/>
                  <w:szCs w:val="17"/>
                  <w:color w:val="0000FF"/>
                  <w:w w:val="93"/>
                </w:rPr>
                <w:t>LII’s Post-Effective Amendment No. 1 to Registration Statement on S-3 (Registration No. 333-155796) filed on May 3, 2010, and incorporated herein</w:t>
              </w:r>
            </w:hyperlink>
          </w:p>
        </w:tc>
      </w:tr>
      <w:tr>
        <w:trPr>
          <w:trHeight w:val="188"/>
        </w:trPr>
        <w:tc>
          <w:tcPr>
            <w:tcW w:w="960" w:type="dxa"/>
            <w:vAlign w:val="bottom"/>
          </w:tcPr>
          <w:p>
            <w:pPr>
              <w:spacing w:after="0"/>
              <w:rPr>
                <w:sz w:val="16"/>
                <w:szCs w:val="16"/>
                <w:color w:val="auto"/>
              </w:rPr>
            </w:pPr>
          </w:p>
        </w:tc>
        <w:tc>
          <w:tcPr>
            <w:tcW w:w="10460" w:type="dxa"/>
            <w:vAlign w:val="bottom"/>
            <w:gridSpan w:val="36"/>
          </w:tcPr>
          <w:p>
            <w:pPr>
              <w:spacing w:after="0" w:line="189" w:lineRule="exact"/>
              <w:rPr>
                <w:rFonts w:ascii="Arial" w:cs="Arial" w:eastAsia="Arial" w:hAnsi="Arial"/>
                <w:sz w:val="17"/>
                <w:szCs w:val="17"/>
                <w:color w:val="0000FF"/>
              </w:rPr>
            </w:pPr>
            <w:hyperlink r:id="rId77">
              <w:r>
                <w:rPr>
                  <w:rFonts w:ascii="Arial" w:cs="Arial" w:eastAsia="Arial" w:hAnsi="Arial"/>
                  <w:sz w:val="17"/>
                  <w:szCs w:val="17"/>
                  <w:color w:val="0000FF"/>
                </w:rPr>
                <w:t>by reference)</w:t>
              </w:r>
              <w:r>
                <w:rPr>
                  <w:rFonts w:ascii="Arial" w:cs="Arial" w:eastAsia="Arial" w:hAnsi="Arial"/>
                  <w:sz w:val="17"/>
                  <w:szCs w:val="17"/>
                  <w:color w:val="000000"/>
                </w:rPr>
                <w:t>.</w:t>
              </w:r>
            </w:hyperlink>
          </w:p>
        </w:tc>
      </w:tr>
      <w:tr>
        <w:trPr>
          <w:trHeight w:val="45"/>
        </w:trPr>
        <w:tc>
          <w:tcPr>
            <w:tcW w:w="960" w:type="dxa"/>
            <w:vAlign w:val="bottom"/>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4.4</w:t>
            </w:r>
          </w:p>
        </w:tc>
        <w:tc>
          <w:tcPr>
            <w:tcW w:w="10440" w:type="dxa"/>
            <w:vAlign w:val="bottom"/>
            <w:tcBorders>
              <w:bottom w:val="single" w:sz="8" w:color="0000FF"/>
            </w:tcBorders>
            <w:gridSpan w:val="35"/>
            <w:shd w:val="clear" w:color="auto" w:fill="CCEEFF"/>
          </w:tcPr>
          <w:p>
            <w:pPr>
              <w:spacing w:after="0"/>
              <w:rPr>
                <w:rFonts w:ascii="Arial" w:cs="Arial" w:eastAsia="Arial" w:hAnsi="Arial"/>
                <w:sz w:val="17"/>
                <w:szCs w:val="17"/>
                <w:color w:val="0000FF"/>
                <w:w w:val="92"/>
              </w:rPr>
            </w:pPr>
            <w:hyperlink r:id="rId78">
              <w:r>
                <w:rPr>
                  <w:rFonts w:ascii="Arial" w:cs="Arial" w:eastAsia="Arial" w:hAnsi="Arial"/>
                  <w:sz w:val="17"/>
                  <w:szCs w:val="17"/>
                  <w:color w:val="0000FF"/>
                  <w:w w:val="92"/>
                </w:rPr>
                <w:t>Sixth Supplemental Indenture, dated as of November 3, 2016, among LII, each other existing Guarantor under the Indenture, dated as of May 3, 2010,</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8"/>
        </w:trPr>
        <w:tc>
          <w:tcPr>
            <w:tcW w:w="960" w:type="dxa"/>
            <w:vAlign w:val="bottom"/>
            <w:shd w:val="clear" w:color="auto" w:fill="CCEEFF"/>
          </w:tcPr>
          <w:p>
            <w:pPr>
              <w:spacing w:after="0"/>
              <w:rPr>
                <w:sz w:val="16"/>
                <w:szCs w:val="16"/>
                <w:color w:val="auto"/>
              </w:rPr>
            </w:pPr>
          </w:p>
        </w:tc>
        <w:tc>
          <w:tcPr>
            <w:tcW w:w="10460" w:type="dxa"/>
            <w:vAlign w:val="bottom"/>
            <w:gridSpan w:val="36"/>
            <w:shd w:val="clear" w:color="auto" w:fill="CCEEFF"/>
          </w:tcPr>
          <w:p>
            <w:pPr>
              <w:spacing w:after="0" w:line="189" w:lineRule="exact"/>
              <w:rPr>
                <w:rFonts w:ascii="Arial" w:cs="Arial" w:eastAsia="Arial" w:hAnsi="Arial"/>
                <w:sz w:val="17"/>
                <w:szCs w:val="17"/>
                <w:color w:val="0000FF"/>
                <w:w w:val="97"/>
              </w:rPr>
            </w:pPr>
            <w:hyperlink r:id="rId78">
              <w:r>
                <w:rPr>
                  <w:rFonts w:ascii="Arial" w:cs="Arial" w:eastAsia="Arial" w:hAnsi="Arial"/>
                  <w:sz w:val="17"/>
                  <w:szCs w:val="17"/>
                  <w:color w:val="0000FF"/>
                  <w:w w:val="97"/>
                </w:rPr>
                <w:t>as subsequently supplemented, and US Bank National Association, as trustee (filed as Exhibit 4.2 to LII’s Current Report on Form 8-K filed on</w:t>
              </w:r>
            </w:hyperlink>
          </w:p>
        </w:tc>
      </w:tr>
      <w:tr>
        <w:trPr>
          <w:trHeight w:val="233"/>
        </w:trPr>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4040" w:type="dxa"/>
            <w:vAlign w:val="bottom"/>
            <w:tcBorders>
              <w:top w:val="single" w:sz="8" w:color="0000FF"/>
              <w:bottom w:val="single" w:sz="8" w:color="0000FF"/>
            </w:tcBorders>
            <w:gridSpan w:val="9"/>
            <w:shd w:val="clear" w:color="auto" w:fill="CCEEFF"/>
          </w:tcPr>
          <w:p>
            <w:pPr>
              <w:spacing w:after="0" w:line="189" w:lineRule="exact"/>
              <w:rPr>
                <w:rFonts w:ascii="Arial" w:cs="Arial" w:eastAsia="Arial" w:hAnsi="Arial"/>
                <w:sz w:val="17"/>
                <w:szCs w:val="17"/>
                <w:color w:val="0000FF"/>
                <w:w w:val="91"/>
              </w:rPr>
            </w:pPr>
            <w:hyperlink r:id="rId78">
              <w:r>
                <w:rPr>
                  <w:rFonts w:ascii="Arial" w:cs="Arial" w:eastAsia="Arial" w:hAnsi="Arial"/>
                  <w:sz w:val="17"/>
                  <w:szCs w:val="17"/>
                  <w:color w:val="0000FF"/>
                  <w:w w:val="91"/>
                </w:rPr>
                <w:t>November 3, 2016, and incorporated herein by reference).</w:t>
              </w:r>
            </w:hyperlink>
          </w:p>
        </w:tc>
        <w:tc>
          <w:tcPr>
            <w:tcW w:w="5900" w:type="dxa"/>
            <w:vAlign w:val="bottom"/>
            <w:tcBorders>
              <w:top w:val="single" w:sz="8" w:color="0000FF"/>
              <w:bottom w:val="single" w:sz="8" w:color="CCEEFF"/>
            </w:tcBorders>
            <w:gridSpan w:val="12"/>
            <w:shd w:val="clear" w:color="auto" w:fill="CCEEFF"/>
          </w:tcPr>
          <w:p>
            <w:pPr>
              <w:spacing w:after="0"/>
              <w:rPr>
                <w:sz w:val="20"/>
                <w:szCs w:val="20"/>
                <w:color w:val="auto"/>
              </w:rPr>
            </w:pPr>
          </w:p>
        </w:tc>
        <w:tc>
          <w:tcPr>
            <w:tcW w:w="520" w:type="dxa"/>
            <w:vAlign w:val="bottom"/>
            <w:tcBorders>
              <w:top w:val="single" w:sz="8" w:color="CCEEFF"/>
              <w:bottom w:val="single" w:sz="8" w:color="CCEEFF"/>
            </w:tcBorders>
            <w:gridSpan w:val="15"/>
            <w:shd w:val="clear" w:color="auto" w:fill="CCEEFF"/>
          </w:tcPr>
          <w:p>
            <w:pPr>
              <w:spacing w:after="0"/>
              <w:rPr>
                <w:sz w:val="20"/>
                <w:szCs w:val="20"/>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4.5</w:t>
            </w:r>
          </w:p>
        </w:tc>
        <w:tc>
          <w:tcPr>
            <w:tcW w:w="10000" w:type="dxa"/>
            <w:vAlign w:val="bottom"/>
            <w:tcBorders>
              <w:bottom w:val="single" w:sz="8" w:color="0000FF"/>
            </w:tcBorders>
            <w:gridSpan w:val="22"/>
          </w:tcPr>
          <w:p>
            <w:pPr>
              <w:spacing w:after="0"/>
              <w:rPr>
                <w:rFonts w:ascii="Arial" w:cs="Arial" w:eastAsia="Arial" w:hAnsi="Arial"/>
                <w:sz w:val="17"/>
                <w:szCs w:val="17"/>
                <w:color w:val="0000FF"/>
                <w:w w:val="93"/>
              </w:rPr>
            </w:pPr>
            <w:hyperlink r:id="rId79">
              <w:r>
                <w:rPr>
                  <w:rFonts w:ascii="Arial" w:cs="Arial" w:eastAsia="Arial" w:hAnsi="Arial"/>
                  <w:sz w:val="17"/>
                  <w:szCs w:val="17"/>
                  <w:color w:val="0000FF"/>
                  <w:w w:val="93"/>
                </w:rPr>
                <w:t>Seventh Supplemental Indenture, dated as of January 23, 2019, among LII Mexico Holdings Ltd., Lennox International Inc., each other existing</w:t>
              </w:r>
            </w:hyperlink>
          </w:p>
        </w:tc>
        <w:tc>
          <w:tcPr>
            <w:tcW w:w="460" w:type="dxa"/>
            <w:vAlign w:val="bottom"/>
            <w:gridSpan w:val="14"/>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9920" w:type="dxa"/>
            <w:vAlign w:val="bottom"/>
            <w:tcBorders>
              <w:bottom w:val="single" w:sz="8" w:color="0000FF"/>
            </w:tcBorders>
            <w:gridSpan w:val="20"/>
          </w:tcPr>
          <w:p>
            <w:pPr>
              <w:spacing w:after="0" w:line="189" w:lineRule="exact"/>
              <w:rPr>
                <w:rFonts w:ascii="Arial" w:cs="Arial" w:eastAsia="Arial" w:hAnsi="Arial"/>
                <w:sz w:val="17"/>
                <w:szCs w:val="17"/>
                <w:color w:val="0000FF"/>
                <w:w w:val="91"/>
              </w:rPr>
            </w:pPr>
            <w:hyperlink r:id="rId79">
              <w:r>
                <w:rPr>
                  <w:rFonts w:ascii="Arial" w:cs="Arial" w:eastAsia="Arial" w:hAnsi="Arial"/>
                  <w:sz w:val="17"/>
                  <w:szCs w:val="17"/>
                  <w:color w:val="0000FF"/>
                  <w:w w:val="91"/>
                </w:rPr>
                <w:t>Guarantor under the Indenture, dated as of May 3, 2010, as subsequently supplemented, and US Bank National Association, as trustee (filed as</w:t>
              </w:r>
            </w:hyperlink>
          </w:p>
        </w:tc>
        <w:tc>
          <w:tcPr>
            <w:tcW w:w="540" w:type="dxa"/>
            <w:vAlign w:val="bottom"/>
            <w:gridSpan w:val="16"/>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36"/>
          </w:tcPr>
          <w:p>
            <w:pPr>
              <w:spacing w:after="0" w:line="189" w:lineRule="exact"/>
              <w:rPr>
                <w:rFonts w:ascii="Arial" w:cs="Arial" w:eastAsia="Arial" w:hAnsi="Arial"/>
                <w:sz w:val="17"/>
                <w:szCs w:val="17"/>
                <w:color w:val="0000FF"/>
              </w:rPr>
            </w:pPr>
            <w:hyperlink r:id="rId79">
              <w:r>
                <w:rPr>
                  <w:rFonts w:ascii="Arial" w:cs="Arial" w:eastAsia="Arial" w:hAnsi="Arial"/>
                  <w:sz w:val="17"/>
                  <w:szCs w:val="17"/>
                  <w:color w:val="0000FF"/>
                </w:rPr>
                <w:t>Exhibit 4.5 to LII’s Annual Report on Form 10-K filed on February 19,2019 and incorporated herein by reference).</w:t>
              </w:r>
            </w:hyperlink>
          </w:p>
        </w:tc>
      </w:tr>
      <w:tr>
        <w:trPr>
          <w:trHeight w:val="45"/>
        </w:trPr>
        <w:tc>
          <w:tcPr>
            <w:tcW w:w="960" w:type="dxa"/>
            <w:vAlign w:val="bottom"/>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40" w:type="dxa"/>
            <w:vAlign w:val="bottom"/>
            <w:tcBorders>
              <w:top w:val="single" w:sz="8" w:color="0000FF"/>
            </w:tcBorders>
          </w:tcPr>
          <w:p>
            <w:pPr>
              <w:spacing w:after="0"/>
              <w:rPr>
                <w:sz w:val="3"/>
                <w:szCs w:val="3"/>
                <w:color w:val="auto"/>
              </w:rPr>
            </w:pPr>
          </w:p>
        </w:tc>
        <w:tc>
          <w:tcPr>
            <w:tcW w:w="960" w:type="dxa"/>
            <w:vAlign w:val="bottom"/>
            <w:tcBorders>
              <w:top w:val="single" w:sz="8" w:color="0000FF"/>
            </w:tcBorders>
          </w:tcPr>
          <w:p>
            <w:pPr>
              <w:spacing w:after="0"/>
              <w:rPr>
                <w:sz w:val="3"/>
                <w:szCs w:val="3"/>
                <w:color w:val="auto"/>
              </w:rPr>
            </w:pPr>
          </w:p>
        </w:tc>
        <w:tc>
          <w:tcPr>
            <w:tcW w:w="94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4.6</w:t>
            </w:r>
          </w:p>
        </w:tc>
        <w:tc>
          <w:tcPr>
            <w:tcW w:w="10460" w:type="dxa"/>
            <w:vAlign w:val="bottom"/>
            <w:gridSpan w:val="36"/>
            <w:shd w:val="clear" w:color="auto" w:fill="CCEEFF"/>
          </w:tcPr>
          <w:p>
            <w:pPr>
              <w:spacing w:after="0"/>
              <w:rPr>
                <w:rFonts w:ascii="Arial" w:cs="Arial" w:eastAsia="Arial" w:hAnsi="Arial"/>
                <w:sz w:val="17"/>
                <w:szCs w:val="17"/>
                <w:color w:val="0000FF"/>
                <w:w w:val="95"/>
              </w:rPr>
            </w:pPr>
            <w:hyperlink r:id="rId78">
              <w:r>
                <w:rPr>
                  <w:rFonts w:ascii="Arial" w:cs="Arial" w:eastAsia="Arial" w:hAnsi="Arial"/>
                  <w:sz w:val="17"/>
                  <w:szCs w:val="17"/>
                  <w:color w:val="0000FF"/>
                  <w:w w:val="95"/>
                </w:rPr>
                <w:t>Form of 3.000% Notes due 2023 (filed as Exhibit A in Exhibit 4.2 to LII’s Current Report on Form 8-K filed on November 3, 2016, and incorporated</w:t>
              </w:r>
            </w:hyperlink>
          </w:p>
        </w:tc>
      </w:tr>
      <w:tr>
        <w:trPr>
          <w:trHeight w:val="233"/>
        </w:trPr>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0000FF"/>
              <w:bottom w:val="single" w:sz="8" w:color="0000FF"/>
            </w:tcBorders>
            <w:gridSpan w:val="4"/>
            <w:shd w:val="clear" w:color="auto" w:fill="CCEEFF"/>
          </w:tcPr>
          <w:p>
            <w:pPr>
              <w:spacing w:after="0" w:line="189" w:lineRule="exact"/>
              <w:rPr>
                <w:rFonts w:ascii="Arial" w:cs="Arial" w:eastAsia="Arial" w:hAnsi="Arial"/>
                <w:sz w:val="17"/>
                <w:szCs w:val="17"/>
                <w:color w:val="0000FF"/>
                <w:w w:val="90"/>
              </w:rPr>
            </w:pPr>
            <w:hyperlink r:id="rId78">
              <w:r>
                <w:rPr>
                  <w:rFonts w:ascii="Arial" w:cs="Arial" w:eastAsia="Arial" w:hAnsi="Arial"/>
                  <w:sz w:val="17"/>
                  <w:szCs w:val="17"/>
                  <w:color w:val="0000FF"/>
                  <w:w w:val="90"/>
                </w:rPr>
                <w:t>herein by reference).</w:t>
              </w:r>
            </w:hyperlink>
          </w:p>
        </w:tc>
        <w:tc>
          <w:tcPr>
            <w:tcW w:w="8920" w:type="dxa"/>
            <w:vAlign w:val="bottom"/>
            <w:tcBorders>
              <w:top w:val="single" w:sz="8" w:color="0000FF"/>
              <w:bottom w:val="single" w:sz="8" w:color="CCEEFF"/>
            </w:tcBorders>
            <w:gridSpan w:val="27"/>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4.7</w:t>
            </w:r>
          </w:p>
        </w:tc>
        <w:tc>
          <w:tcPr>
            <w:tcW w:w="10460" w:type="dxa"/>
            <w:vAlign w:val="bottom"/>
            <w:gridSpan w:val="36"/>
          </w:tcPr>
          <w:p>
            <w:pPr>
              <w:spacing w:after="0"/>
              <w:rPr>
                <w:rFonts w:ascii="Arial" w:cs="Arial" w:eastAsia="Arial" w:hAnsi="Arial"/>
                <w:sz w:val="17"/>
                <w:szCs w:val="17"/>
                <w:color w:val="0000FF"/>
              </w:rPr>
            </w:pPr>
            <w:hyperlink w:anchor="page99">
              <w:r>
                <w:rPr>
                  <w:rFonts w:ascii="Arial" w:cs="Arial" w:eastAsia="Arial" w:hAnsi="Arial"/>
                  <w:sz w:val="17"/>
                  <w:szCs w:val="17"/>
                  <w:color w:val="0000FF"/>
                </w:rPr>
                <w:t>Description of Securities (filed herewith).</w:t>
              </w:r>
            </w:hyperlink>
          </w:p>
        </w:tc>
      </w:tr>
      <w:tr>
        <w:trPr>
          <w:trHeight w:val="45"/>
        </w:trPr>
        <w:tc>
          <w:tcPr>
            <w:tcW w:w="960" w:type="dxa"/>
            <w:vAlign w:val="bottom"/>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10.1</w:t>
            </w:r>
          </w:p>
        </w:tc>
        <w:tc>
          <w:tcPr>
            <w:tcW w:w="10280" w:type="dxa"/>
            <w:vAlign w:val="bottom"/>
            <w:tcBorders>
              <w:bottom w:val="single" w:sz="8" w:color="0000FF"/>
            </w:tcBorders>
            <w:gridSpan w:val="28"/>
            <w:shd w:val="clear" w:color="auto" w:fill="CCEEFF"/>
          </w:tcPr>
          <w:p>
            <w:pPr>
              <w:spacing w:after="0"/>
              <w:rPr>
                <w:rFonts w:ascii="Arial" w:cs="Arial" w:eastAsia="Arial" w:hAnsi="Arial"/>
                <w:sz w:val="17"/>
                <w:szCs w:val="17"/>
                <w:color w:val="0000FF"/>
                <w:w w:val="92"/>
              </w:rPr>
            </w:pPr>
            <w:hyperlink r:id="rId80">
              <w:r>
                <w:rPr>
                  <w:rFonts w:ascii="Arial" w:cs="Arial" w:eastAsia="Arial" w:hAnsi="Arial"/>
                  <w:sz w:val="17"/>
                  <w:szCs w:val="17"/>
                  <w:color w:val="0000FF"/>
                  <w:w w:val="92"/>
                </w:rPr>
                <w:t>Sixth Amended and Restated Credit Facility Agreement dated as of August 30, 2016, among Lennox International Inc., a Delaware corporation, the</w:t>
              </w:r>
            </w:hyperlink>
          </w:p>
        </w:tc>
        <w:tc>
          <w:tcPr>
            <w:tcW w:w="180" w:type="dxa"/>
            <w:vAlign w:val="bottom"/>
            <w:tcBorders>
              <w:bottom w:val="single" w:sz="8" w:color="CCEEFF"/>
            </w:tcBorders>
            <w:gridSpan w:val="8"/>
            <w:shd w:val="clear" w:color="auto" w:fill="CCEEFF"/>
          </w:tcPr>
          <w:p>
            <w:pPr>
              <w:spacing w:after="0"/>
              <w:rPr>
                <w:sz w:val="16"/>
                <w:szCs w:val="16"/>
                <w:color w:val="auto"/>
              </w:rPr>
            </w:pPr>
          </w:p>
        </w:tc>
      </w:tr>
      <w:tr>
        <w:trPr>
          <w:trHeight w:val="188"/>
        </w:trPr>
        <w:tc>
          <w:tcPr>
            <w:tcW w:w="960" w:type="dxa"/>
            <w:vAlign w:val="bottom"/>
            <w:shd w:val="clear" w:color="auto" w:fill="CCEEFF"/>
          </w:tcPr>
          <w:p>
            <w:pPr>
              <w:spacing w:after="0"/>
              <w:rPr>
                <w:sz w:val="16"/>
                <w:szCs w:val="16"/>
                <w:color w:val="auto"/>
              </w:rPr>
            </w:pPr>
          </w:p>
        </w:tc>
        <w:tc>
          <w:tcPr>
            <w:tcW w:w="10460" w:type="dxa"/>
            <w:vAlign w:val="bottom"/>
            <w:gridSpan w:val="36"/>
            <w:shd w:val="clear" w:color="auto" w:fill="CCEEFF"/>
          </w:tcPr>
          <w:p>
            <w:pPr>
              <w:spacing w:after="0" w:line="189" w:lineRule="exact"/>
              <w:rPr>
                <w:rFonts w:ascii="Arial" w:cs="Arial" w:eastAsia="Arial" w:hAnsi="Arial"/>
                <w:sz w:val="17"/>
                <w:szCs w:val="17"/>
                <w:color w:val="0000FF"/>
                <w:w w:val="95"/>
              </w:rPr>
            </w:pPr>
            <w:hyperlink r:id="rId80">
              <w:r>
                <w:rPr>
                  <w:rFonts w:ascii="Arial" w:cs="Arial" w:eastAsia="Arial" w:hAnsi="Arial"/>
                  <w:sz w:val="17"/>
                  <w:szCs w:val="17"/>
                  <w:color w:val="0000FF"/>
                  <w:w w:val="95"/>
                </w:rPr>
                <w:t>Lenders party thereto, and JPMorgan Chase Bank, N.A., as Administrative Agent (filed as Exhibit 10.1 to LII's Current Report on Form 8-K filed on</w:t>
              </w:r>
            </w:hyperlink>
          </w:p>
        </w:tc>
      </w:tr>
      <w:tr>
        <w:trPr>
          <w:trHeight w:val="233"/>
        </w:trPr>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3960" w:type="dxa"/>
            <w:vAlign w:val="bottom"/>
            <w:tcBorders>
              <w:top w:val="single" w:sz="8" w:color="0000FF"/>
              <w:bottom w:val="single" w:sz="8" w:color="0000FF"/>
            </w:tcBorders>
            <w:gridSpan w:val="8"/>
            <w:shd w:val="clear" w:color="auto" w:fill="CCEEFF"/>
          </w:tcPr>
          <w:p>
            <w:pPr>
              <w:spacing w:after="0" w:line="189" w:lineRule="exact"/>
              <w:rPr>
                <w:rFonts w:ascii="Arial" w:cs="Arial" w:eastAsia="Arial" w:hAnsi="Arial"/>
                <w:sz w:val="17"/>
                <w:szCs w:val="17"/>
                <w:color w:val="0000FF"/>
                <w:w w:val="90"/>
              </w:rPr>
            </w:pPr>
            <w:hyperlink r:id="rId80">
              <w:r>
                <w:rPr>
                  <w:rFonts w:ascii="Arial" w:cs="Arial" w:eastAsia="Arial" w:hAnsi="Arial"/>
                  <w:sz w:val="17"/>
                  <w:szCs w:val="17"/>
                  <w:color w:val="0000FF"/>
                  <w:w w:val="90"/>
                </w:rPr>
                <w:t>September 2, 2016 and incorporated herein by reference)</w:t>
              </w:r>
            </w:hyperlink>
          </w:p>
        </w:tc>
        <w:tc>
          <w:tcPr>
            <w:tcW w:w="6360" w:type="dxa"/>
            <w:vAlign w:val="bottom"/>
            <w:tcBorders>
              <w:top w:val="single" w:sz="8" w:color="0000FF"/>
              <w:bottom w:val="single" w:sz="8" w:color="CCEEFF"/>
            </w:tcBorders>
            <w:gridSpan w:val="21"/>
            <w:shd w:val="clear" w:color="auto" w:fill="CCEEFF"/>
          </w:tcPr>
          <w:p>
            <w:pPr>
              <w:spacing w:after="0"/>
              <w:rPr>
                <w:sz w:val="20"/>
                <w:szCs w:val="20"/>
                <w:color w:val="auto"/>
              </w:rPr>
            </w:pPr>
          </w:p>
        </w:tc>
        <w:tc>
          <w:tcPr>
            <w:tcW w:w="140" w:type="dxa"/>
            <w:vAlign w:val="bottom"/>
            <w:tcBorders>
              <w:top w:val="single" w:sz="8" w:color="CCEEFF"/>
              <w:bottom w:val="single" w:sz="8" w:color="CCEEFF"/>
            </w:tcBorders>
            <w:gridSpan w:val="7"/>
            <w:shd w:val="clear" w:color="auto" w:fill="CCEEFF"/>
          </w:tcPr>
          <w:p>
            <w:pPr>
              <w:spacing w:after="0"/>
              <w:rPr>
                <w:sz w:val="20"/>
                <w:szCs w:val="20"/>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10.2</w:t>
            </w:r>
          </w:p>
        </w:tc>
        <w:tc>
          <w:tcPr>
            <w:tcW w:w="10460" w:type="dxa"/>
            <w:vAlign w:val="bottom"/>
            <w:gridSpan w:val="36"/>
          </w:tcPr>
          <w:p>
            <w:pPr>
              <w:spacing w:after="0"/>
              <w:rPr>
                <w:rFonts w:ascii="Arial" w:cs="Arial" w:eastAsia="Arial" w:hAnsi="Arial"/>
                <w:sz w:val="17"/>
                <w:szCs w:val="17"/>
                <w:color w:val="0000FF"/>
                <w:w w:val="97"/>
              </w:rPr>
            </w:pPr>
            <w:hyperlink r:id="rId81">
              <w:r>
                <w:rPr>
                  <w:rFonts w:ascii="Arial" w:cs="Arial" w:eastAsia="Arial" w:hAnsi="Arial"/>
                  <w:sz w:val="17"/>
                  <w:szCs w:val="17"/>
                  <w:color w:val="0000FF"/>
                  <w:w w:val="97"/>
                </w:rPr>
                <w:t>First Amendment to Sixth Amended and Restated Credit Facility Agreement dated as of October 20, 2016, among Lennox International Inc., a</w:t>
              </w:r>
            </w:hyperlink>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8"/>
        </w:trPr>
        <w:tc>
          <w:tcPr>
            <w:tcW w:w="960" w:type="dxa"/>
            <w:vAlign w:val="bottom"/>
          </w:tcPr>
          <w:p>
            <w:pPr>
              <w:spacing w:after="0"/>
              <w:rPr>
                <w:sz w:val="16"/>
                <w:szCs w:val="16"/>
                <w:color w:val="auto"/>
              </w:rPr>
            </w:pPr>
          </w:p>
        </w:tc>
        <w:tc>
          <w:tcPr>
            <w:tcW w:w="10280" w:type="dxa"/>
            <w:vAlign w:val="bottom"/>
            <w:tcBorders>
              <w:bottom w:val="single" w:sz="8" w:color="0000FF"/>
            </w:tcBorders>
            <w:gridSpan w:val="28"/>
          </w:tcPr>
          <w:p>
            <w:pPr>
              <w:spacing w:after="0" w:line="189" w:lineRule="exact"/>
              <w:rPr>
                <w:rFonts w:ascii="Arial" w:cs="Arial" w:eastAsia="Arial" w:hAnsi="Arial"/>
                <w:sz w:val="17"/>
                <w:szCs w:val="17"/>
                <w:color w:val="0000FF"/>
                <w:w w:val="93"/>
              </w:rPr>
            </w:pPr>
            <w:hyperlink r:id="rId81">
              <w:r>
                <w:rPr>
                  <w:rFonts w:ascii="Arial" w:cs="Arial" w:eastAsia="Arial" w:hAnsi="Arial"/>
                  <w:sz w:val="17"/>
                  <w:szCs w:val="17"/>
                  <w:color w:val="0000FF"/>
                  <w:w w:val="93"/>
                </w:rPr>
                <w:t>Delaware corporation, the Lenders party thereto, and JPMorgan Chase Bank, N.A., as Administrative Agent (filed as Exhibit 10.1 to LII's Quarterly</w:t>
              </w:r>
            </w:hyperlink>
          </w:p>
        </w:tc>
        <w:tc>
          <w:tcPr>
            <w:tcW w:w="180" w:type="dxa"/>
            <w:vAlign w:val="bottom"/>
            <w:gridSpan w:val="8"/>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36"/>
          </w:tcPr>
          <w:p>
            <w:pPr>
              <w:spacing w:after="0" w:line="189" w:lineRule="exact"/>
              <w:rPr>
                <w:rFonts w:ascii="Arial" w:cs="Arial" w:eastAsia="Arial" w:hAnsi="Arial"/>
                <w:sz w:val="17"/>
                <w:szCs w:val="17"/>
                <w:color w:val="0000FF"/>
              </w:rPr>
            </w:pPr>
            <w:hyperlink r:id="rId81">
              <w:r>
                <w:rPr>
                  <w:rFonts w:ascii="Arial" w:cs="Arial" w:eastAsia="Arial" w:hAnsi="Arial"/>
                  <w:sz w:val="17"/>
                  <w:szCs w:val="17"/>
                  <w:color w:val="0000FF"/>
                </w:rPr>
                <w:t>Report on Form 10-Q filed on October 24, 2017, and incorporated herein by reference).</w:t>
              </w:r>
            </w:hyperlink>
          </w:p>
        </w:tc>
      </w:tr>
      <w:tr>
        <w:trPr>
          <w:trHeight w:val="45"/>
        </w:trPr>
        <w:tc>
          <w:tcPr>
            <w:tcW w:w="960" w:type="dxa"/>
            <w:vAlign w:val="bottom"/>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40" w:type="dxa"/>
            <w:vAlign w:val="bottom"/>
            <w:tcBorders>
              <w:top w:val="single" w:sz="8" w:color="0000FF"/>
            </w:tcBorders>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10.3</w:t>
            </w:r>
          </w:p>
        </w:tc>
        <w:tc>
          <w:tcPr>
            <w:tcW w:w="10340" w:type="dxa"/>
            <w:vAlign w:val="bottom"/>
            <w:tcBorders>
              <w:bottom w:val="single" w:sz="8" w:color="0000FF"/>
            </w:tcBorders>
            <w:gridSpan w:val="30"/>
            <w:shd w:val="clear" w:color="auto" w:fill="CCEEFF"/>
          </w:tcPr>
          <w:p>
            <w:pPr>
              <w:spacing w:after="0"/>
              <w:rPr>
                <w:rFonts w:ascii="Arial" w:cs="Arial" w:eastAsia="Arial" w:hAnsi="Arial"/>
                <w:sz w:val="17"/>
                <w:szCs w:val="17"/>
                <w:color w:val="0000FF"/>
                <w:w w:val="92"/>
              </w:rPr>
            </w:pPr>
            <w:hyperlink r:id="rId82">
              <w:r>
                <w:rPr>
                  <w:rFonts w:ascii="Arial" w:cs="Arial" w:eastAsia="Arial" w:hAnsi="Arial"/>
                  <w:sz w:val="17"/>
                  <w:szCs w:val="17"/>
                  <w:color w:val="0000FF"/>
                  <w:w w:val="92"/>
                </w:rPr>
                <w:t>Second Amendment To Sixth Amended and Restated Credit Facility Agreement dated March 16, 2018, among Lennox International Inc., the lenders</w:t>
              </w:r>
            </w:hyperlink>
          </w:p>
        </w:tc>
        <w:tc>
          <w:tcPr>
            <w:tcW w:w="120" w:type="dxa"/>
            <w:vAlign w:val="bottom"/>
            <w:tcBorders>
              <w:bottom w:val="single" w:sz="8" w:color="CCEEFF"/>
            </w:tcBorders>
            <w:gridSpan w:val="6"/>
            <w:shd w:val="clear" w:color="auto" w:fill="CCEEFF"/>
          </w:tcPr>
          <w:p>
            <w:pPr>
              <w:spacing w:after="0"/>
              <w:rPr>
                <w:sz w:val="16"/>
                <w:szCs w:val="16"/>
                <w:color w:val="auto"/>
              </w:rPr>
            </w:pPr>
          </w:p>
        </w:tc>
      </w:tr>
      <w:tr>
        <w:trPr>
          <w:trHeight w:val="188"/>
        </w:trPr>
        <w:tc>
          <w:tcPr>
            <w:tcW w:w="960" w:type="dxa"/>
            <w:vAlign w:val="bottom"/>
            <w:shd w:val="clear" w:color="auto" w:fill="CCEEFF"/>
          </w:tcPr>
          <w:p>
            <w:pPr>
              <w:spacing w:after="0"/>
              <w:rPr>
                <w:sz w:val="16"/>
                <w:szCs w:val="16"/>
                <w:color w:val="auto"/>
              </w:rPr>
            </w:pPr>
          </w:p>
        </w:tc>
        <w:tc>
          <w:tcPr>
            <w:tcW w:w="10460" w:type="dxa"/>
            <w:vAlign w:val="bottom"/>
            <w:gridSpan w:val="36"/>
            <w:shd w:val="clear" w:color="auto" w:fill="CCEEFF"/>
          </w:tcPr>
          <w:p>
            <w:pPr>
              <w:spacing w:after="0" w:line="189" w:lineRule="exact"/>
              <w:rPr>
                <w:rFonts w:ascii="Arial" w:cs="Arial" w:eastAsia="Arial" w:hAnsi="Arial"/>
                <w:sz w:val="17"/>
                <w:szCs w:val="17"/>
                <w:color w:val="0000FF"/>
                <w:w w:val="96"/>
              </w:rPr>
            </w:pPr>
            <w:hyperlink r:id="rId82">
              <w:r>
                <w:rPr>
                  <w:rFonts w:ascii="Arial" w:cs="Arial" w:eastAsia="Arial" w:hAnsi="Arial"/>
                  <w:sz w:val="17"/>
                  <w:szCs w:val="17"/>
                  <w:color w:val="0000FF"/>
                  <w:w w:val="96"/>
                </w:rPr>
                <w:t>a party thereto, and J.P.Morgan Chase Bank, N.A., as Administrative Agent (filed as Exhibit 10.2 to LII’s Quarterly Report on Form 10-Q filed on</w:t>
              </w:r>
            </w:hyperlink>
          </w:p>
        </w:tc>
      </w:tr>
      <w:tr>
        <w:trPr>
          <w:trHeight w:val="188"/>
        </w:trPr>
        <w:tc>
          <w:tcPr>
            <w:tcW w:w="960" w:type="dxa"/>
            <w:vAlign w:val="bottom"/>
            <w:tcBorders>
              <w:top w:val="single" w:sz="8" w:color="CCEEFF"/>
            </w:tcBorders>
            <w:shd w:val="clear" w:color="auto" w:fill="CCEEFF"/>
          </w:tcPr>
          <w:p>
            <w:pPr>
              <w:spacing w:after="0"/>
              <w:rPr>
                <w:sz w:val="16"/>
                <w:szCs w:val="16"/>
                <w:color w:val="auto"/>
              </w:rPr>
            </w:pPr>
          </w:p>
        </w:tc>
        <w:tc>
          <w:tcPr>
            <w:tcW w:w="10140" w:type="dxa"/>
            <w:vAlign w:val="bottom"/>
            <w:tcBorders>
              <w:top w:val="single" w:sz="8" w:color="0000FF"/>
            </w:tcBorders>
            <w:gridSpan w:val="24"/>
            <w:shd w:val="clear" w:color="auto" w:fill="CCEEFF"/>
          </w:tcPr>
          <w:p>
            <w:pPr>
              <w:spacing w:after="0" w:line="189" w:lineRule="exact"/>
              <w:rPr>
                <w:rFonts w:ascii="Arial" w:cs="Arial" w:eastAsia="Arial" w:hAnsi="Arial"/>
                <w:sz w:val="17"/>
                <w:szCs w:val="17"/>
                <w:color w:val="0000FF"/>
              </w:rPr>
            </w:pPr>
            <w:hyperlink r:id="rId82">
              <w:r>
                <w:rPr>
                  <w:rFonts w:ascii="Arial" w:cs="Arial" w:eastAsia="Arial" w:hAnsi="Arial"/>
                  <w:sz w:val="17"/>
                  <w:szCs w:val="17"/>
                  <w:color w:val="0000FF"/>
                </w:rPr>
                <w:t>April 23, 2018, and incorporated herein by reference).</w:t>
              </w:r>
            </w:hyperlink>
          </w:p>
        </w:tc>
        <w:tc>
          <w:tcPr>
            <w:tcW w:w="320" w:type="dxa"/>
            <w:vAlign w:val="bottom"/>
            <w:tcBorders>
              <w:top w:val="single" w:sz="8" w:color="CCEEFF"/>
            </w:tcBorders>
            <w:gridSpan w:val="12"/>
            <w:shd w:val="clear" w:color="auto" w:fill="CCEEFF"/>
          </w:tcPr>
          <w:p>
            <w:pPr>
              <w:spacing w:after="0"/>
              <w:rPr>
                <w:sz w:val="16"/>
                <w:szCs w:val="16"/>
                <w:color w:val="auto"/>
              </w:rPr>
            </w:pPr>
          </w:p>
        </w:tc>
      </w:tr>
      <w:tr>
        <w:trPr>
          <w:trHeight w:val="253"/>
        </w:trPr>
        <w:tc>
          <w:tcPr>
            <w:tcW w:w="96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0000FF"/>
            </w:tcBorders>
            <w:shd w:val="clear" w:color="auto" w:fill="CCEEFF"/>
          </w:tcPr>
          <w:p>
            <w:pPr>
              <w:spacing w:after="0"/>
              <w:rPr>
                <w:sz w:val="22"/>
                <w:szCs w:val="22"/>
                <w:color w:val="auto"/>
              </w:rPr>
            </w:pPr>
          </w:p>
        </w:tc>
        <w:tc>
          <w:tcPr>
            <w:tcW w:w="1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480" w:type="dxa"/>
            <w:vAlign w:val="bottom"/>
            <w:tcBorders>
              <w:top w:val="single" w:sz="8" w:color="0000FF"/>
            </w:tcBorders>
            <w:shd w:val="clear" w:color="auto" w:fill="CCEEFF"/>
          </w:tcPr>
          <w:p>
            <w:pPr>
              <w:spacing w:after="0"/>
              <w:rPr>
                <w:sz w:val="22"/>
                <w:szCs w:val="22"/>
                <w:color w:val="auto"/>
              </w:rPr>
            </w:pPr>
          </w:p>
        </w:tc>
        <w:tc>
          <w:tcPr>
            <w:tcW w:w="920" w:type="dxa"/>
            <w:vAlign w:val="bottom"/>
            <w:tcBorders>
              <w:top w:val="single" w:sz="8" w:color="0000FF"/>
            </w:tcBorders>
            <w:shd w:val="clear" w:color="auto" w:fill="CCEEFF"/>
          </w:tcPr>
          <w:p>
            <w:pPr>
              <w:spacing w:after="0"/>
              <w:rPr>
                <w:sz w:val="22"/>
                <w:szCs w:val="22"/>
                <w:color w:val="auto"/>
              </w:rPr>
            </w:pPr>
          </w:p>
        </w:tc>
        <w:tc>
          <w:tcPr>
            <w:tcW w:w="540" w:type="dxa"/>
            <w:vAlign w:val="bottom"/>
            <w:tcBorders>
              <w:top w:val="single" w:sz="8" w:color="0000FF"/>
            </w:tcBorders>
            <w:shd w:val="clear" w:color="auto" w:fill="CCEEFF"/>
          </w:tcPr>
          <w:p>
            <w:pPr>
              <w:spacing w:after="0"/>
              <w:rPr>
                <w:sz w:val="22"/>
                <w:szCs w:val="22"/>
                <w:color w:val="auto"/>
              </w:rPr>
            </w:pPr>
          </w:p>
        </w:tc>
        <w:tc>
          <w:tcPr>
            <w:tcW w:w="860" w:type="dxa"/>
            <w:vAlign w:val="bottom"/>
            <w:tcBorders>
              <w:top w:val="single" w:sz="8" w:color="0000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4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lef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10.4</w:t>
            </w:r>
          </w:p>
        </w:tc>
        <w:tc>
          <w:tcPr>
            <w:tcW w:w="10460" w:type="dxa"/>
            <w:vAlign w:val="bottom"/>
            <w:gridSpan w:val="36"/>
          </w:tcPr>
          <w:p>
            <w:pPr>
              <w:spacing w:after="0"/>
              <w:rPr>
                <w:rFonts w:ascii="Arial" w:cs="Arial" w:eastAsia="Arial" w:hAnsi="Arial"/>
                <w:sz w:val="17"/>
                <w:szCs w:val="17"/>
                <w:color w:val="0000FF"/>
                <w:w w:val="98"/>
              </w:rPr>
            </w:pPr>
            <w:hyperlink r:id="rId83">
              <w:r>
                <w:rPr>
                  <w:rFonts w:ascii="Arial" w:cs="Arial" w:eastAsia="Arial" w:hAnsi="Arial"/>
                  <w:sz w:val="17"/>
                  <w:szCs w:val="17"/>
                  <w:color w:val="0000FF"/>
                  <w:w w:val="98"/>
                </w:rPr>
                <w:t>Third Amendment (Incremental Amendment) to Sixth Amended and Restated Credit Facility Agreement dated as of January 22, 2019, among</w:t>
              </w:r>
            </w:hyperlink>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6040" w:type="dxa"/>
            <w:vAlign w:val="bottom"/>
            <w:gridSpan w:val="8"/>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8"/>
        </w:trPr>
        <w:tc>
          <w:tcPr>
            <w:tcW w:w="960" w:type="dxa"/>
            <w:vAlign w:val="bottom"/>
          </w:tcPr>
          <w:p>
            <w:pPr>
              <w:spacing w:after="0"/>
              <w:rPr>
                <w:sz w:val="16"/>
                <w:szCs w:val="16"/>
                <w:color w:val="auto"/>
              </w:rPr>
            </w:pPr>
          </w:p>
        </w:tc>
        <w:tc>
          <w:tcPr>
            <w:tcW w:w="10460" w:type="dxa"/>
            <w:vAlign w:val="bottom"/>
            <w:gridSpan w:val="36"/>
          </w:tcPr>
          <w:p>
            <w:pPr>
              <w:spacing w:after="0" w:line="189" w:lineRule="exact"/>
              <w:rPr>
                <w:rFonts w:ascii="Arial" w:cs="Arial" w:eastAsia="Arial" w:hAnsi="Arial"/>
                <w:sz w:val="17"/>
                <w:szCs w:val="17"/>
                <w:color w:val="0000FF"/>
                <w:w w:val="94"/>
              </w:rPr>
            </w:pPr>
            <w:hyperlink r:id="rId83">
              <w:r>
                <w:rPr>
                  <w:rFonts w:ascii="Arial" w:cs="Arial" w:eastAsia="Arial" w:hAnsi="Arial"/>
                  <w:sz w:val="17"/>
                  <w:szCs w:val="17"/>
                  <w:color w:val="0000FF"/>
                  <w:w w:val="94"/>
                </w:rPr>
                <w:t>Lennox International Inc., a Delaware corporation, the lenders from time to time party thereto, and J.P.Morgan Chase Bank, N.A., as Administrative</w:t>
              </w:r>
            </w:hyperlink>
          </w:p>
        </w:tc>
      </w:tr>
      <w:tr>
        <w:trPr>
          <w:trHeight w:val="188"/>
        </w:trPr>
        <w:tc>
          <w:tcPr>
            <w:tcW w:w="960" w:type="dxa"/>
            <w:vAlign w:val="bottom"/>
          </w:tcPr>
          <w:p>
            <w:pPr>
              <w:spacing w:after="0"/>
              <w:rPr>
                <w:sz w:val="16"/>
                <w:szCs w:val="16"/>
                <w:color w:val="auto"/>
              </w:rPr>
            </w:pPr>
          </w:p>
        </w:tc>
        <w:tc>
          <w:tcPr>
            <w:tcW w:w="10280" w:type="dxa"/>
            <w:vAlign w:val="bottom"/>
            <w:tcBorders>
              <w:top w:val="single" w:sz="8" w:color="0000FF"/>
            </w:tcBorders>
            <w:gridSpan w:val="28"/>
          </w:tcPr>
          <w:p>
            <w:pPr>
              <w:spacing w:after="0" w:line="189" w:lineRule="exact"/>
              <w:rPr>
                <w:rFonts w:ascii="Arial" w:cs="Arial" w:eastAsia="Arial" w:hAnsi="Arial"/>
                <w:sz w:val="17"/>
                <w:szCs w:val="17"/>
                <w:color w:val="0000FF"/>
              </w:rPr>
            </w:pPr>
            <w:hyperlink r:id="rId83">
              <w:r>
                <w:rPr>
                  <w:rFonts w:ascii="Arial" w:cs="Arial" w:eastAsia="Arial" w:hAnsi="Arial"/>
                  <w:sz w:val="17"/>
                  <w:szCs w:val="17"/>
                  <w:color w:val="0000FF"/>
                </w:rPr>
                <w:t>Agent (filed as Exhibit 10.1 to LII’s Current Report on Form 8-K filed on January 25, 2019, and incorporated herein by reference).</w:t>
              </w:r>
            </w:hyperlink>
          </w:p>
        </w:tc>
        <w:tc>
          <w:tcPr>
            <w:tcW w:w="180" w:type="dxa"/>
            <w:vAlign w:val="bottom"/>
            <w:gridSpan w:val="8"/>
          </w:tcPr>
          <w:p>
            <w:pPr>
              <w:spacing w:after="0"/>
              <w:rPr>
                <w:sz w:val="16"/>
                <w:szCs w:val="16"/>
                <w:color w:val="auto"/>
              </w:rPr>
            </w:pPr>
          </w:p>
        </w:tc>
      </w:tr>
      <w:tr>
        <w:trPr>
          <w:trHeight w:val="45"/>
        </w:trPr>
        <w:tc>
          <w:tcPr>
            <w:tcW w:w="960" w:type="dxa"/>
            <w:vAlign w:val="bottom"/>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40" w:type="dxa"/>
            <w:vAlign w:val="bottom"/>
            <w:tcBorders>
              <w:top w:val="single" w:sz="8" w:color="0000FF"/>
            </w:tcBorders>
          </w:tcPr>
          <w:p>
            <w:pPr>
              <w:spacing w:after="0"/>
              <w:rPr>
                <w:sz w:val="3"/>
                <w:szCs w:val="3"/>
                <w:color w:val="auto"/>
              </w:rPr>
            </w:pPr>
          </w:p>
        </w:tc>
        <w:tc>
          <w:tcPr>
            <w:tcW w:w="960" w:type="dxa"/>
            <w:vAlign w:val="bottom"/>
            <w:tcBorders>
              <w:top w:val="single" w:sz="8" w:color="0000FF"/>
            </w:tcBorders>
          </w:tcPr>
          <w:p>
            <w:pPr>
              <w:spacing w:after="0"/>
              <w:rPr>
                <w:sz w:val="3"/>
                <w:szCs w:val="3"/>
                <w:color w:val="auto"/>
              </w:rPr>
            </w:pPr>
          </w:p>
        </w:tc>
        <w:tc>
          <w:tcPr>
            <w:tcW w:w="94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10.5</w:t>
            </w:r>
          </w:p>
        </w:tc>
        <w:tc>
          <w:tcPr>
            <w:tcW w:w="10200" w:type="dxa"/>
            <w:vAlign w:val="bottom"/>
            <w:tcBorders>
              <w:bottom w:val="single" w:sz="8" w:color="0000FF"/>
            </w:tcBorders>
            <w:gridSpan w:val="26"/>
            <w:shd w:val="clear" w:color="auto" w:fill="CCEEFF"/>
          </w:tcPr>
          <w:p>
            <w:pPr>
              <w:spacing w:after="0"/>
              <w:rPr>
                <w:rFonts w:ascii="Arial" w:cs="Arial" w:eastAsia="Arial" w:hAnsi="Arial"/>
                <w:sz w:val="17"/>
                <w:szCs w:val="17"/>
                <w:color w:val="0000FF"/>
                <w:w w:val="92"/>
              </w:rPr>
            </w:pPr>
            <w:hyperlink r:id="rId80">
              <w:r>
                <w:rPr>
                  <w:rFonts w:ascii="Arial" w:cs="Arial" w:eastAsia="Arial" w:hAnsi="Arial"/>
                  <w:sz w:val="17"/>
                  <w:szCs w:val="17"/>
                  <w:color w:val="0000FF"/>
                  <w:w w:val="92"/>
                </w:rPr>
                <w:t>Form of Sixth Amended and Restated Subsidiary Guarantee Agreement for the Sixth Amended and Restated Credit Facility dated as of August 30,</w:t>
              </w:r>
            </w:hyperlink>
          </w:p>
        </w:tc>
        <w:tc>
          <w:tcPr>
            <w:tcW w:w="260" w:type="dxa"/>
            <w:vAlign w:val="bottom"/>
            <w:tcBorders>
              <w:bottom w:val="single" w:sz="8" w:color="CCEEFF"/>
            </w:tcBorders>
            <w:gridSpan w:val="10"/>
            <w:shd w:val="clear" w:color="auto" w:fill="CCEEFF"/>
          </w:tcPr>
          <w:p>
            <w:pPr>
              <w:spacing w:after="0"/>
              <w:rPr>
                <w:sz w:val="16"/>
                <w:szCs w:val="16"/>
                <w:color w:val="auto"/>
              </w:rPr>
            </w:pPr>
          </w:p>
        </w:tc>
      </w:tr>
      <w:tr>
        <w:trPr>
          <w:trHeight w:val="188"/>
        </w:trPr>
        <w:tc>
          <w:tcPr>
            <w:tcW w:w="96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FF"/>
            </w:tcBorders>
            <w:gridSpan w:val="22"/>
            <w:shd w:val="clear" w:color="auto" w:fill="CCEEFF"/>
          </w:tcPr>
          <w:p>
            <w:pPr>
              <w:spacing w:after="0" w:line="189" w:lineRule="exact"/>
              <w:rPr>
                <w:rFonts w:ascii="Arial" w:cs="Arial" w:eastAsia="Arial" w:hAnsi="Arial"/>
                <w:sz w:val="17"/>
                <w:szCs w:val="17"/>
                <w:color w:val="0000FF"/>
                <w:w w:val="94"/>
              </w:rPr>
            </w:pPr>
            <w:hyperlink r:id="rId80">
              <w:r>
                <w:rPr>
                  <w:rFonts w:ascii="Arial" w:cs="Arial" w:eastAsia="Arial" w:hAnsi="Arial"/>
                  <w:sz w:val="17"/>
                  <w:szCs w:val="17"/>
                  <w:color w:val="0000FF"/>
                  <w:w w:val="94"/>
                </w:rPr>
                <w:t>2016 signed by Allied Air Enterprises LLC, Advanced Distributor Products LLC, Heatcraft Inc., Heatcraft Refrigeration Products LLC, Lennox</w:t>
              </w:r>
            </w:hyperlink>
          </w:p>
        </w:tc>
        <w:tc>
          <w:tcPr>
            <w:tcW w:w="460" w:type="dxa"/>
            <w:vAlign w:val="bottom"/>
            <w:tcBorders>
              <w:bottom w:val="single" w:sz="8" w:color="CCEEFF"/>
            </w:tcBorders>
            <w:gridSpan w:val="14"/>
            <w:shd w:val="clear" w:color="auto" w:fill="CCEEFF"/>
          </w:tcPr>
          <w:p>
            <w:pPr>
              <w:spacing w:after="0"/>
              <w:rPr>
                <w:sz w:val="16"/>
                <w:szCs w:val="16"/>
                <w:color w:val="auto"/>
              </w:rPr>
            </w:pPr>
          </w:p>
        </w:tc>
      </w:tr>
      <w:tr>
        <w:trPr>
          <w:trHeight w:val="188"/>
        </w:trPr>
        <w:tc>
          <w:tcPr>
            <w:tcW w:w="960" w:type="dxa"/>
            <w:vAlign w:val="bottom"/>
            <w:tcBorders>
              <w:bottom w:val="single" w:sz="8" w:color="CCEEFF"/>
            </w:tcBorders>
            <w:shd w:val="clear" w:color="auto" w:fill="CCEEFF"/>
          </w:tcPr>
          <w:p>
            <w:pPr>
              <w:spacing w:after="0"/>
              <w:rPr>
                <w:sz w:val="16"/>
                <w:szCs w:val="16"/>
                <w:color w:val="auto"/>
              </w:rPr>
            </w:pPr>
          </w:p>
        </w:tc>
        <w:tc>
          <w:tcPr>
            <w:tcW w:w="10420" w:type="dxa"/>
            <w:vAlign w:val="bottom"/>
            <w:tcBorders>
              <w:bottom w:val="single" w:sz="8" w:color="0000FF"/>
            </w:tcBorders>
            <w:gridSpan w:val="34"/>
            <w:shd w:val="clear" w:color="auto" w:fill="CCEEFF"/>
          </w:tcPr>
          <w:p>
            <w:pPr>
              <w:spacing w:after="0" w:line="189" w:lineRule="exact"/>
              <w:rPr>
                <w:rFonts w:ascii="Arial" w:cs="Arial" w:eastAsia="Arial" w:hAnsi="Arial"/>
                <w:sz w:val="17"/>
                <w:szCs w:val="17"/>
                <w:color w:val="0000FF"/>
                <w:w w:val="95"/>
              </w:rPr>
            </w:pPr>
            <w:hyperlink r:id="rId80">
              <w:r>
                <w:rPr>
                  <w:rFonts w:ascii="Arial" w:cs="Arial" w:eastAsia="Arial" w:hAnsi="Arial"/>
                  <w:sz w:val="17"/>
                  <w:szCs w:val="17"/>
                  <w:color w:val="0000FF"/>
                  <w:w w:val="95"/>
                </w:rPr>
                <w:t>Global Ltd., Lennox Industries Inc., LGL Australia (US) Inc., Lennox National Account Services LLC and LGL Europe Holding Co. (filed as Exhibit</w:t>
              </w:r>
            </w:hyperlink>
          </w:p>
        </w:tc>
        <w:tc>
          <w:tcPr>
            <w:tcW w:w="40" w:type="dxa"/>
            <w:vAlign w:val="bottom"/>
            <w:tcBorders>
              <w:bottom w:val="single" w:sz="8" w:color="CCEEFF"/>
            </w:tcBorders>
            <w:gridSpan w:val="2"/>
            <w:shd w:val="clear" w:color="auto" w:fill="CCEEFF"/>
          </w:tcPr>
          <w:p>
            <w:pPr>
              <w:spacing w:after="0"/>
              <w:rPr>
                <w:sz w:val="16"/>
                <w:szCs w:val="16"/>
                <w:color w:val="auto"/>
              </w:rPr>
            </w:pPr>
          </w:p>
        </w:tc>
      </w:tr>
      <w:tr>
        <w:trPr>
          <w:trHeight w:val="233"/>
        </w:trPr>
        <w:tc>
          <w:tcPr>
            <w:tcW w:w="960" w:type="dxa"/>
            <w:vAlign w:val="bottom"/>
            <w:tcBorders>
              <w:bottom w:val="single" w:sz="8" w:color="CCEEFF"/>
            </w:tcBorders>
            <w:shd w:val="clear" w:color="auto" w:fill="CCEEFF"/>
          </w:tcPr>
          <w:p>
            <w:pPr>
              <w:spacing w:after="0"/>
              <w:rPr>
                <w:sz w:val="20"/>
                <w:szCs w:val="20"/>
                <w:color w:val="auto"/>
              </w:rPr>
            </w:pPr>
          </w:p>
        </w:tc>
        <w:tc>
          <w:tcPr>
            <w:tcW w:w="8400" w:type="dxa"/>
            <w:vAlign w:val="bottom"/>
            <w:tcBorders>
              <w:bottom w:val="single" w:sz="8" w:color="0000FF"/>
            </w:tcBorders>
            <w:gridSpan w:val="13"/>
            <w:shd w:val="clear" w:color="auto" w:fill="CCEEFF"/>
          </w:tcPr>
          <w:p>
            <w:pPr>
              <w:spacing w:after="0" w:line="189" w:lineRule="exact"/>
              <w:rPr>
                <w:rFonts w:ascii="Arial" w:cs="Arial" w:eastAsia="Arial" w:hAnsi="Arial"/>
                <w:sz w:val="17"/>
                <w:szCs w:val="17"/>
                <w:color w:val="0000FF"/>
                <w:w w:val="93"/>
              </w:rPr>
            </w:pPr>
            <w:hyperlink r:id="rId80">
              <w:r>
                <w:rPr>
                  <w:rFonts w:ascii="Arial" w:cs="Arial" w:eastAsia="Arial" w:hAnsi="Arial"/>
                  <w:sz w:val="17"/>
                  <w:szCs w:val="17"/>
                  <w:color w:val="0000FF"/>
                  <w:w w:val="93"/>
                </w:rPr>
                <w:t>C in Exhibit 10.1 to LII's Current Report on Form 8-K filed on September 2, 2016 and incorporated herein by reference).</w:t>
              </w:r>
            </w:hyperlink>
          </w:p>
        </w:tc>
        <w:tc>
          <w:tcPr>
            <w:tcW w:w="2060" w:type="dxa"/>
            <w:vAlign w:val="bottom"/>
            <w:tcBorders>
              <w:bottom w:val="single" w:sz="8" w:color="CCEEFF"/>
            </w:tcBorders>
            <w:gridSpan w:val="23"/>
            <w:shd w:val="clear" w:color="auto" w:fill="CCEEFF"/>
          </w:tcPr>
          <w:p>
            <w:pPr>
              <w:spacing w:after="0"/>
              <w:rPr>
                <w:sz w:val="20"/>
                <w:szCs w:val="20"/>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10.6</w:t>
            </w:r>
          </w:p>
        </w:tc>
        <w:tc>
          <w:tcPr>
            <w:tcW w:w="10460" w:type="dxa"/>
            <w:vAlign w:val="bottom"/>
            <w:gridSpan w:val="36"/>
          </w:tcPr>
          <w:p>
            <w:pPr>
              <w:spacing w:after="0"/>
              <w:rPr>
                <w:rFonts w:ascii="Arial" w:cs="Arial" w:eastAsia="Arial" w:hAnsi="Arial"/>
                <w:sz w:val="17"/>
                <w:szCs w:val="17"/>
                <w:color w:val="0000FF"/>
                <w:w w:val="91"/>
              </w:rPr>
            </w:pPr>
            <w:hyperlink r:id="rId84">
              <w:r>
                <w:rPr>
                  <w:rFonts w:ascii="Arial" w:cs="Arial" w:eastAsia="Arial" w:hAnsi="Arial"/>
                  <w:sz w:val="17"/>
                  <w:szCs w:val="17"/>
                  <w:color w:val="0000FF"/>
                  <w:w w:val="91"/>
                </w:rPr>
                <w:t>Amendment No. 2 to Amended and Restated Receivables Purchase Agreement, effective as of November 15, 2013, among LPAC Corp., as the Seller,</w:t>
              </w:r>
            </w:hyperlink>
          </w:p>
        </w:tc>
      </w:tr>
      <w:tr>
        <w:trPr>
          <w:trHeight w:val="188"/>
        </w:trPr>
        <w:tc>
          <w:tcPr>
            <w:tcW w:w="960" w:type="dxa"/>
            <w:vAlign w:val="bottom"/>
          </w:tcPr>
          <w:p>
            <w:pPr>
              <w:spacing w:after="0"/>
              <w:rPr>
                <w:sz w:val="16"/>
                <w:szCs w:val="16"/>
                <w:color w:val="auto"/>
              </w:rPr>
            </w:pPr>
          </w:p>
        </w:tc>
        <w:tc>
          <w:tcPr>
            <w:tcW w:w="10380" w:type="dxa"/>
            <w:vAlign w:val="bottom"/>
            <w:tcBorders>
              <w:top w:val="single" w:sz="8" w:color="0000FF"/>
              <w:bottom w:val="single" w:sz="8" w:color="0000FF"/>
            </w:tcBorders>
            <w:gridSpan w:val="32"/>
          </w:tcPr>
          <w:p>
            <w:pPr>
              <w:spacing w:after="0" w:line="189" w:lineRule="exact"/>
              <w:rPr>
                <w:rFonts w:ascii="Arial" w:cs="Arial" w:eastAsia="Arial" w:hAnsi="Arial"/>
                <w:sz w:val="17"/>
                <w:szCs w:val="17"/>
                <w:color w:val="0000FF"/>
                <w:w w:val="93"/>
              </w:rPr>
            </w:pPr>
            <w:hyperlink r:id="rId84">
              <w:r>
                <w:rPr>
                  <w:rFonts w:ascii="Arial" w:cs="Arial" w:eastAsia="Arial" w:hAnsi="Arial"/>
                  <w:sz w:val="17"/>
                  <w:szCs w:val="17"/>
                  <w:color w:val="0000FF"/>
                  <w:w w:val="93"/>
                </w:rPr>
                <w:t>Lennox Industries Inc., as the Master Servicer, Victory Receivables Corporation, as a Purchaser, The Bank of Tokyo-Mitsubishi UFJ, Ltd., New York</w:t>
              </w:r>
            </w:hyperlink>
          </w:p>
        </w:tc>
        <w:tc>
          <w:tcPr>
            <w:tcW w:w="20" w:type="dxa"/>
            <w:vAlign w:val="bottom"/>
            <w:tcBorders>
              <w:top w:val="single" w:sz="8" w:color="0000FF"/>
            </w:tcBorders>
          </w:tcPr>
          <w:p>
            <w:pPr>
              <w:spacing w:after="0"/>
              <w:rPr>
                <w:sz w:val="16"/>
                <w:szCs w:val="16"/>
                <w:color w:val="auto"/>
              </w:rPr>
            </w:pPr>
          </w:p>
        </w:tc>
        <w:tc>
          <w:tcPr>
            <w:tcW w:w="60" w:type="dxa"/>
            <w:vAlign w:val="bottom"/>
            <w:gridSpan w:val="3"/>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260" w:type="dxa"/>
            <w:vAlign w:val="bottom"/>
            <w:tcBorders>
              <w:bottom w:val="single" w:sz="8" w:color="0000FF"/>
            </w:tcBorders>
            <w:gridSpan w:val="27"/>
          </w:tcPr>
          <w:p>
            <w:pPr>
              <w:spacing w:after="0" w:line="189" w:lineRule="exact"/>
              <w:rPr>
                <w:rFonts w:ascii="Arial" w:cs="Arial" w:eastAsia="Arial" w:hAnsi="Arial"/>
                <w:sz w:val="17"/>
                <w:szCs w:val="17"/>
                <w:color w:val="0000FF"/>
                <w:w w:val="94"/>
              </w:rPr>
            </w:pPr>
            <w:hyperlink r:id="rId84">
              <w:r>
                <w:rPr>
                  <w:rFonts w:ascii="Arial" w:cs="Arial" w:eastAsia="Arial" w:hAnsi="Arial"/>
                  <w:sz w:val="17"/>
                  <w:szCs w:val="17"/>
                  <w:color w:val="0000FF"/>
                  <w:w w:val="94"/>
                </w:rPr>
                <w:t>Branch, as Administrative Agent, a Liquidity Bank, and the BTMU Purchaser Agent, and PNC Bank, National Association as a Liquidity Bank and</w:t>
              </w:r>
            </w:hyperlink>
          </w:p>
        </w:tc>
        <w:tc>
          <w:tcPr>
            <w:tcW w:w="200" w:type="dxa"/>
            <w:vAlign w:val="bottom"/>
            <w:gridSpan w:val="9"/>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36"/>
          </w:tcPr>
          <w:p>
            <w:pPr>
              <w:spacing w:after="0" w:line="189" w:lineRule="exact"/>
              <w:rPr>
                <w:rFonts w:ascii="Arial" w:cs="Arial" w:eastAsia="Arial" w:hAnsi="Arial"/>
                <w:sz w:val="17"/>
                <w:szCs w:val="17"/>
                <w:color w:val="0000FF"/>
                <w:w w:val="99"/>
              </w:rPr>
            </w:pPr>
            <w:hyperlink r:id="rId84">
              <w:r>
                <w:rPr>
                  <w:rFonts w:ascii="Arial" w:cs="Arial" w:eastAsia="Arial" w:hAnsi="Arial"/>
                  <w:sz w:val="17"/>
                  <w:szCs w:val="17"/>
                  <w:color w:val="0000FF"/>
                  <w:w w:val="99"/>
                </w:rPr>
                <w:t>the PNC Purchaser Agent (filed as Exhibit 10.1 to LII's Current Report on Form 8-K filed on November 19, 2013 and incorporated herein by</w:t>
              </w:r>
            </w:hyperlink>
          </w:p>
        </w:tc>
      </w:tr>
      <w:tr>
        <w:trPr>
          <w:trHeight w:val="188"/>
        </w:trPr>
        <w:tc>
          <w:tcPr>
            <w:tcW w:w="960" w:type="dxa"/>
            <w:vAlign w:val="bottom"/>
          </w:tcPr>
          <w:p>
            <w:pPr>
              <w:spacing w:after="0"/>
              <w:rPr>
                <w:sz w:val="16"/>
                <w:szCs w:val="16"/>
                <w:color w:val="auto"/>
              </w:rPr>
            </w:pPr>
          </w:p>
        </w:tc>
        <w:tc>
          <w:tcPr>
            <w:tcW w:w="9780" w:type="dxa"/>
            <w:vAlign w:val="bottom"/>
            <w:tcBorders>
              <w:top w:val="single" w:sz="8" w:color="0000FF"/>
            </w:tcBorders>
            <w:gridSpan w:val="18"/>
          </w:tcPr>
          <w:p>
            <w:pPr>
              <w:spacing w:after="0" w:line="189" w:lineRule="exact"/>
              <w:rPr>
                <w:rFonts w:ascii="Arial" w:cs="Arial" w:eastAsia="Arial" w:hAnsi="Arial"/>
                <w:sz w:val="17"/>
                <w:szCs w:val="17"/>
                <w:color w:val="0000FF"/>
              </w:rPr>
            </w:pPr>
            <w:hyperlink r:id="rId84">
              <w:r>
                <w:rPr>
                  <w:rFonts w:ascii="Arial" w:cs="Arial" w:eastAsia="Arial" w:hAnsi="Arial"/>
                  <w:sz w:val="17"/>
                  <w:szCs w:val="17"/>
                  <w:color w:val="0000FF"/>
                </w:rPr>
                <w:t>reference).</w:t>
              </w:r>
            </w:hyperlink>
          </w:p>
        </w:tc>
        <w:tc>
          <w:tcPr>
            <w:tcW w:w="680" w:type="dxa"/>
            <w:vAlign w:val="bottom"/>
            <w:gridSpan w:val="18"/>
          </w:tcPr>
          <w:p>
            <w:pPr>
              <w:spacing w:after="0"/>
              <w:rPr>
                <w:sz w:val="16"/>
                <w:szCs w:val="16"/>
                <w:color w:val="auto"/>
              </w:rPr>
            </w:pPr>
          </w:p>
        </w:tc>
      </w:tr>
      <w:tr>
        <w:trPr>
          <w:trHeight w:val="45"/>
        </w:trPr>
        <w:tc>
          <w:tcPr>
            <w:tcW w:w="960" w:type="dxa"/>
            <w:vAlign w:val="bottom"/>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10.7</w:t>
            </w:r>
          </w:p>
        </w:tc>
        <w:tc>
          <w:tcPr>
            <w:tcW w:w="10460" w:type="dxa"/>
            <w:vAlign w:val="bottom"/>
            <w:gridSpan w:val="36"/>
            <w:shd w:val="clear" w:color="auto" w:fill="CCEEFF"/>
          </w:tcPr>
          <w:p>
            <w:pPr>
              <w:spacing w:after="0"/>
              <w:rPr>
                <w:rFonts w:ascii="Arial" w:cs="Arial" w:eastAsia="Arial" w:hAnsi="Arial"/>
                <w:sz w:val="17"/>
                <w:szCs w:val="17"/>
                <w:color w:val="0000FF"/>
                <w:w w:val="92"/>
              </w:rPr>
            </w:pPr>
            <w:hyperlink r:id="rId85">
              <w:r>
                <w:rPr>
                  <w:rFonts w:ascii="Arial" w:cs="Arial" w:eastAsia="Arial" w:hAnsi="Arial"/>
                  <w:sz w:val="17"/>
                  <w:szCs w:val="17"/>
                  <w:color w:val="0000FF"/>
                  <w:w w:val="92"/>
                </w:rPr>
                <w:t>Omnibus Amendment No. 3 to the Amended and Restated Receivables Purchase agreement, effective as of November 21, 2014 among LPAC Corp.,</w:t>
              </w:r>
            </w:hyperlink>
          </w:p>
        </w:tc>
      </w:tr>
      <w:tr>
        <w:trPr>
          <w:trHeight w:val="188"/>
        </w:trPr>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10180" w:type="dxa"/>
            <w:vAlign w:val="bottom"/>
            <w:tcBorders>
              <w:top w:val="single" w:sz="8" w:color="0000FF"/>
              <w:bottom w:val="single" w:sz="8" w:color="0000FF"/>
            </w:tcBorders>
            <w:gridSpan w:val="25"/>
            <w:shd w:val="clear" w:color="auto" w:fill="CCEEFF"/>
          </w:tcPr>
          <w:p>
            <w:pPr>
              <w:spacing w:after="0" w:line="189" w:lineRule="exact"/>
              <w:rPr>
                <w:rFonts w:ascii="Arial" w:cs="Arial" w:eastAsia="Arial" w:hAnsi="Arial"/>
                <w:sz w:val="17"/>
                <w:szCs w:val="17"/>
                <w:color w:val="0000FF"/>
                <w:w w:val="92"/>
              </w:rPr>
            </w:pPr>
            <w:hyperlink r:id="rId85">
              <w:r>
                <w:rPr>
                  <w:rFonts w:ascii="Arial" w:cs="Arial" w:eastAsia="Arial" w:hAnsi="Arial"/>
                  <w:sz w:val="17"/>
                  <w:szCs w:val="17"/>
                  <w:color w:val="0000FF"/>
                  <w:w w:val="92"/>
                </w:rPr>
                <w:t>as the Seller, Lennox Industries Inc., as the Master Servicer, Victory Receivables Corporation, as a Purchaser, The Bank of Tokyo-Mitsubishi UFJ,</w:t>
              </w:r>
            </w:hyperlink>
          </w:p>
        </w:tc>
        <w:tc>
          <w:tcPr>
            <w:tcW w:w="14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7"/>
            <w:shd w:val="clear" w:color="auto" w:fill="CCEEFF"/>
          </w:tcPr>
          <w:p>
            <w:pPr>
              <w:spacing w:after="0"/>
              <w:rPr>
                <w:sz w:val="16"/>
                <w:szCs w:val="16"/>
                <w:color w:val="auto"/>
              </w:rPr>
            </w:pPr>
          </w:p>
        </w:tc>
      </w:tr>
      <w:tr>
        <w:trPr>
          <w:trHeight w:val="188"/>
        </w:trPr>
        <w:tc>
          <w:tcPr>
            <w:tcW w:w="960" w:type="dxa"/>
            <w:vAlign w:val="bottom"/>
            <w:shd w:val="clear" w:color="auto" w:fill="CCEEFF"/>
          </w:tcPr>
          <w:p>
            <w:pPr>
              <w:spacing w:after="0"/>
              <w:rPr>
                <w:sz w:val="16"/>
                <w:szCs w:val="16"/>
                <w:color w:val="auto"/>
              </w:rPr>
            </w:pPr>
          </w:p>
        </w:tc>
        <w:tc>
          <w:tcPr>
            <w:tcW w:w="10460" w:type="dxa"/>
            <w:vAlign w:val="bottom"/>
            <w:gridSpan w:val="36"/>
            <w:shd w:val="clear" w:color="auto" w:fill="CCEEFF"/>
          </w:tcPr>
          <w:p>
            <w:pPr>
              <w:spacing w:after="0" w:line="189" w:lineRule="exact"/>
              <w:rPr>
                <w:rFonts w:ascii="Arial" w:cs="Arial" w:eastAsia="Arial" w:hAnsi="Arial"/>
                <w:sz w:val="17"/>
                <w:szCs w:val="17"/>
                <w:color w:val="0000FF"/>
                <w:w w:val="98"/>
              </w:rPr>
            </w:pPr>
            <w:hyperlink r:id="rId85">
              <w:r>
                <w:rPr>
                  <w:rFonts w:ascii="Arial" w:cs="Arial" w:eastAsia="Arial" w:hAnsi="Arial"/>
                  <w:sz w:val="17"/>
                  <w:szCs w:val="17"/>
                  <w:color w:val="0000FF"/>
                  <w:w w:val="98"/>
                </w:rPr>
                <w:t>Ltd., New York Branch, as Administrative Agent, a Liquidity Bank, and the BTMU Purchaser Agent, and PNC Bank, National Association, as a</w:t>
              </w:r>
            </w:hyperlink>
          </w:p>
        </w:tc>
      </w:tr>
      <w:tr>
        <w:trPr>
          <w:trHeight w:val="188"/>
        </w:trPr>
        <w:tc>
          <w:tcPr>
            <w:tcW w:w="960" w:type="dxa"/>
            <w:vAlign w:val="bottom"/>
            <w:tcBorders>
              <w:top w:val="single" w:sz="8" w:color="CCEEFF"/>
            </w:tcBorders>
            <w:shd w:val="clear" w:color="auto" w:fill="CCEEFF"/>
          </w:tcPr>
          <w:p>
            <w:pPr>
              <w:spacing w:after="0"/>
              <w:rPr>
                <w:sz w:val="16"/>
                <w:szCs w:val="16"/>
                <w:color w:val="auto"/>
              </w:rPr>
            </w:pPr>
          </w:p>
        </w:tc>
        <w:tc>
          <w:tcPr>
            <w:tcW w:w="10020" w:type="dxa"/>
            <w:vAlign w:val="bottom"/>
            <w:tcBorders>
              <w:top w:val="single" w:sz="8" w:color="0000FF"/>
            </w:tcBorders>
            <w:gridSpan w:val="23"/>
            <w:shd w:val="clear" w:color="auto" w:fill="CCEEFF"/>
          </w:tcPr>
          <w:p>
            <w:pPr>
              <w:spacing w:after="0" w:line="189" w:lineRule="exact"/>
              <w:rPr>
                <w:rFonts w:ascii="Arial" w:cs="Arial" w:eastAsia="Arial" w:hAnsi="Arial"/>
                <w:sz w:val="17"/>
                <w:szCs w:val="17"/>
                <w:color w:val="0000FF"/>
                <w:w w:val="98"/>
              </w:rPr>
            </w:pPr>
            <w:hyperlink r:id="rId85">
              <w:r>
                <w:rPr>
                  <w:rFonts w:ascii="Arial" w:cs="Arial" w:eastAsia="Arial" w:hAnsi="Arial"/>
                  <w:sz w:val="17"/>
                  <w:szCs w:val="17"/>
                  <w:color w:val="0000FF"/>
                  <w:w w:val="98"/>
                </w:rPr>
                <w:t>Liquidity Bank and the PNC Purchaser Agent (filed as Exhibit 10.1 to LII's Current Report on Form 8-K filed on November 24, 2014 and</w:t>
              </w:r>
            </w:hyperlink>
          </w:p>
        </w:tc>
        <w:tc>
          <w:tcPr>
            <w:tcW w:w="440" w:type="dxa"/>
            <w:vAlign w:val="bottom"/>
            <w:tcBorders>
              <w:top w:val="single" w:sz="8" w:color="CCEEFF"/>
            </w:tcBorders>
            <w:gridSpan w:val="13"/>
            <w:shd w:val="clear" w:color="auto" w:fill="CCEEFF"/>
          </w:tcPr>
          <w:p>
            <w:pPr>
              <w:spacing w:after="0"/>
              <w:rPr>
                <w:sz w:val="16"/>
                <w:szCs w:val="16"/>
                <w:color w:val="auto"/>
              </w:rPr>
            </w:pPr>
          </w:p>
        </w:tc>
      </w:tr>
      <w:tr>
        <w:trPr>
          <w:trHeight w:val="233"/>
        </w:trPr>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2360" w:type="dxa"/>
            <w:vAlign w:val="bottom"/>
            <w:tcBorders>
              <w:top w:val="single" w:sz="8" w:color="0000FF"/>
              <w:bottom w:val="single" w:sz="8" w:color="0000FF"/>
            </w:tcBorders>
            <w:gridSpan w:val="5"/>
            <w:shd w:val="clear" w:color="auto" w:fill="CCEEFF"/>
          </w:tcPr>
          <w:p>
            <w:pPr>
              <w:spacing w:after="0" w:line="189" w:lineRule="exact"/>
              <w:rPr>
                <w:rFonts w:ascii="Arial" w:cs="Arial" w:eastAsia="Arial" w:hAnsi="Arial"/>
                <w:sz w:val="17"/>
                <w:szCs w:val="17"/>
                <w:color w:val="0000FF"/>
                <w:w w:val="91"/>
              </w:rPr>
            </w:pPr>
            <w:hyperlink r:id="rId85">
              <w:r>
                <w:rPr>
                  <w:rFonts w:ascii="Arial" w:cs="Arial" w:eastAsia="Arial" w:hAnsi="Arial"/>
                  <w:sz w:val="17"/>
                  <w:szCs w:val="17"/>
                  <w:color w:val="0000FF"/>
                  <w:w w:val="91"/>
                </w:rPr>
                <w:t>incorporated herein by reference).</w:t>
              </w:r>
            </w:hyperlink>
          </w:p>
        </w:tc>
        <w:tc>
          <w:tcPr>
            <w:tcW w:w="7200" w:type="dxa"/>
            <w:vAlign w:val="bottom"/>
            <w:tcBorders>
              <w:top w:val="single" w:sz="8" w:color="0000FF"/>
              <w:bottom w:val="single" w:sz="8" w:color="CCEEFF"/>
            </w:tcBorders>
            <w:gridSpan w:val="10"/>
            <w:shd w:val="clear" w:color="auto" w:fill="CCEEFF"/>
          </w:tcPr>
          <w:p>
            <w:pPr>
              <w:spacing w:after="0"/>
              <w:rPr>
                <w:sz w:val="20"/>
                <w:szCs w:val="20"/>
                <w:color w:val="auto"/>
              </w:rPr>
            </w:pPr>
          </w:p>
        </w:tc>
        <w:tc>
          <w:tcPr>
            <w:tcW w:w="900" w:type="dxa"/>
            <w:vAlign w:val="bottom"/>
            <w:tcBorders>
              <w:top w:val="single" w:sz="8" w:color="CCEEFF"/>
              <w:bottom w:val="single" w:sz="8" w:color="CCEEFF"/>
            </w:tcBorders>
            <w:gridSpan w:val="21"/>
            <w:shd w:val="clear" w:color="auto" w:fill="CCEEFF"/>
          </w:tcPr>
          <w:p>
            <w:pPr>
              <w:spacing w:after="0"/>
              <w:rPr>
                <w:sz w:val="20"/>
                <w:szCs w:val="20"/>
                <w:color w:val="auto"/>
              </w:rPr>
            </w:pPr>
          </w:p>
        </w:tc>
      </w:tr>
      <w:tr>
        <w:trPr>
          <w:trHeight w:val="417"/>
        </w:trPr>
        <w:tc>
          <w:tcPr>
            <w:tcW w:w="960" w:type="dxa"/>
            <w:vAlign w:val="bottom"/>
          </w:tcPr>
          <w:p>
            <w:pPr>
              <w:spacing w:after="0"/>
              <w:rPr>
                <w:sz w:val="24"/>
                <w:szCs w:val="24"/>
                <w:color w:val="auto"/>
              </w:rPr>
            </w:pPr>
          </w:p>
        </w:tc>
        <w:tc>
          <w:tcPr>
            <w:tcW w:w="6080" w:type="dxa"/>
            <w:vAlign w:val="bottom"/>
            <w:gridSpan w:val="10"/>
          </w:tcPr>
          <w:p>
            <w:pPr>
              <w:ind w:left="4660"/>
              <w:spacing w:after="0"/>
              <w:rPr>
                <w:sz w:val="20"/>
                <w:szCs w:val="20"/>
                <w:color w:val="auto"/>
              </w:rPr>
            </w:pPr>
            <w:r>
              <w:rPr>
                <w:rFonts w:ascii="Arial" w:cs="Arial" w:eastAsia="Arial" w:hAnsi="Arial"/>
                <w:sz w:val="17"/>
                <w:szCs w:val="17"/>
                <w:color w:val="auto"/>
              </w:rPr>
              <w:t>89</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10.8</w:t>
            </w:r>
          </w:p>
        </w:tc>
        <w:tc>
          <w:tcPr>
            <w:tcW w:w="10220" w:type="dxa"/>
            <w:vAlign w:val="bottom"/>
            <w:tcBorders>
              <w:bottom w:val="single" w:sz="8" w:color="0000FF"/>
            </w:tcBorders>
            <w:gridSpan w:val="22"/>
          </w:tcPr>
          <w:p>
            <w:pPr>
              <w:spacing w:after="0"/>
              <w:rPr>
                <w:rFonts w:ascii="Arial" w:cs="Arial" w:eastAsia="Arial" w:hAnsi="Arial"/>
                <w:sz w:val="17"/>
                <w:szCs w:val="17"/>
                <w:color w:val="0000FF"/>
                <w:w w:val="91"/>
              </w:rPr>
            </w:pPr>
            <w:hyperlink r:id="rId86">
              <w:r>
                <w:rPr>
                  <w:rFonts w:ascii="Arial" w:cs="Arial" w:eastAsia="Arial" w:hAnsi="Arial"/>
                  <w:sz w:val="17"/>
                  <w:szCs w:val="17"/>
                  <w:color w:val="0000FF"/>
                  <w:w w:val="91"/>
                </w:rPr>
                <w:t>Amendment to the Amended and Restated Receivables Purchase Agreement, effective as of December 15, 2014, among LPAC Corp., as the Seller,</w:t>
              </w:r>
            </w:hyperlink>
          </w:p>
        </w:tc>
        <w:tc>
          <w:tcPr>
            <w:tcW w:w="240" w:type="dxa"/>
            <w:vAlign w:val="bottom"/>
            <w:gridSpan w:val="7"/>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220" w:type="dxa"/>
            <w:vAlign w:val="bottom"/>
            <w:tcBorders>
              <w:bottom w:val="single" w:sz="8" w:color="0000FF"/>
            </w:tcBorders>
            <w:gridSpan w:val="22"/>
          </w:tcPr>
          <w:p>
            <w:pPr>
              <w:spacing w:after="0" w:line="189" w:lineRule="exact"/>
              <w:rPr>
                <w:rFonts w:ascii="Arial" w:cs="Arial" w:eastAsia="Arial" w:hAnsi="Arial"/>
                <w:sz w:val="17"/>
                <w:szCs w:val="17"/>
                <w:color w:val="0000FF"/>
                <w:w w:val="93"/>
              </w:rPr>
            </w:pPr>
            <w:hyperlink r:id="rId86">
              <w:r>
                <w:rPr>
                  <w:rFonts w:ascii="Arial" w:cs="Arial" w:eastAsia="Arial" w:hAnsi="Arial"/>
                  <w:sz w:val="17"/>
                  <w:szCs w:val="17"/>
                  <w:color w:val="0000FF"/>
                  <w:w w:val="93"/>
                </w:rPr>
                <w:t>Lennox Industries Inc., as the Master Servicer, with Victory Receivables Corporation, as Purchaser, The Bank of Tokyo-Mitsubishi UFJ, Ltd., New</w:t>
              </w:r>
            </w:hyperlink>
          </w:p>
        </w:tc>
        <w:tc>
          <w:tcPr>
            <w:tcW w:w="240" w:type="dxa"/>
            <w:vAlign w:val="bottom"/>
            <w:gridSpan w:val="7"/>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29"/>
          </w:tcPr>
          <w:p>
            <w:pPr>
              <w:spacing w:after="0" w:line="189" w:lineRule="exact"/>
              <w:rPr>
                <w:rFonts w:ascii="Arial" w:cs="Arial" w:eastAsia="Arial" w:hAnsi="Arial"/>
                <w:sz w:val="17"/>
                <w:szCs w:val="17"/>
                <w:color w:val="0000FF"/>
                <w:w w:val="95"/>
              </w:rPr>
            </w:pPr>
            <w:hyperlink r:id="rId86">
              <w:r>
                <w:rPr>
                  <w:rFonts w:ascii="Arial" w:cs="Arial" w:eastAsia="Arial" w:hAnsi="Arial"/>
                  <w:sz w:val="17"/>
                  <w:szCs w:val="17"/>
                  <w:color w:val="0000FF"/>
                  <w:w w:val="95"/>
                </w:rPr>
                <w:t>York Branch, as Administrative Agent, a Liquidity Bank and the BTMU purchaser agent, and PNC Bank, National Association, as a Liquidity Bank</w:t>
              </w:r>
            </w:hyperlink>
          </w:p>
        </w:tc>
      </w:tr>
      <w:tr>
        <w:trPr>
          <w:trHeight w:val="188"/>
        </w:trPr>
        <w:tc>
          <w:tcPr>
            <w:tcW w:w="960" w:type="dxa"/>
            <w:vAlign w:val="bottom"/>
          </w:tcPr>
          <w:p>
            <w:pPr>
              <w:spacing w:after="0"/>
              <w:rPr>
                <w:sz w:val="16"/>
                <w:szCs w:val="16"/>
                <w:color w:val="auto"/>
              </w:rPr>
            </w:pPr>
          </w:p>
        </w:tc>
        <w:tc>
          <w:tcPr>
            <w:tcW w:w="10280" w:type="dxa"/>
            <w:vAlign w:val="bottom"/>
            <w:tcBorders>
              <w:top w:val="single" w:sz="8" w:color="0000FF"/>
            </w:tcBorders>
            <w:gridSpan w:val="23"/>
          </w:tcPr>
          <w:p>
            <w:pPr>
              <w:spacing w:after="0" w:line="189" w:lineRule="exact"/>
              <w:rPr>
                <w:rFonts w:ascii="Arial" w:cs="Arial" w:eastAsia="Arial" w:hAnsi="Arial"/>
                <w:sz w:val="17"/>
                <w:szCs w:val="17"/>
                <w:color w:val="0000FF"/>
                <w:w w:val="95"/>
              </w:rPr>
            </w:pPr>
            <w:hyperlink r:id="rId86">
              <w:r>
                <w:rPr>
                  <w:rFonts w:ascii="Arial" w:cs="Arial" w:eastAsia="Arial" w:hAnsi="Arial"/>
                  <w:sz w:val="17"/>
                  <w:szCs w:val="17"/>
                  <w:color w:val="0000FF"/>
                  <w:w w:val="95"/>
                </w:rPr>
                <w:t>and the PNC purchaser agent (filed as Exhibit 10.1 to LII's Current Report on Form 8-K filed on December 18, 2014 and incorporated herein by</w:t>
              </w:r>
            </w:hyperlink>
          </w:p>
        </w:tc>
        <w:tc>
          <w:tcPr>
            <w:tcW w:w="180" w:type="dxa"/>
            <w:vAlign w:val="bottom"/>
            <w:gridSpan w:val="6"/>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000" w:type="dxa"/>
            <w:vAlign w:val="bottom"/>
            <w:tcBorders>
              <w:top w:val="single" w:sz="8" w:color="0000FF"/>
            </w:tcBorders>
            <w:gridSpan w:val="16"/>
          </w:tcPr>
          <w:p>
            <w:pPr>
              <w:spacing w:after="0" w:line="189" w:lineRule="exact"/>
              <w:rPr>
                <w:rFonts w:ascii="Arial" w:cs="Arial" w:eastAsia="Arial" w:hAnsi="Arial"/>
                <w:sz w:val="17"/>
                <w:szCs w:val="17"/>
                <w:color w:val="0000FF"/>
              </w:rPr>
            </w:pPr>
            <w:hyperlink r:id="rId86">
              <w:r>
                <w:rPr>
                  <w:rFonts w:ascii="Arial" w:cs="Arial" w:eastAsia="Arial" w:hAnsi="Arial"/>
                  <w:sz w:val="17"/>
                  <w:szCs w:val="17"/>
                  <w:color w:val="0000FF"/>
                </w:rPr>
                <w:t>reference).</w:t>
              </w:r>
            </w:hyperlink>
          </w:p>
        </w:tc>
        <w:tc>
          <w:tcPr>
            <w:tcW w:w="460" w:type="dxa"/>
            <w:vAlign w:val="bottom"/>
            <w:gridSpan w:val="13"/>
          </w:tcPr>
          <w:p>
            <w:pPr>
              <w:spacing w:after="0"/>
              <w:rPr>
                <w:sz w:val="16"/>
                <w:szCs w:val="16"/>
                <w:color w:val="auto"/>
              </w:rPr>
            </w:pPr>
          </w:p>
        </w:tc>
      </w:tr>
      <w:tr>
        <w:trPr>
          <w:trHeight w:val="45"/>
        </w:trPr>
        <w:tc>
          <w:tcPr>
            <w:tcW w:w="960" w:type="dxa"/>
            <w:vAlign w:val="bottom"/>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10.9</w:t>
            </w:r>
          </w:p>
        </w:tc>
        <w:tc>
          <w:tcPr>
            <w:tcW w:w="10460" w:type="dxa"/>
            <w:vAlign w:val="bottom"/>
            <w:gridSpan w:val="29"/>
            <w:shd w:val="clear" w:color="auto" w:fill="CCEEFF"/>
          </w:tcPr>
          <w:p>
            <w:pPr>
              <w:spacing w:after="0"/>
              <w:rPr>
                <w:rFonts w:ascii="Arial" w:cs="Arial" w:eastAsia="Arial" w:hAnsi="Arial"/>
                <w:sz w:val="17"/>
                <w:szCs w:val="17"/>
                <w:color w:val="0000FF"/>
                <w:w w:val="95"/>
              </w:rPr>
            </w:pPr>
            <w:hyperlink r:id="rId87">
              <w:r>
                <w:rPr>
                  <w:rFonts w:ascii="Arial" w:cs="Arial" w:eastAsia="Arial" w:hAnsi="Arial"/>
                  <w:sz w:val="17"/>
                  <w:szCs w:val="17"/>
                  <w:color w:val="0000FF"/>
                  <w:w w:val="95"/>
                </w:rPr>
                <w:t>Amendment No. 4 to Amended and Restated Receivables Purchase Agreement among LPAC Corp., as the Seller, Lennox Industries Inc., as the</w:t>
              </w:r>
            </w:hyperlink>
          </w:p>
        </w:tc>
      </w:tr>
      <w:tr>
        <w:trPr>
          <w:trHeight w:val="20"/>
        </w:trPr>
        <w:tc>
          <w:tcPr>
            <w:tcW w:w="960" w:type="dxa"/>
            <w:vAlign w:val="bottom"/>
            <w:shd w:val="clear" w:color="auto" w:fill="CCEE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8"/>
        </w:trPr>
        <w:tc>
          <w:tcPr>
            <w:tcW w:w="960" w:type="dxa"/>
            <w:vAlign w:val="bottom"/>
            <w:tcBorders>
              <w:bottom w:val="single" w:sz="8" w:color="CCEEFF"/>
            </w:tcBorders>
            <w:shd w:val="clear" w:color="auto" w:fill="CCEEFF"/>
          </w:tcPr>
          <w:p>
            <w:pPr>
              <w:spacing w:after="0"/>
              <w:rPr>
                <w:sz w:val="16"/>
                <w:szCs w:val="16"/>
                <w:color w:val="auto"/>
              </w:rPr>
            </w:pPr>
          </w:p>
        </w:tc>
        <w:tc>
          <w:tcPr>
            <w:tcW w:w="10020" w:type="dxa"/>
            <w:vAlign w:val="bottom"/>
            <w:tcBorders>
              <w:bottom w:val="single" w:sz="8" w:color="0000FF"/>
            </w:tcBorders>
            <w:gridSpan w:val="17"/>
            <w:shd w:val="clear" w:color="auto" w:fill="CCEEFF"/>
          </w:tcPr>
          <w:p>
            <w:pPr>
              <w:spacing w:after="0" w:line="189" w:lineRule="exact"/>
              <w:rPr>
                <w:rFonts w:ascii="Arial" w:cs="Arial" w:eastAsia="Arial" w:hAnsi="Arial"/>
                <w:sz w:val="17"/>
                <w:szCs w:val="17"/>
                <w:color w:val="0000FF"/>
                <w:w w:val="93"/>
              </w:rPr>
            </w:pPr>
            <w:hyperlink r:id="rId87">
              <w:r>
                <w:rPr>
                  <w:rFonts w:ascii="Arial" w:cs="Arial" w:eastAsia="Arial" w:hAnsi="Arial"/>
                  <w:sz w:val="17"/>
                  <w:szCs w:val="17"/>
                  <w:color w:val="0000FF"/>
                  <w:w w:val="93"/>
                </w:rPr>
                <w:t>Master Servicer, Victory Receivables Corporation, as Purchaser, The Bank of Tokyo-Mitsubishi UFJ, Ltd., New York Branch, as Administrative</w:t>
              </w:r>
            </w:hyperlink>
          </w:p>
        </w:tc>
        <w:tc>
          <w:tcPr>
            <w:tcW w:w="440" w:type="dxa"/>
            <w:vAlign w:val="bottom"/>
            <w:tcBorders>
              <w:bottom w:val="single" w:sz="8" w:color="CCEEFF"/>
            </w:tcBorders>
            <w:gridSpan w:val="12"/>
            <w:shd w:val="clear" w:color="auto" w:fill="CCEEFF"/>
          </w:tcPr>
          <w:p>
            <w:pPr>
              <w:spacing w:after="0"/>
              <w:rPr>
                <w:sz w:val="16"/>
                <w:szCs w:val="16"/>
                <w:color w:val="auto"/>
              </w:rPr>
            </w:pPr>
          </w:p>
        </w:tc>
      </w:tr>
      <w:tr>
        <w:trPr>
          <w:trHeight w:val="188"/>
        </w:trPr>
        <w:tc>
          <w:tcPr>
            <w:tcW w:w="960" w:type="dxa"/>
            <w:vAlign w:val="bottom"/>
            <w:tcBorders>
              <w:bottom w:val="single" w:sz="8" w:color="CCEEFF"/>
            </w:tcBorders>
            <w:shd w:val="clear" w:color="auto" w:fill="CCEEFF"/>
          </w:tcPr>
          <w:p>
            <w:pPr>
              <w:spacing w:after="0"/>
              <w:rPr>
                <w:sz w:val="16"/>
                <w:szCs w:val="16"/>
                <w:color w:val="auto"/>
              </w:rPr>
            </w:pPr>
          </w:p>
        </w:tc>
        <w:tc>
          <w:tcPr>
            <w:tcW w:w="10100" w:type="dxa"/>
            <w:vAlign w:val="bottom"/>
            <w:tcBorders>
              <w:bottom w:val="single" w:sz="8" w:color="0000FF"/>
            </w:tcBorders>
            <w:gridSpan w:val="19"/>
            <w:shd w:val="clear" w:color="auto" w:fill="CCEEFF"/>
          </w:tcPr>
          <w:p>
            <w:pPr>
              <w:spacing w:after="0" w:line="189" w:lineRule="exact"/>
              <w:rPr>
                <w:rFonts w:ascii="Arial" w:cs="Arial" w:eastAsia="Arial" w:hAnsi="Arial"/>
                <w:sz w:val="17"/>
                <w:szCs w:val="17"/>
                <w:color w:val="0000FF"/>
                <w:w w:val="93"/>
              </w:rPr>
            </w:pPr>
            <w:hyperlink r:id="rId87">
              <w:r>
                <w:rPr>
                  <w:rFonts w:ascii="Arial" w:cs="Arial" w:eastAsia="Arial" w:hAnsi="Arial"/>
                  <w:sz w:val="17"/>
                  <w:szCs w:val="17"/>
                  <w:color w:val="0000FF"/>
                  <w:w w:val="93"/>
                </w:rPr>
                <w:t>Agent, a Liquidity Bank and a Purchaser Agent, and PNC Bank, National Association, as a Liquidity Bank and a Purchaser Agent, effective as of</w:t>
              </w:r>
            </w:hyperlink>
          </w:p>
        </w:tc>
        <w:tc>
          <w:tcPr>
            <w:tcW w:w="360" w:type="dxa"/>
            <w:vAlign w:val="bottom"/>
            <w:tcBorders>
              <w:bottom w:val="single" w:sz="8" w:color="CCEEFF"/>
            </w:tcBorders>
            <w:gridSpan w:val="10"/>
            <w:shd w:val="clear" w:color="auto" w:fill="CCEEFF"/>
          </w:tcPr>
          <w:p>
            <w:pPr>
              <w:spacing w:after="0"/>
              <w:rPr>
                <w:sz w:val="16"/>
                <w:szCs w:val="16"/>
                <w:color w:val="auto"/>
              </w:rPr>
            </w:pPr>
          </w:p>
        </w:tc>
      </w:tr>
      <w:tr>
        <w:trPr>
          <w:trHeight w:val="233"/>
        </w:trPr>
        <w:tc>
          <w:tcPr>
            <w:tcW w:w="960" w:type="dxa"/>
            <w:vAlign w:val="bottom"/>
            <w:shd w:val="clear" w:color="auto" w:fill="CCEEFF"/>
          </w:tcPr>
          <w:p>
            <w:pPr>
              <w:spacing w:after="0"/>
              <w:rPr>
                <w:sz w:val="20"/>
                <w:szCs w:val="20"/>
                <w:color w:val="auto"/>
              </w:rPr>
            </w:pPr>
          </w:p>
        </w:tc>
        <w:tc>
          <w:tcPr>
            <w:tcW w:w="10460" w:type="dxa"/>
            <w:vAlign w:val="bottom"/>
            <w:gridSpan w:val="29"/>
            <w:shd w:val="clear" w:color="auto" w:fill="CCEEFF"/>
          </w:tcPr>
          <w:p>
            <w:pPr>
              <w:spacing w:after="0" w:line="189" w:lineRule="exact"/>
              <w:rPr>
                <w:rFonts w:ascii="Arial" w:cs="Arial" w:eastAsia="Arial" w:hAnsi="Arial"/>
                <w:sz w:val="17"/>
                <w:szCs w:val="17"/>
                <w:color w:val="0000FF"/>
                <w:w w:val="96"/>
              </w:rPr>
            </w:pPr>
            <w:hyperlink r:id="rId87">
              <w:r>
                <w:rPr>
                  <w:rFonts w:ascii="Arial" w:cs="Arial" w:eastAsia="Arial" w:hAnsi="Arial"/>
                  <w:sz w:val="17"/>
                  <w:szCs w:val="17"/>
                  <w:color w:val="0000FF"/>
                  <w:w w:val="96"/>
                </w:rPr>
                <w:t>November 13, 2015 (filed as Exhibit 10.1 to LII’s Current Report on Form 8-K filed on November 18, 2015 and incorporated herein by reference).</w:t>
              </w:r>
            </w:hyperlink>
          </w:p>
        </w:tc>
      </w:tr>
      <w:tr>
        <w:trPr>
          <w:trHeight w:val="195"/>
        </w:trPr>
        <w:tc>
          <w:tcPr>
            <w:tcW w:w="960" w:type="dxa"/>
            <w:vAlign w:val="bottom"/>
            <w:tcBorders>
              <w:top w:val="single" w:sz="8" w:color="CCEEFF"/>
            </w:tcBorders>
          </w:tcPr>
          <w:p>
            <w:pPr>
              <w:ind w:left="40"/>
              <w:spacing w:after="0"/>
              <w:rPr>
                <w:sz w:val="20"/>
                <w:szCs w:val="20"/>
                <w:color w:val="auto"/>
              </w:rPr>
            </w:pPr>
            <w:r>
              <w:rPr>
                <w:rFonts w:ascii="Arial" w:cs="Arial" w:eastAsia="Arial" w:hAnsi="Arial"/>
                <w:sz w:val="17"/>
                <w:szCs w:val="17"/>
                <w:color w:val="auto"/>
              </w:rPr>
              <w:t>10.10</w:t>
            </w:r>
          </w:p>
        </w:tc>
        <w:tc>
          <w:tcPr>
            <w:tcW w:w="10180" w:type="dxa"/>
            <w:vAlign w:val="bottom"/>
            <w:tcBorders>
              <w:top w:val="single" w:sz="8" w:color="0000FF"/>
            </w:tcBorders>
            <w:gridSpan w:val="21"/>
          </w:tcPr>
          <w:p>
            <w:pPr>
              <w:spacing w:after="0"/>
              <w:rPr>
                <w:rFonts w:ascii="Arial" w:cs="Arial" w:eastAsia="Arial" w:hAnsi="Arial"/>
                <w:sz w:val="17"/>
                <w:szCs w:val="17"/>
                <w:color w:val="0000FF"/>
                <w:w w:val="93"/>
              </w:rPr>
            </w:pPr>
            <w:hyperlink r:id="rId88">
              <w:r>
                <w:rPr>
                  <w:rFonts w:ascii="Arial" w:cs="Arial" w:eastAsia="Arial" w:hAnsi="Arial"/>
                  <w:sz w:val="17"/>
                  <w:szCs w:val="17"/>
                  <w:color w:val="0000FF"/>
                  <w:w w:val="93"/>
                </w:rPr>
                <w:t>Amendment No. 5 to Amended and Restated Receivables Purchase Agreement among LPAC Corp., as the Seller, Lennox Industries Inc., as the</w:t>
              </w:r>
            </w:hyperlink>
          </w:p>
        </w:tc>
        <w:tc>
          <w:tcPr>
            <w:tcW w:w="280" w:type="dxa"/>
            <w:vAlign w:val="bottom"/>
            <w:tcBorders>
              <w:top w:val="single" w:sz="8" w:color="CCEEFF"/>
            </w:tcBorders>
            <w:gridSpan w:val="8"/>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960" w:type="dxa"/>
            <w:vAlign w:val="bottom"/>
          </w:tcPr>
          <w:p>
            <w:pPr>
              <w:spacing w:after="0"/>
              <w:rPr>
                <w:sz w:val="16"/>
                <w:szCs w:val="16"/>
                <w:color w:val="auto"/>
              </w:rPr>
            </w:pPr>
          </w:p>
        </w:tc>
        <w:tc>
          <w:tcPr>
            <w:tcW w:w="10280" w:type="dxa"/>
            <w:vAlign w:val="bottom"/>
            <w:tcBorders>
              <w:bottom w:val="single" w:sz="8" w:color="0000FF"/>
            </w:tcBorders>
            <w:gridSpan w:val="23"/>
          </w:tcPr>
          <w:p>
            <w:pPr>
              <w:spacing w:after="0" w:line="189" w:lineRule="exact"/>
              <w:rPr>
                <w:rFonts w:ascii="Arial" w:cs="Arial" w:eastAsia="Arial" w:hAnsi="Arial"/>
                <w:sz w:val="17"/>
                <w:szCs w:val="17"/>
                <w:color w:val="0000FF"/>
                <w:w w:val="93"/>
              </w:rPr>
            </w:pPr>
            <w:hyperlink r:id="rId88">
              <w:r>
                <w:rPr>
                  <w:rFonts w:ascii="Arial" w:cs="Arial" w:eastAsia="Arial" w:hAnsi="Arial"/>
                  <w:sz w:val="17"/>
                  <w:szCs w:val="17"/>
                  <w:color w:val="0000FF"/>
                  <w:w w:val="93"/>
                </w:rPr>
                <w:t>Master Servicer, Victory Receivables Corporation, as Purchaser and The Bank of Tokyo-Mitsubishi UFJ, Ltd., New York Branch, as Administrative</w:t>
              </w:r>
            </w:hyperlink>
          </w:p>
        </w:tc>
        <w:tc>
          <w:tcPr>
            <w:tcW w:w="180" w:type="dxa"/>
            <w:vAlign w:val="bottom"/>
            <w:gridSpan w:val="6"/>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120" w:type="dxa"/>
            <w:vAlign w:val="bottom"/>
            <w:tcBorders>
              <w:bottom w:val="single" w:sz="8" w:color="0000FF"/>
            </w:tcBorders>
            <w:gridSpan w:val="20"/>
          </w:tcPr>
          <w:p>
            <w:pPr>
              <w:spacing w:after="0" w:line="189" w:lineRule="exact"/>
              <w:rPr>
                <w:rFonts w:ascii="Arial" w:cs="Arial" w:eastAsia="Arial" w:hAnsi="Arial"/>
                <w:sz w:val="17"/>
                <w:szCs w:val="17"/>
                <w:color w:val="0000FF"/>
                <w:w w:val="94"/>
              </w:rPr>
            </w:pPr>
            <w:hyperlink r:id="rId88">
              <w:r>
                <w:rPr>
                  <w:rFonts w:ascii="Arial" w:cs="Arial" w:eastAsia="Arial" w:hAnsi="Arial"/>
                  <w:sz w:val="17"/>
                  <w:szCs w:val="17"/>
                  <w:color w:val="0000FF"/>
                  <w:w w:val="94"/>
                </w:rPr>
                <w:t>Agent, a Liquidity Bank and a Purchaser Agent, (filed as Exhibit 10.1 to LII's Current Report on Form 8-K filed on July 6, 2016 and incorporated</w:t>
              </w:r>
            </w:hyperlink>
          </w:p>
        </w:tc>
        <w:tc>
          <w:tcPr>
            <w:tcW w:w="340" w:type="dxa"/>
            <w:vAlign w:val="bottom"/>
            <w:gridSpan w:val="9"/>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29"/>
          </w:tcPr>
          <w:p>
            <w:pPr>
              <w:spacing w:after="0" w:line="189" w:lineRule="exact"/>
              <w:rPr>
                <w:rFonts w:ascii="Arial" w:cs="Arial" w:eastAsia="Arial" w:hAnsi="Arial"/>
                <w:sz w:val="17"/>
                <w:szCs w:val="17"/>
                <w:color w:val="0000FF"/>
              </w:rPr>
            </w:pPr>
            <w:hyperlink r:id="rId88">
              <w:r>
                <w:rPr>
                  <w:rFonts w:ascii="Arial" w:cs="Arial" w:eastAsia="Arial" w:hAnsi="Arial"/>
                  <w:sz w:val="17"/>
                  <w:szCs w:val="17"/>
                  <w:color w:val="0000FF"/>
                </w:rPr>
                <w:t>herein by reference)</w:t>
              </w:r>
              <w:r>
                <w:rPr>
                  <w:rFonts w:ascii="Arial" w:cs="Arial" w:eastAsia="Arial" w:hAnsi="Arial"/>
                  <w:sz w:val="17"/>
                  <w:szCs w:val="17"/>
                  <w:color w:val="000000"/>
                </w:rPr>
                <w:t>.</w:t>
              </w:r>
            </w:hyperlink>
          </w:p>
        </w:tc>
      </w:tr>
      <w:tr>
        <w:trPr>
          <w:trHeight w:val="45"/>
        </w:trPr>
        <w:tc>
          <w:tcPr>
            <w:tcW w:w="960" w:type="dxa"/>
            <w:vAlign w:val="bottom"/>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10.11</w:t>
            </w:r>
          </w:p>
        </w:tc>
        <w:tc>
          <w:tcPr>
            <w:tcW w:w="10460" w:type="dxa"/>
            <w:vAlign w:val="bottom"/>
            <w:gridSpan w:val="29"/>
            <w:shd w:val="clear" w:color="auto" w:fill="CCEEFF"/>
          </w:tcPr>
          <w:p>
            <w:pPr>
              <w:spacing w:after="0"/>
              <w:rPr>
                <w:rFonts w:ascii="Arial" w:cs="Arial" w:eastAsia="Arial" w:hAnsi="Arial"/>
                <w:sz w:val="17"/>
                <w:szCs w:val="17"/>
                <w:color w:val="0000FF"/>
                <w:w w:val="95"/>
              </w:rPr>
            </w:pPr>
            <w:hyperlink r:id="rId89">
              <w:r>
                <w:rPr>
                  <w:rFonts w:ascii="Arial" w:cs="Arial" w:eastAsia="Arial" w:hAnsi="Arial"/>
                  <w:sz w:val="17"/>
                  <w:szCs w:val="17"/>
                  <w:color w:val="0000FF"/>
                  <w:w w:val="95"/>
                </w:rPr>
                <w:t>Amendment No. 6 to Amended and Restated Receivables Purchase Agreement among LPAC Corp., as the Seller, Lennox Industries Inc., as the</w:t>
              </w:r>
            </w:hyperlink>
          </w:p>
        </w:tc>
      </w:tr>
      <w:tr>
        <w:trPr>
          <w:trHeight w:val="20"/>
        </w:trPr>
        <w:tc>
          <w:tcPr>
            <w:tcW w:w="960" w:type="dxa"/>
            <w:vAlign w:val="bottom"/>
            <w:shd w:val="clear" w:color="auto" w:fill="CCEE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8"/>
        </w:trPr>
        <w:tc>
          <w:tcPr>
            <w:tcW w:w="960" w:type="dxa"/>
            <w:vAlign w:val="bottom"/>
            <w:tcBorders>
              <w:bottom w:val="single" w:sz="8" w:color="CCEEFF"/>
            </w:tcBorders>
            <w:shd w:val="clear" w:color="auto" w:fill="CCEEFF"/>
          </w:tcPr>
          <w:p>
            <w:pPr>
              <w:spacing w:after="0"/>
              <w:rPr>
                <w:sz w:val="16"/>
                <w:szCs w:val="16"/>
                <w:color w:val="auto"/>
              </w:rPr>
            </w:pPr>
          </w:p>
        </w:tc>
        <w:tc>
          <w:tcPr>
            <w:tcW w:w="10280" w:type="dxa"/>
            <w:vAlign w:val="bottom"/>
            <w:tcBorders>
              <w:bottom w:val="single" w:sz="8" w:color="0000FF"/>
              <w:right w:val="single" w:sz="8" w:color="CCEEFF"/>
            </w:tcBorders>
            <w:gridSpan w:val="23"/>
            <w:shd w:val="clear" w:color="auto" w:fill="CCEEFF"/>
          </w:tcPr>
          <w:p>
            <w:pPr>
              <w:spacing w:after="0" w:line="189" w:lineRule="exact"/>
              <w:rPr>
                <w:rFonts w:ascii="Arial" w:cs="Arial" w:eastAsia="Arial" w:hAnsi="Arial"/>
                <w:sz w:val="17"/>
                <w:szCs w:val="17"/>
                <w:color w:val="0000FF"/>
                <w:w w:val="93"/>
              </w:rPr>
            </w:pPr>
            <w:hyperlink r:id="rId89">
              <w:r>
                <w:rPr>
                  <w:rFonts w:ascii="Arial" w:cs="Arial" w:eastAsia="Arial" w:hAnsi="Arial"/>
                  <w:sz w:val="17"/>
                  <w:szCs w:val="17"/>
                  <w:color w:val="0000FF"/>
                  <w:w w:val="93"/>
                </w:rPr>
                <w:t>Master Servicer, Victory Receivables Corporation, as Purchaser and The Bank of Tokyo-Mitsubishi UFJ, Ltd., New York Branch, as Administrative</w:t>
              </w:r>
            </w:hyperlink>
          </w:p>
        </w:tc>
        <w:tc>
          <w:tcPr>
            <w:tcW w:w="180" w:type="dxa"/>
            <w:vAlign w:val="bottom"/>
            <w:tcBorders>
              <w:bottom w:val="single" w:sz="8" w:color="CCEEFF"/>
            </w:tcBorders>
            <w:gridSpan w:val="6"/>
            <w:shd w:val="clear" w:color="auto" w:fill="CCEEFF"/>
          </w:tcPr>
          <w:p>
            <w:pPr>
              <w:spacing w:after="0"/>
              <w:rPr>
                <w:sz w:val="16"/>
                <w:szCs w:val="16"/>
                <w:color w:val="auto"/>
              </w:rPr>
            </w:pPr>
          </w:p>
        </w:tc>
      </w:tr>
      <w:tr>
        <w:trPr>
          <w:trHeight w:val="188"/>
        </w:trPr>
        <w:tc>
          <w:tcPr>
            <w:tcW w:w="960" w:type="dxa"/>
            <w:vAlign w:val="bottom"/>
            <w:shd w:val="clear" w:color="auto" w:fill="CCEEFF"/>
          </w:tcPr>
          <w:p>
            <w:pPr>
              <w:spacing w:after="0"/>
              <w:rPr>
                <w:sz w:val="16"/>
                <w:szCs w:val="16"/>
                <w:color w:val="auto"/>
              </w:rPr>
            </w:pPr>
          </w:p>
        </w:tc>
        <w:tc>
          <w:tcPr>
            <w:tcW w:w="10460" w:type="dxa"/>
            <w:vAlign w:val="bottom"/>
            <w:gridSpan w:val="29"/>
            <w:shd w:val="clear" w:color="auto" w:fill="CCEEFF"/>
          </w:tcPr>
          <w:p>
            <w:pPr>
              <w:spacing w:after="0" w:line="189" w:lineRule="exact"/>
              <w:rPr>
                <w:rFonts w:ascii="Arial" w:cs="Arial" w:eastAsia="Arial" w:hAnsi="Arial"/>
                <w:sz w:val="17"/>
                <w:szCs w:val="17"/>
                <w:color w:val="0000FF"/>
              </w:rPr>
            </w:pPr>
            <w:hyperlink r:id="rId89">
              <w:r>
                <w:rPr>
                  <w:rFonts w:ascii="Arial" w:cs="Arial" w:eastAsia="Arial" w:hAnsi="Arial"/>
                  <w:sz w:val="17"/>
                  <w:szCs w:val="17"/>
                  <w:color w:val="0000FF"/>
                </w:rPr>
                <w:t>Agent, a Liquidity Bank and a Purchaser Agent, (filed as Exhibit 10.1 to LII's Current Report on Form 8-K filed on November 16, 2017 and</w:t>
              </w:r>
            </w:hyperlink>
          </w:p>
        </w:tc>
      </w:tr>
      <w:tr>
        <w:trPr>
          <w:trHeight w:val="233"/>
        </w:trPr>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2360" w:type="dxa"/>
            <w:vAlign w:val="bottom"/>
            <w:tcBorders>
              <w:top w:val="single" w:sz="8" w:color="0000FF"/>
              <w:bottom w:val="single" w:sz="8" w:color="0000FF"/>
            </w:tcBorders>
            <w:gridSpan w:val="4"/>
            <w:shd w:val="clear" w:color="auto" w:fill="CCEEFF"/>
          </w:tcPr>
          <w:p>
            <w:pPr>
              <w:spacing w:after="0" w:line="189" w:lineRule="exact"/>
              <w:rPr>
                <w:rFonts w:ascii="Arial" w:cs="Arial" w:eastAsia="Arial" w:hAnsi="Arial"/>
                <w:sz w:val="17"/>
                <w:szCs w:val="17"/>
                <w:color w:val="0000FF"/>
                <w:w w:val="91"/>
              </w:rPr>
            </w:pPr>
            <w:hyperlink r:id="rId89">
              <w:r>
                <w:rPr>
                  <w:rFonts w:ascii="Arial" w:cs="Arial" w:eastAsia="Arial" w:hAnsi="Arial"/>
                  <w:sz w:val="17"/>
                  <w:szCs w:val="17"/>
                  <w:color w:val="0000FF"/>
                  <w:w w:val="91"/>
                </w:rPr>
                <w:t>incorporated herein by reference).</w:t>
              </w:r>
            </w:hyperlink>
          </w:p>
        </w:tc>
        <w:tc>
          <w:tcPr>
            <w:tcW w:w="7360" w:type="dxa"/>
            <w:vAlign w:val="bottom"/>
            <w:tcBorders>
              <w:top w:val="single" w:sz="8" w:color="0000FF"/>
              <w:bottom w:val="single" w:sz="8" w:color="CCEEFF"/>
            </w:tcBorders>
            <w:gridSpan w:val="9"/>
            <w:shd w:val="clear" w:color="auto" w:fill="CCEEFF"/>
          </w:tcPr>
          <w:p>
            <w:pPr>
              <w:spacing w:after="0"/>
              <w:rPr>
                <w:sz w:val="20"/>
                <w:szCs w:val="20"/>
                <w:color w:val="auto"/>
              </w:rPr>
            </w:pPr>
          </w:p>
        </w:tc>
        <w:tc>
          <w:tcPr>
            <w:tcW w:w="740" w:type="dxa"/>
            <w:vAlign w:val="bottom"/>
            <w:tcBorders>
              <w:top w:val="single" w:sz="8" w:color="CCEEFF"/>
              <w:bottom w:val="single" w:sz="8" w:color="CCEEFF"/>
            </w:tcBorders>
            <w:gridSpan w:val="16"/>
            <w:shd w:val="clear" w:color="auto" w:fill="CCEEFF"/>
          </w:tcPr>
          <w:p>
            <w:pPr>
              <w:spacing w:after="0"/>
              <w:rPr>
                <w:sz w:val="20"/>
                <w:szCs w:val="20"/>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10.12</w:t>
            </w:r>
          </w:p>
        </w:tc>
        <w:tc>
          <w:tcPr>
            <w:tcW w:w="10460" w:type="dxa"/>
            <w:vAlign w:val="bottom"/>
            <w:gridSpan w:val="29"/>
          </w:tcPr>
          <w:p>
            <w:pPr>
              <w:spacing w:after="0"/>
              <w:rPr>
                <w:rFonts w:ascii="Arial" w:cs="Arial" w:eastAsia="Arial" w:hAnsi="Arial"/>
                <w:sz w:val="17"/>
                <w:szCs w:val="17"/>
                <w:color w:val="0000FF"/>
                <w:w w:val="95"/>
              </w:rPr>
            </w:pPr>
            <w:hyperlink r:id="rId90">
              <w:r>
                <w:rPr>
                  <w:rFonts w:ascii="Arial" w:cs="Arial" w:eastAsia="Arial" w:hAnsi="Arial"/>
                  <w:sz w:val="17"/>
                  <w:szCs w:val="17"/>
                  <w:color w:val="0000FF"/>
                  <w:w w:val="95"/>
                </w:rPr>
                <w:t>Amendment No. 7 to Amended and Restated Receivables Purchase Agreement among LPAC Corp., as the Seller, Lennox Industries Inc., as the</w:t>
              </w:r>
            </w:hyperlink>
          </w:p>
        </w:tc>
      </w:tr>
      <w:tr>
        <w:trPr>
          <w:trHeight w:val="20"/>
        </w:trPr>
        <w:tc>
          <w:tcPr>
            <w:tcW w:w="9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960" w:type="dxa"/>
            <w:vAlign w:val="bottom"/>
          </w:tcPr>
          <w:p>
            <w:pPr>
              <w:spacing w:after="0"/>
              <w:rPr>
                <w:sz w:val="16"/>
                <w:szCs w:val="16"/>
                <w:color w:val="auto"/>
              </w:rPr>
            </w:pPr>
          </w:p>
        </w:tc>
        <w:tc>
          <w:tcPr>
            <w:tcW w:w="10280" w:type="dxa"/>
            <w:vAlign w:val="bottom"/>
            <w:tcBorders>
              <w:bottom w:val="single" w:sz="8" w:color="0000FF"/>
            </w:tcBorders>
            <w:gridSpan w:val="23"/>
          </w:tcPr>
          <w:p>
            <w:pPr>
              <w:spacing w:after="0" w:line="189" w:lineRule="exact"/>
              <w:rPr>
                <w:rFonts w:ascii="Arial" w:cs="Arial" w:eastAsia="Arial" w:hAnsi="Arial"/>
                <w:sz w:val="17"/>
                <w:szCs w:val="17"/>
                <w:color w:val="0000FF"/>
                <w:w w:val="93"/>
              </w:rPr>
            </w:pPr>
            <w:hyperlink r:id="rId90">
              <w:r>
                <w:rPr>
                  <w:rFonts w:ascii="Arial" w:cs="Arial" w:eastAsia="Arial" w:hAnsi="Arial"/>
                  <w:sz w:val="17"/>
                  <w:szCs w:val="17"/>
                  <w:color w:val="0000FF"/>
                  <w:w w:val="93"/>
                </w:rPr>
                <w:t>Master Servicer, Victory Receivables Corporation, as Purchaser and The Bank of Tokyo-Mitsubishi UFJ, Ltd., New York Branch, as Administrative</w:t>
              </w:r>
            </w:hyperlink>
          </w:p>
        </w:tc>
        <w:tc>
          <w:tcPr>
            <w:tcW w:w="180" w:type="dxa"/>
            <w:vAlign w:val="bottom"/>
            <w:gridSpan w:val="6"/>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9600" w:type="dxa"/>
            <w:vAlign w:val="bottom"/>
            <w:tcBorders>
              <w:bottom w:val="single" w:sz="8" w:color="0000FF"/>
            </w:tcBorders>
            <w:gridSpan w:val="12"/>
          </w:tcPr>
          <w:p>
            <w:pPr>
              <w:spacing w:after="0" w:line="189" w:lineRule="exact"/>
              <w:rPr>
                <w:rFonts w:ascii="Arial" w:cs="Arial" w:eastAsia="Arial" w:hAnsi="Arial"/>
                <w:sz w:val="17"/>
                <w:szCs w:val="17"/>
                <w:color w:val="0000FF"/>
                <w:w w:val="94"/>
              </w:rPr>
            </w:pPr>
            <w:hyperlink r:id="rId90">
              <w:r>
                <w:rPr>
                  <w:rFonts w:ascii="Arial" w:cs="Arial" w:eastAsia="Arial" w:hAnsi="Arial"/>
                  <w:sz w:val="17"/>
                  <w:szCs w:val="17"/>
                  <w:color w:val="0000FF"/>
                  <w:w w:val="94"/>
                </w:rPr>
                <w:t>Agent, a Liquidity Bank and a Purchaser Agent (filed as Exhibit 10.1 to LII’s Quarterly Report on Form 10-Q filed on April 23, 2018, and</w:t>
              </w:r>
            </w:hyperlink>
          </w:p>
        </w:tc>
        <w:tc>
          <w:tcPr>
            <w:tcW w:w="860" w:type="dxa"/>
            <w:vAlign w:val="bottom"/>
            <w:gridSpan w:val="17"/>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29"/>
          </w:tcPr>
          <w:p>
            <w:pPr>
              <w:spacing w:after="0" w:line="189" w:lineRule="exact"/>
              <w:rPr>
                <w:rFonts w:ascii="Arial" w:cs="Arial" w:eastAsia="Arial" w:hAnsi="Arial"/>
                <w:sz w:val="17"/>
                <w:szCs w:val="17"/>
                <w:color w:val="0000FF"/>
              </w:rPr>
            </w:pPr>
            <w:hyperlink r:id="rId90">
              <w:r>
                <w:rPr>
                  <w:rFonts w:ascii="Arial" w:cs="Arial" w:eastAsia="Arial" w:hAnsi="Arial"/>
                  <w:sz w:val="17"/>
                  <w:szCs w:val="17"/>
                  <w:color w:val="0000FF"/>
                </w:rPr>
                <w:t>incorporated herein by reference).</w:t>
              </w:r>
            </w:hyperlink>
          </w:p>
        </w:tc>
      </w:tr>
      <w:tr>
        <w:trPr>
          <w:trHeight w:val="45"/>
        </w:trPr>
        <w:tc>
          <w:tcPr>
            <w:tcW w:w="960" w:type="dxa"/>
            <w:vAlign w:val="bottom"/>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960" w:type="dxa"/>
            <w:vAlign w:val="bottom"/>
            <w:tcBorders>
              <w:top w:val="single" w:sz="8" w:color="0000FF"/>
            </w:tcBorders>
          </w:tcPr>
          <w:p>
            <w:pPr>
              <w:spacing w:after="0"/>
              <w:rPr>
                <w:sz w:val="3"/>
                <w:szCs w:val="3"/>
                <w:color w:val="auto"/>
              </w:rPr>
            </w:pPr>
          </w:p>
        </w:tc>
        <w:tc>
          <w:tcPr>
            <w:tcW w:w="7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10.13</w:t>
            </w:r>
          </w:p>
        </w:tc>
        <w:tc>
          <w:tcPr>
            <w:tcW w:w="10460" w:type="dxa"/>
            <w:vAlign w:val="bottom"/>
            <w:gridSpan w:val="29"/>
            <w:shd w:val="clear" w:color="auto" w:fill="CCEEFF"/>
          </w:tcPr>
          <w:p>
            <w:pPr>
              <w:spacing w:after="0"/>
              <w:rPr>
                <w:rFonts w:ascii="Arial" w:cs="Arial" w:eastAsia="Arial" w:hAnsi="Arial"/>
                <w:sz w:val="17"/>
                <w:szCs w:val="17"/>
                <w:color w:val="0000FF"/>
                <w:w w:val="95"/>
              </w:rPr>
            </w:pPr>
            <w:hyperlink r:id="rId91">
              <w:r>
                <w:rPr>
                  <w:rFonts w:ascii="Arial" w:cs="Arial" w:eastAsia="Arial" w:hAnsi="Arial"/>
                  <w:sz w:val="17"/>
                  <w:szCs w:val="17"/>
                  <w:color w:val="0000FF"/>
                  <w:w w:val="95"/>
                </w:rPr>
                <w:t>Amendment No. 8 to Amended and Restated Receivables Purchase Agreement among LPAC Corp., as the Seller, Lennox Industries Inc., as the</w:t>
              </w:r>
            </w:hyperlink>
          </w:p>
        </w:tc>
      </w:tr>
      <w:tr>
        <w:trPr>
          <w:trHeight w:val="20"/>
        </w:trPr>
        <w:tc>
          <w:tcPr>
            <w:tcW w:w="960" w:type="dxa"/>
            <w:vAlign w:val="bottom"/>
            <w:shd w:val="clear" w:color="auto" w:fill="CCEE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8"/>
        </w:trPr>
        <w:tc>
          <w:tcPr>
            <w:tcW w:w="960" w:type="dxa"/>
            <w:vAlign w:val="bottom"/>
            <w:tcBorders>
              <w:bottom w:val="single" w:sz="8" w:color="CCEEFF"/>
            </w:tcBorders>
            <w:shd w:val="clear" w:color="auto" w:fill="CCEEFF"/>
          </w:tcPr>
          <w:p>
            <w:pPr>
              <w:spacing w:after="0"/>
              <w:rPr>
                <w:sz w:val="16"/>
                <w:szCs w:val="16"/>
                <w:color w:val="auto"/>
              </w:rPr>
            </w:pPr>
          </w:p>
        </w:tc>
        <w:tc>
          <w:tcPr>
            <w:tcW w:w="10440" w:type="dxa"/>
            <w:vAlign w:val="bottom"/>
            <w:tcBorders>
              <w:bottom w:val="single" w:sz="8" w:color="0000FF"/>
            </w:tcBorders>
            <w:gridSpan w:val="28"/>
            <w:shd w:val="clear" w:color="auto" w:fill="CCEEFF"/>
          </w:tcPr>
          <w:p>
            <w:pPr>
              <w:spacing w:after="0" w:line="189" w:lineRule="exact"/>
              <w:rPr>
                <w:rFonts w:ascii="Arial" w:cs="Arial" w:eastAsia="Arial" w:hAnsi="Arial"/>
                <w:sz w:val="17"/>
                <w:szCs w:val="17"/>
                <w:color w:val="0000FF"/>
                <w:w w:val="94"/>
              </w:rPr>
            </w:pPr>
            <w:hyperlink r:id="rId91">
              <w:r>
                <w:rPr>
                  <w:rFonts w:ascii="Arial" w:cs="Arial" w:eastAsia="Arial" w:hAnsi="Arial"/>
                  <w:sz w:val="17"/>
                  <w:szCs w:val="17"/>
                  <w:color w:val="0000FF"/>
                  <w:w w:val="94"/>
                </w:rPr>
                <w:t>Master Servicer, Victory Receivables Corporation, as Purchaser and MUFG Bank, Ltd., as Administrative Agent, BTMU Liquidity Bank, Wells Fargo</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8"/>
        </w:trPr>
        <w:tc>
          <w:tcPr>
            <w:tcW w:w="960" w:type="dxa"/>
            <w:vAlign w:val="bottom"/>
            <w:shd w:val="clear" w:color="auto" w:fill="CCEEFF"/>
          </w:tcPr>
          <w:p>
            <w:pPr>
              <w:spacing w:after="0"/>
              <w:rPr>
                <w:sz w:val="16"/>
                <w:szCs w:val="16"/>
                <w:color w:val="auto"/>
              </w:rPr>
            </w:pPr>
          </w:p>
        </w:tc>
        <w:tc>
          <w:tcPr>
            <w:tcW w:w="10460" w:type="dxa"/>
            <w:vAlign w:val="bottom"/>
            <w:gridSpan w:val="29"/>
            <w:shd w:val="clear" w:color="auto" w:fill="CCEEFF"/>
          </w:tcPr>
          <w:p>
            <w:pPr>
              <w:spacing w:after="0" w:line="189" w:lineRule="exact"/>
              <w:rPr>
                <w:rFonts w:ascii="Arial" w:cs="Arial" w:eastAsia="Arial" w:hAnsi="Arial"/>
                <w:sz w:val="17"/>
                <w:szCs w:val="17"/>
                <w:color w:val="0000FF"/>
                <w:w w:val="97"/>
              </w:rPr>
            </w:pPr>
            <w:hyperlink r:id="rId91">
              <w:r>
                <w:rPr>
                  <w:rFonts w:ascii="Arial" w:cs="Arial" w:eastAsia="Arial" w:hAnsi="Arial"/>
                  <w:sz w:val="17"/>
                  <w:szCs w:val="17"/>
                  <w:color w:val="0000FF"/>
                  <w:w w:val="97"/>
                </w:rPr>
                <w:t>Bank, National Association, a Liquidity Bank and PNC Bank, N National Association, a Purchaser Agent (filed as Exhibit 10.1 to LII’s Quarterly</w:t>
              </w:r>
            </w:hyperlink>
          </w:p>
        </w:tc>
      </w:tr>
      <w:tr>
        <w:trPr>
          <w:trHeight w:val="233"/>
        </w:trPr>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6080" w:type="dxa"/>
            <w:vAlign w:val="bottom"/>
            <w:tcBorders>
              <w:top w:val="single" w:sz="8" w:color="0000FF"/>
              <w:bottom w:val="single" w:sz="8" w:color="0000FF"/>
            </w:tcBorders>
            <w:gridSpan w:val="7"/>
            <w:shd w:val="clear" w:color="auto" w:fill="CCEEFF"/>
          </w:tcPr>
          <w:p>
            <w:pPr>
              <w:spacing w:after="0" w:line="189" w:lineRule="exact"/>
              <w:rPr>
                <w:rFonts w:ascii="Arial" w:cs="Arial" w:eastAsia="Arial" w:hAnsi="Arial"/>
                <w:sz w:val="17"/>
                <w:szCs w:val="17"/>
                <w:color w:val="0000FF"/>
                <w:w w:val="92"/>
              </w:rPr>
            </w:pPr>
            <w:hyperlink r:id="rId91">
              <w:r>
                <w:rPr>
                  <w:rFonts w:ascii="Arial" w:cs="Arial" w:eastAsia="Arial" w:hAnsi="Arial"/>
                  <w:sz w:val="17"/>
                  <w:szCs w:val="17"/>
                  <w:color w:val="0000FF"/>
                  <w:w w:val="92"/>
                </w:rPr>
                <w:t>Report on Form 10-Q filed on October 22, 2018, and incorporated herein by reference).</w:t>
              </w:r>
            </w:hyperlink>
          </w:p>
        </w:tc>
        <w:tc>
          <w:tcPr>
            <w:tcW w:w="4020" w:type="dxa"/>
            <w:vAlign w:val="bottom"/>
            <w:tcBorders>
              <w:top w:val="single" w:sz="8" w:color="0000FF"/>
              <w:bottom w:val="single" w:sz="8" w:color="CCEEFF"/>
            </w:tcBorders>
            <w:gridSpan w:val="12"/>
            <w:shd w:val="clear" w:color="auto" w:fill="CCEEFF"/>
          </w:tcPr>
          <w:p>
            <w:pPr>
              <w:spacing w:after="0"/>
              <w:rPr>
                <w:sz w:val="20"/>
                <w:szCs w:val="20"/>
                <w:color w:val="auto"/>
              </w:rPr>
            </w:pPr>
          </w:p>
        </w:tc>
        <w:tc>
          <w:tcPr>
            <w:tcW w:w="360" w:type="dxa"/>
            <w:vAlign w:val="bottom"/>
            <w:tcBorders>
              <w:top w:val="single" w:sz="8" w:color="CCEEFF"/>
              <w:bottom w:val="single" w:sz="8" w:color="CCEEFF"/>
            </w:tcBorders>
            <w:gridSpan w:val="10"/>
            <w:shd w:val="clear" w:color="auto" w:fill="CCEEFF"/>
          </w:tcPr>
          <w:p>
            <w:pPr>
              <w:spacing w:after="0"/>
              <w:rPr>
                <w:sz w:val="20"/>
                <w:szCs w:val="20"/>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10.14</w:t>
            </w:r>
          </w:p>
        </w:tc>
        <w:tc>
          <w:tcPr>
            <w:tcW w:w="10080" w:type="dxa"/>
            <w:vAlign w:val="bottom"/>
            <w:tcBorders>
              <w:bottom w:val="single" w:sz="8" w:color="0000FF"/>
            </w:tcBorders>
            <w:gridSpan w:val="18"/>
          </w:tcPr>
          <w:p>
            <w:pPr>
              <w:spacing w:after="0"/>
              <w:rPr>
                <w:rFonts w:ascii="Arial" w:cs="Arial" w:eastAsia="Arial" w:hAnsi="Arial"/>
                <w:sz w:val="17"/>
                <w:szCs w:val="17"/>
                <w:color w:val="0000FF"/>
                <w:w w:val="91"/>
              </w:rPr>
            </w:pPr>
            <w:hyperlink w:anchor="page105">
              <w:r>
                <w:rPr>
                  <w:rFonts w:ascii="Arial" w:cs="Arial" w:eastAsia="Arial" w:hAnsi="Arial"/>
                  <w:sz w:val="17"/>
                  <w:szCs w:val="17"/>
                  <w:color w:val="0000FF"/>
                  <w:w w:val="91"/>
                </w:rPr>
                <w:t>Amendment No. 9 to Amended and Restated Receivables Purchase Agreement, dated as of February 15, 2019, among LPAC Corp., as the Seller,</w:t>
              </w:r>
            </w:hyperlink>
          </w:p>
        </w:tc>
        <w:tc>
          <w:tcPr>
            <w:tcW w:w="380" w:type="dxa"/>
            <w:vAlign w:val="bottom"/>
            <w:gridSpan w:val="11"/>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9900" w:type="dxa"/>
            <w:vAlign w:val="bottom"/>
            <w:tcBorders>
              <w:bottom w:val="single" w:sz="8" w:color="0000FF"/>
            </w:tcBorders>
            <w:gridSpan w:val="14"/>
          </w:tcPr>
          <w:p>
            <w:pPr>
              <w:spacing w:after="0" w:line="189" w:lineRule="exact"/>
              <w:rPr>
                <w:rFonts w:ascii="Arial" w:cs="Arial" w:eastAsia="Arial" w:hAnsi="Arial"/>
                <w:sz w:val="17"/>
                <w:szCs w:val="17"/>
                <w:color w:val="0000FF"/>
                <w:w w:val="92"/>
              </w:rPr>
            </w:pPr>
            <w:hyperlink w:anchor="page105">
              <w:r>
                <w:rPr>
                  <w:rFonts w:ascii="Arial" w:cs="Arial" w:eastAsia="Arial" w:hAnsi="Arial"/>
                  <w:sz w:val="17"/>
                  <w:szCs w:val="17"/>
                  <w:color w:val="0000FF"/>
                  <w:w w:val="92"/>
                </w:rPr>
                <w:t>Lennox Industries Inc., as the Master Servicer, Lennox International Inc., Victory Receivables Corporation, as a Purchaser, MUFG Bank, Ltd.,</w:t>
              </w:r>
            </w:hyperlink>
          </w:p>
        </w:tc>
        <w:tc>
          <w:tcPr>
            <w:tcW w:w="560" w:type="dxa"/>
            <w:vAlign w:val="bottom"/>
            <w:gridSpan w:val="15"/>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29"/>
          </w:tcPr>
          <w:p>
            <w:pPr>
              <w:spacing w:after="0" w:line="189" w:lineRule="exact"/>
              <w:rPr>
                <w:rFonts w:ascii="Arial" w:cs="Arial" w:eastAsia="Arial" w:hAnsi="Arial"/>
                <w:sz w:val="17"/>
                <w:szCs w:val="17"/>
                <w:color w:val="0000FF"/>
                <w:w w:val="94"/>
              </w:rPr>
            </w:pPr>
            <w:hyperlink w:anchor="page105">
              <w:r>
                <w:rPr>
                  <w:rFonts w:ascii="Arial" w:cs="Arial" w:eastAsia="Arial" w:hAnsi="Arial"/>
                  <w:sz w:val="17"/>
                  <w:szCs w:val="17"/>
                  <w:color w:val="0000FF"/>
                  <w:w w:val="94"/>
                </w:rPr>
                <w:t>formerly known as The Bank of Tokyo-Mitsubishi UFJ, Ltd., as administrative agent for the Investors, the purchaser agent for the MUFG Purchaser</w:t>
              </w:r>
            </w:hyperlink>
          </w:p>
        </w:tc>
      </w:tr>
      <w:tr>
        <w:trPr>
          <w:trHeight w:val="20"/>
        </w:trPr>
        <w:tc>
          <w:tcPr>
            <w:tcW w:w="9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8"/>
        </w:trPr>
        <w:tc>
          <w:tcPr>
            <w:tcW w:w="960" w:type="dxa"/>
            <w:vAlign w:val="bottom"/>
          </w:tcPr>
          <w:p>
            <w:pPr>
              <w:spacing w:after="0"/>
              <w:rPr>
                <w:sz w:val="16"/>
                <w:szCs w:val="16"/>
                <w:color w:val="auto"/>
              </w:rPr>
            </w:pPr>
          </w:p>
        </w:tc>
        <w:tc>
          <w:tcPr>
            <w:tcW w:w="10300" w:type="dxa"/>
            <w:vAlign w:val="bottom"/>
            <w:tcBorders>
              <w:bottom w:val="single" w:sz="8" w:color="0000FF"/>
            </w:tcBorders>
            <w:gridSpan w:val="24"/>
          </w:tcPr>
          <w:p>
            <w:pPr>
              <w:spacing w:after="0" w:line="189" w:lineRule="exact"/>
              <w:rPr>
                <w:rFonts w:ascii="Arial" w:cs="Arial" w:eastAsia="Arial" w:hAnsi="Arial"/>
                <w:sz w:val="17"/>
                <w:szCs w:val="17"/>
                <w:color w:val="0000FF"/>
                <w:w w:val="93"/>
              </w:rPr>
            </w:pPr>
            <w:hyperlink w:anchor="page105">
              <w:r>
                <w:rPr>
                  <w:rFonts w:ascii="Arial" w:cs="Arial" w:eastAsia="Arial" w:hAnsi="Arial"/>
                  <w:sz w:val="17"/>
                  <w:szCs w:val="17"/>
                  <w:color w:val="0000FF"/>
                  <w:w w:val="93"/>
                </w:rPr>
                <w:t>Group and a MUFG Liquidity Bank, Wells Fargo Bank, N.A., as the purchaser agent for the WFB Purchaser Group and a WFB Liquidity Bank, and</w:t>
              </w:r>
            </w:hyperlink>
          </w:p>
        </w:tc>
        <w:tc>
          <w:tcPr>
            <w:tcW w:w="160" w:type="dxa"/>
            <w:vAlign w:val="bottom"/>
            <w:gridSpan w:val="5"/>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29"/>
          </w:tcPr>
          <w:p>
            <w:pPr>
              <w:spacing w:after="0" w:line="189" w:lineRule="exact"/>
              <w:rPr>
                <w:rFonts w:ascii="Arial" w:cs="Arial" w:eastAsia="Arial" w:hAnsi="Arial"/>
                <w:sz w:val="17"/>
                <w:szCs w:val="17"/>
                <w:color w:val="0000FF"/>
              </w:rPr>
            </w:pPr>
            <w:hyperlink w:anchor="page105">
              <w:r>
                <w:rPr>
                  <w:rFonts w:ascii="Arial" w:cs="Arial" w:eastAsia="Arial" w:hAnsi="Arial"/>
                  <w:sz w:val="17"/>
                  <w:szCs w:val="17"/>
                  <w:color w:val="0000FF"/>
                </w:rPr>
                <w:t>PNC Bank, N.A., as the purchaser agent for the PNC Purchaser Group and a PNC Liquidity Bank, including attachments (filed herewith).</w:t>
              </w:r>
            </w:hyperlink>
          </w:p>
        </w:tc>
      </w:tr>
      <w:tr>
        <w:trPr>
          <w:trHeight w:val="462"/>
        </w:trPr>
        <w:tc>
          <w:tcPr>
            <w:tcW w:w="96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5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10.15</w:t>
            </w:r>
          </w:p>
        </w:tc>
        <w:tc>
          <w:tcPr>
            <w:tcW w:w="10460" w:type="dxa"/>
            <w:vAlign w:val="bottom"/>
            <w:gridSpan w:val="29"/>
            <w:shd w:val="clear" w:color="auto" w:fill="CCEEFF"/>
          </w:tcPr>
          <w:p>
            <w:pPr>
              <w:spacing w:after="0"/>
              <w:rPr>
                <w:rFonts w:ascii="Arial" w:cs="Arial" w:eastAsia="Arial" w:hAnsi="Arial"/>
                <w:sz w:val="17"/>
                <w:szCs w:val="17"/>
                <w:color w:val="0000FF"/>
                <w:w w:val="92"/>
              </w:rPr>
            </w:pPr>
            <w:hyperlink r:id="rId92">
              <w:r>
                <w:rPr>
                  <w:rFonts w:ascii="Arial" w:cs="Arial" w:eastAsia="Arial" w:hAnsi="Arial"/>
                  <w:sz w:val="17"/>
                  <w:szCs w:val="17"/>
                  <w:color w:val="0000FF"/>
                  <w:w w:val="92"/>
                </w:rPr>
                <w:t>Amendment No. 10 to Amended and Restated Receivables Purchase Agreement, dated as of November 13, 2019, among LPAC Corp., as the Seller,</w:t>
              </w:r>
            </w:hyperlink>
          </w:p>
        </w:tc>
      </w:tr>
      <w:tr>
        <w:trPr>
          <w:trHeight w:val="188"/>
        </w:trPr>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9900" w:type="dxa"/>
            <w:vAlign w:val="bottom"/>
            <w:tcBorders>
              <w:top w:val="single" w:sz="8" w:color="0000FF"/>
              <w:bottom w:val="single" w:sz="8" w:color="0000FF"/>
            </w:tcBorders>
            <w:gridSpan w:val="14"/>
            <w:shd w:val="clear" w:color="auto" w:fill="CCEEFF"/>
          </w:tcPr>
          <w:p>
            <w:pPr>
              <w:spacing w:after="0" w:line="189" w:lineRule="exact"/>
              <w:rPr>
                <w:rFonts w:ascii="Arial" w:cs="Arial" w:eastAsia="Arial" w:hAnsi="Arial"/>
                <w:sz w:val="17"/>
                <w:szCs w:val="17"/>
                <w:color w:val="0000FF"/>
                <w:w w:val="92"/>
              </w:rPr>
            </w:pPr>
            <w:hyperlink r:id="rId92">
              <w:r>
                <w:rPr>
                  <w:rFonts w:ascii="Arial" w:cs="Arial" w:eastAsia="Arial" w:hAnsi="Arial"/>
                  <w:sz w:val="17"/>
                  <w:szCs w:val="17"/>
                  <w:color w:val="0000FF"/>
                  <w:w w:val="92"/>
                </w:rPr>
                <w:t>Lennox Industries Inc., as the Master Servicer, Lennox International Inc., Victory Receivables Corporation, as a Purchaser, MUFG Bank, Ltd.,</w:t>
              </w:r>
            </w:hyperlink>
          </w:p>
        </w:tc>
        <w:tc>
          <w:tcPr>
            <w:tcW w:w="380" w:type="dxa"/>
            <w:vAlign w:val="bottom"/>
            <w:tcBorders>
              <w:top w:val="single" w:sz="8" w:color="0000FF"/>
              <w:bottom w:val="single" w:sz="8" w:color="CCEEFF"/>
              <w:right w:val="single" w:sz="8" w:color="CCEEFF"/>
            </w:tcBorders>
            <w:gridSpan w:val="9"/>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6"/>
            <w:shd w:val="clear" w:color="auto" w:fill="CCEEFF"/>
          </w:tcPr>
          <w:p>
            <w:pPr>
              <w:spacing w:after="0"/>
              <w:rPr>
                <w:sz w:val="16"/>
                <w:szCs w:val="16"/>
                <w:color w:val="auto"/>
              </w:rPr>
            </w:pPr>
          </w:p>
        </w:tc>
      </w:tr>
      <w:tr>
        <w:trPr>
          <w:trHeight w:val="188"/>
        </w:trPr>
        <w:tc>
          <w:tcPr>
            <w:tcW w:w="960" w:type="dxa"/>
            <w:vAlign w:val="bottom"/>
            <w:shd w:val="clear" w:color="auto" w:fill="CCEEFF"/>
          </w:tcPr>
          <w:p>
            <w:pPr>
              <w:spacing w:after="0"/>
              <w:rPr>
                <w:sz w:val="16"/>
                <w:szCs w:val="16"/>
                <w:color w:val="auto"/>
              </w:rPr>
            </w:pPr>
          </w:p>
        </w:tc>
        <w:tc>
          <w:tcPr>
            <w:tcW w:w="10460" w:type="dxa"/>
            <w:vAlign w:val="bottom"/>
            <w:gridSpan w:val="29"/>
            <w:shd w:val="clear" w:color="auto" w:fill="CCEEFF"/>
          </w:tcPr>
          <w:p>
            <w:pPr>
              <w:spacing w:after="0" w:line="189" w:lineRule="exact"/>
              <w:rPr>
                <w:rFonts w:ascii="Arial" w:cs="Arial" w:eastAsia="Arial" w:hAnsi="Arial"/>
                <w:sz w:val="17"/>
                <w:szCs w:val="17"/>
                <w:color w:val="0000FF"/>
                <w:w w:val="94"/>
              </w:rPr>
            </w:pPr>
            <w:hyperlink r:id="rId92">
              <w:r>
                <w:rPr>
                  <w:rFonts w:ascii="Arial" w:cs="Arial" w:eastAsia="Arial" w:hAnsi="Arial"/>
                  <w:sz w:val="17"/>
                  <w:szCs w:val="17"/>
                  <w:color w:val="0000FF"/>
                  <w:w w:val="94"/>
                </w:rPr>
                <w:t>formerly known as The Bank of Tokyo-Mitsubishi UFJ, Ltd., as administrative agent for the Investors, the purchaser agent for the MUFG Purchaser</w:t>
              </w:r>
            </w:hyperlink>
          </w:p>
        </w:tc>
      </w:tr>
      <w:tr>
        <w:trPr>
          <w:trHeight w:val="20"/>
        </w:trPr>
        <w:tc>
          <w:tcPr>
            <w:tcW w:w="960" w:type="dxa"/>
            <w:vAlign w:val="bottom"/>
            <w:shd w:val="clear" w:color="auto" w:fill="CCEE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88"/>
        </w:trPr>
        <w:tc>
          <w:tcPr>
            <w:tcW w:w="960" w:type="dxa"/>
            <w:vAlign w:val="bottom"/>
            <w:tcBorders>
              <w:bottom w:val="single" w:sz="8" w:color="CCEEFF"/>
            </w:tcBorders>
            <w:shd w:val="clear" w:color="auto" w:fill="CCEEFF"/>
          </w:tcPr>
          <w:p>
            <w:pPr>
              <w:spacing w:after="0"/>
              <w:rPr>
                <w:sz w:val="16"/>
                <w:szCs w:val="16"/>
                <w:color w:val="auto"/>
              </w:rPr>
            </w:pPr>
          </w:p>
        </w:tc>
        <w:tc>
          <w:tcPr>
            <w:tcW w:w="10300" w:type="dxa"/>
            <w:vAlign w:val="bottom"/>
            <w:tcBorders>
              <w:bottom w:val="single" w:sz="8" w:color="0000FF"/>
            </w:tcBorders>
            <w:gridSpan w:val="24"/>
            <w:shd w:val="clear" w:color="auto" w:fill="CCEEFF"/>
          </w:tcPr>
          <w:p>
            <w:pPr>
              <w:spacing w:after="0" w:line="189" w:lineRule="exact"/>
              <w:rPr>
                <w:rFonts w:ascii="Arial" w:cs="Arial" w:eastAsia="Arial" w:hAnsi="Arial"/>
                <w:sz w:val="17"/>
                <w:szCs w:val="17"/>
                <w:color w:val="0000FF"/>
                <w:w w:val="93"/>
              </w:rPr>
            </w:pPr>
            <w:hyperlink r:id="rId92">
              <w:r>
                <w:rPr>
                  <w:rFonts w:ascii="Arial" w:cs="Arial" w:eastAsia="Arial" w:hAnsi="Arial"/>
                  <w:sz w:val="17"/>
                  <w:szCs w:val="17"/>
                  <w:color w:val="0000FF"/>
                  <w:w w:val="93"/>
                </w:rPr>
                <w:t>Group and a MUFG Liquidity Bank, Wells Fargo Bank, N.A., as the purchaser agent for the WFB Purchaser Group and a WFB Liquidity Bank, and</w:t>
              </w:r>
            </w:hyperlink>
          </w:p>
        </w:tc>
        <w:tc>
          <w:tcPr>
            <w:tcW w:w="160" w:type="dxa"/>
            <w:vAlign w:val="bottom"/>
            <w:tcBorders>
              <w:bottom w:val="single" w:sz="8" w:color="CCEEFF"/>
            </w:tcBorders>
            <w:gridSpan w:val="5"/>
            <w:shd w:val="clear" w:color="auto" w:fill="CCEEFF"/>
          </w:tcPr>
          <w:p>
            <w:pPr>
              <w:spacing w:after="0"/>
              <w:rPr>
                <w:sz w:val="16"/>
                <w:szCs w:val="16"/>
                <w:color w:val="auto"/>
              </w:rPr>
            </w:pPr>
          </w:p>
        </w:tc>
      </w:tr>
      <w:tr>
        <w:trPr>
          <w:trHeight w:val="188"/>
        </w:trPr>
        <w:tc>
          <w:tcPr>
            <w:tcW w:w="960" w:type="dxa"/>
            <w:vAlign w:val="bottom"/>
            <w:shd w:val="clear" w:color="auto" w:fill="CCEEFF"/>
          </w:tcPr>
          <w:p>
            <w:pPr>
              <w:spacing w:after="0"/>
              <w:rPr>
                <w:sz w:val="16"/>
                <w:szCs w:val="16"/>
                <w:color w:val="auto"/>
              </w:rPr>
            </w:pPr>
          </w:p>
        </w:tc>
        <w:tc>
          <w:tcPr>
            <w:tcW w:w="10460" w:type="dxa"/>
            <w:vAlign w:val="bottom"/>
            <w:gridSpan w:val="29"/>
            <w:shd w:val="clear" w:color="auto" w:fill="CCEEFF"/>
          </w:tcPr>
          <w:p>
            <w:pPr>
              <w:spacing w:after="0" w:line="189" w:lineRule="exact"/>
              <w:rPr>
                <w:rFonts w:ascii="Arial" w:cs="Arial" w:eastAsia="Arial" w:hAnsi="Arial"/>
                <w:sz w:val="17"/>
                <w:szCs w:val="17"/>
                <w:color w:val="0000FF"/>
                <w:w w:val="96"/>
              </w:rPr>
            </w:pPr>
            <w:hyperlink r:id="rId92">
              <w:r>
                <w:rPr>
                  <w:rFonts w:ascii="Arial" w:cs="Arial" w:eastAsia="Arial" w:hAnsi="Arial"/>
                  <w:sz w:val="17"/>
                  <w:szCs w:val="17"/>
                  <w:color w:val="0000FF"/>
                  <w:w w:val="96"/>
                </w:rPr>
                <w:t>PNC Bank, N.A., as the purchaser agent for the PNC Purchaser Group and a PNC Liquidity Bank, including attachments (filed as Exhibit 10.1 to</w:t>
              </w:r>
            </w:hyperlink>
          </w:p>
        </w:tc>
      </w:tr>
      <w:tr>
        <w:trPr>
          <w:trHeight w:val="188"/>
        </w:trPr>
        <w:tc>
          <w:tcPr>
            <w:tcW w:w="960" w:type="dxa"/>
            <w:vAlign w:val="bottom"/>
            <w:tcBorders>
              <w:top w:val="single" w:sz="8" w:color="CCEEFF"/>
            </w:tcBorders>
            <w:shd w:val="clear" w:color="auto" w:fill="CCEEFF"/>
          </w:tcPr>
          <w:p>
            <w:pPr>
              <w:spacing w:after="0"/>
              <w:rPr>
                <w:sz w:val="16"/>
                <w:szCs w:val="16"/>
                <w:color w:val="auto"/>
              </w:rPr>
            </w:pPr>
          </w:p>
        </w:tc>
        <w:tc>
          <w:tcPr>
            <w:tcW w:w="10080" w:type="dxa"/>
            <w:vAlign w:val="bottom"/>
            <w:tcBorders>
              <w:top w:val="single" w:sz="8" w:color="0000FF"/>
            </w:tcBorders>
            <w:gridSpan w:val="18"/>
            <w:shd w:val="clear" w:color="auto" w:fill="CCEEFF"/>
          </w:tcPr>
          <w:p>
            <w:pPr>
              <w:spacing w:after="0" w:line="189" w:lineRule="exact"/>
              <w:rPr>
                <w:rFonts w:ascii="Arial" w:cs="Arial" w:eastAsia="Arial" w:hAnsi="Arial"/>
                <w:sz w:val="17"/>
                <w:szCs w:val="17"/>
                <w:color w:val="0000FF"/>
              </w:rPr>
            </w:pPr>
            <w:hyperlink r:id="rId92">
              <w:r>
                <w:rPr>
                  <w:rFonts w:ascii="Arial" w:cs="Arial" w:eastAsia="Arial" w:hAnsi="Arial"/>
                  <w:sz w:val="17"/>
                  <w:szCs w:val="17"/>
                  <w:color w:val="0000FF"/>
                </w:rPr>
                <w:t>LII’s Current Report on Form 8-K filed on November 19, 2019, and incorporated herein by reference).</w:t>
              </w:r>
            </w:hyperlink>
          </w:p>
        </w:tc>
        <w:tc>
          <w:tcPr>
            <w:tcW w:w="380" w:type="dxa"/>
            <w:vAlign w:val="bottom"/>
            <w:tcBorders>
              <w:top w:val="single" w:sz="8" w:color="CCEEFF"/>
            </w:tcBorders>
            <w:gridSpan w:val="11"/>
            <w:shd w:val="clear" w:color="auto" w:fill="CCEEFF"/>
          </w:tcPr>
          <w:p>
            <w:pPr>
              <w:spacing w:after="0"/>
              <w:rPr>
                <w:sz w:val="16"/>
                <w:szCs w:val="16"/>
                <w:color w:val="auto"/>
              </w:rPr>
            </w:pPr>
          </w:p>
        </w:tc>
      </w:tr>
      <w:tr>
        <w:trPr>
          <w:trHeight w:val="253"/>
        </w:trPr>
        <w:tc>
          <w:tcPr>
            <w:tcW w:w="96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660" w:type="dxa"/>
            <w:vAlign w:val="bottom"/>
            <w:tcBorders>
              <w:top w:val="single" w:sz="8" w:color="0000FF"/>
            </w:tcBorders>
            <w:shd w:val="clear" w:color="auto" w:fill="CCEEFF"/>
          </w:tcPr>
          <w:p>
            <w:pPr>
              <w:spacing w:after="0"/>
              <w:rPr>
                <w:sz w:val="22"/>
                <w:szCs w:val="22"/>
                <w:color w:val="auto"/>
              </w:rPr>
            </w:pPr>
          </w:p>
        </w:tc>
        <w:tc>
          <w:tcPr>
            <w:tcW w:w="960" w:type="dxa"/>
            <w:vAlign w:val="bottom"/>
            <w:tcBorders>
              <w:top w:val="single" w:sz="8" w:color="0000FF"/>
            </w:tcBorders>
            <w:shd w:val="clear" w:color="auto" w:fill="CCEEFF"/>
          </w:tcPr>
          <w:p>
            <w:pPr>
              <w:spacing w:after="0"/>
              <w:rPr>
                <w:sz w:val="22"/>
                <w:szCs w:val="22"/>
                <w:color w:val="auto"/>
              </w:rPr>
            </w:pPr>
          </w:p>
        </w:tc>
        <w:tc>
          <w:tcPr>
            <w:tcW w:w="720" w:type="dxa"/>
            <w:vAlign w:val="bottom"/>
            <w:tcBorders>
              <w:top w:val="single" w:sz="8" w:color="0000FF"/>
            </w:tcBorders>
            <w:shd w:val="clear" w:color="auto" w:fill="CCEEFF"/>
          </w:tcPr>
          <w:p>
            <w:pPr>
              <w:spacing w:after="0"/>
              <w:rPr>
                <w:sz w:val="22"/>
                <w:szCs w:val="22"/>
                <w:color w:val="auto"/>
              </w:rPr>
            </w:pPr>
          </w:p>
        </w:tc>
        <w:tc>
          <w:tcPr>
            <w:tcW w:w="250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1040" w:type="dxa"/>
            <w:vAlign w:val="bottom"/>
            <w:tcBorders>
              <w:top w:val="single" w:sz="8" w:color="0000FF"/>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20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10.17*</w:t>
            </w:r>
          </w:p>
        </w:tc>
        <w:tc>
          <w:tcPr>
            <w:tcW w:w="10460" w:type="dxa"/>
            <w:vAlign w:val="bottom"/>
            <w:gridSpan w:val="29"/>
          </w:tcPr>
          <w:p>
            <w:pPr>
              <w:spacing w:after="0"/>
              <w:rPr>
                <w:rFonts w:ascii="Arial" w:cs="Arial" w:eastAsia="Arial" w:hAnsi="Arial"/>
                <w:sz w:val="17"/>
                <w:szCs w:val="17"/>
                <w:color w:val="0000FF"/>
                <w:w w:val="95"/>
              </w:rPr>
            </w:pPr>
            <w:hyperlink r:id="rId93">
              <w:r>
                <w:rPr>
                  <w:rFonts w:ascii="Arial" w:cs="Arial" w:eastAsia="Arial" w:hAnsi="Arial"/>
                  <w:sz w:val="17"/>
                  <w:szCs w:val="17"/>
                  <w:color w:val="0000FF"/>
                  <w:w w:val="95"/>
                </w:rPr>
                <w:t>Lennox International Inc. 2019 Equity and Incentive Compensation Plan (filed as Exhibit 10.1 to LII’s Current Report on Form 8-K filed on May 24,</w:t>
              </w:r>
            </w:hyperlink>
          </w:p>
        </w:tc>
      </w:tr>
      <w:tr>
        <w:trPr>
          <w:trHeight w:val="188"/>
        </w:trPr>
        <w:tc>
          <w:tcPr>
            <w:tcW w:w="960" w:type="dxa"/>
            <w:vAlign w:val="bottom"/>
          </w:tcPr>
          <w:p>
            <w:pPr>
              <w:spacing w:after="0"/>
              <w:rPr>
                <w:sz w:val="16"/>
                <w:szCs w:val="16"/>
                <w:color w:val="auto"/>
              </w:rPr>
            </w:pPr>
          </w:p>
        </w:tc>
        <w:tc>
          <w:tcPr>
            <w:tcW w:w="10340" w:type="dxa"/>
            <w:vAlign w:val="bottom"/>
            <w:tcBorders>
              <w:top w:val="single" w:sz="8" w:color="0000FF"/>
            </w:tcBorders>
            <w:gridSpan w:val="25"/>
          </w:tcPr>
          <w:p>
            <w:pPr>
              <w:spacing w:after="0" w:line="189" w:lineRule="exact"/>
              <w:rPr>
                <w:rFonts w:ascii="Arial" w:cs="Arial" w:eastAsia="Arial" w:hAnsi="Arial"/>
                <w:sz w:val="17"/>
                <w:szCs w:val="17"/>
                <w:color w:val="0000FF"/>
              </w:rPr>
            </w:pPr>
            <w:hyperlink r:id="rId93">
              <w:r>
                <w:rPr>
                  <w:rFonts w:ascii="Arial" w:cs="Arial" w:eastAsia="Arial" w:hAnsi="Arial"/>
                  <w:sz w:val="17"/>
                  <w:szCs w:val="17"/>
                  <w:color w:val="0000FF"/>
                </w:rPr>
                <w:t>2019, and incorporated herein by reference).</w:t>
              </w:r>
            </w:hyperlink>
          </w:p>
        </w:tc>
        <w:tc>
          <w:tcPr>
            <w:tcW w:w="120" w:type="dxa"/>
            <w:vAlign w:val="bottom"/>
            <w:gridSpan w:val="4"/>
          </w:tcPr>
          <w:p>
            <w:pPr>
              <w:spacing w:after="0"/>
              <w:rPr>
                <w:sz w:val="16"/>
                <w:szCs w:val="16"/>
                <w:color w:val="auto"/>
              </w:rPr>
            </w:pPr>
          </w:p>
        </w:tc>
      </w:tr>
      <w:tr>
        <w:trPr>
          <w:trHeight w:val="462"/>
        </w:trPr>
        <w:tc>
          <w:tcPr>
            <w:tcW w:w="96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10.18*</w:t>
            </w:r>
          </w:p>
        </w:tc>
        <w:tc>
          <w:tcPr>
            <w:tcW w:w="9960" w:type="dxa"/>
            <w:vAlign w:val="bottom"/>
            <w:tcBorders>
              <w:bottom w:val="single" w:sz="8" w:color="0000FF"/>
              <w:right w:val="single" w:sz="8" w:color="CCEEFF"/>
            </w:tcBorders>
            <w:gridSpan w:val="15"/>
            <w:shd w:val="clear" w:color="auto" w:fill="CCEEFF"/>
          </w:tcPr>
          <w:p>
            <w:pPr>
              <w:spacing w:after="0"/>
              <w:rPr>
                <w:rFonts w:ascii="Arial" w:cs="Arial" w:eastAsia="Arial" w:hAnsi="Arial"/>
                <w:sz w:val="17"/>
                <w:szCs w:val="17"/>
                <w:color w:val="0000FF"/>
                <w:w w:val="93"/>
              </w:rPr>
            </w:pPr>
            <w:hyperlink w:anchor="page109">
              <w:r>
                <w:rPr>
                  <w:rFonts w:ascii="Arial" w:cs="Arial" w:eastAsia="Arial" w:hAnsi="Arial"/>
                  <w:sz w:val="17"/>
                  <w:szCs w:val="17"/>
                  <w:color w:val="0000FF"/>
                  <w:w w:val="93"/>
                </w:rPr>
                <w:t>Form of Long-Term Incentive Award Agreement for U.S. Employees - Vice President and Above (for use under the 2019 Incentive Plan) (filed</w:t>
              </w:r>
            </w:hyperlink>
          </w:p>
        </w:tc>
        <w:tc>
          <w:tcPr>
            <w:tcW w:w="500" w:type="dxa"/>
            <w:vAlign w:val="bottom"/>
            <w:tcBorders>
              <w:bottom w:val="single" w:sz="8" w:color="CCEEFF"/>
            </w:tcBorders>
            <w:gridSpan w:val="14"/>
            <w:shd w:val="clear" w:color="auto" w:fill="CCEEFF"/>
          </w:tcPr>
          <w:p>
            <w:pPr>
              <w:spacing w:after="0"/>
              <w:rPr>
                <w:sz w:val="16"/>
                <w:szCs w:val="16"/>
                <w:color w:val="auto"/>
              </w:rPr>
            </w:pPr>
          </w:p>
        </w:tc>
      </w:tr>
      <w:tr>
        <w:trPr>
          <w:trHeight w:val="188"/>
        </w:trPr>
        <w:tc>
          <w:tcPr>
            <w:tcW w:w="960" w:type="dxa"/>
            <w:vAlign w:val="bottom"/>
            <w:shd w:val="clear" w:color="auto" w:fill="CCEEFF"/>
          </w:tcPr>
          <w:p>
            <w:pPr>
              <w:spacing w:after="0"/>
              <w:rPr>
                <w:sz w:val="16"/>
                <w:szCs w:val="16"/>
                <w:color w:val="auto"/>
              </w:rPr>
            </w:pPr>
          </w:p>
        </w:tc>
        <w:tc>
          <w:tcPr>
            <w:tcW w:w="10460" w:type="dxa"/>
            <w:vAlign w:val="bottom"/>
            <w:gridSpan w:val="29"/>
            <w:shd w:val="clear" w:color="auto" w:fill="CCEEFF"/>
          </w:tcPr>
          <w:p>
            <w:pPr>
              <w:spacing w:after="0" w:line="189" w:lineRule="exact"/>
              <w:rPr>
                <w:rFonts w:ascii="Arial" w:cs="Arial" w:eastAsia="Arial" w:hAnsi="Arial"/>
                <w:sz w:val="17"/>
                <w:szCs w:val="17"/>
                <w:color w:val="0000FF"/>
              </w:rPr>
            </w:pPr>
            <w:hyperlink w:anchor="page109">
              <w:r>
                <w:rPr>
                  <w:rFonts w:ascii="Arial" w:cs="Arial" w:eastAsia="Arial" w:hAnsi="Arial"/>
                  <w:sz w:val="17"/>
                  <w:szCs w:val="17"/>
                  <w:color w:val="0000FF"/>
                </w:rPr>
                <w:t>herewith).</w:t>
              </w:r>
            </w:hyperlink>
          </w:p>
        </w:tc>
      </w:tr>
      <w:tr>
        <w:trPr>
          <w:trHeight w:val="45"/>
        </w:trPr>
        <w:tc>
          <w:tcPr>
            <w:tcW w:w="9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50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0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10.19*</w:t>
            </w:r>
          </w:p>
        </w:tc>
        <w:tc>
          <w:tcPr>
            <w:tcW w:w="10460" w:type="dxa"/>
            <w:vAlign w:val="bottom"/>
            <w:gridSpan w:val="29"/>
          </w:tcPr>
          <w:p>
            <w:pPr>
              <w:spacing w:after="0"/>
              <w:rPr>
                <w:rFonts w:ascii="Arial" w:cs="Arial" w:eastAsia="Arial" w:hAnsi="Arial"/>
                <w:sz w:val="17"/>
                <w:szCs w:val="17"/>
                <w:color w:val="0000FF"/>
              </w:rPr>
            </w:pPr>
            <w:hyperlink w:anchor="page118">
              <w:r>
                <w:rPr>
                  <w:rFonts w:ascii="Arial" w:cs="Arial" w:eastAsia="Arial" w:hAnsi="Arial"/>
                  <w:sz w:val="17"/>
                  <w:szCs w:val="17"/>
                  <w:color w:val="0000FF"/>
                </w:rPr>
                <w:t>Form of Restricted Stock Unit Award Agreement for Non-Employee Directors (for use under the 2019 Incentive Plan) (filed herewith).</w:t>
              </w:r>
            </w:hyperlink>
          </w:p>
        </w:tc>
      </w:tr>
      <w:tr>
        <w:trPr>
          <w:trHeight w:val="45"/>
        </w:trPr>
        <w:tc>
          <w:tcPr>
            <w:tcW w:w="960" w:type="dxa"/>
            <w:vAlign w:val="bottom"/>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96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50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04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2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10.20*</w:t>
            </w:r>
          </w:p>
        </w:tc>
        <w:tc>
          <w:tcPr>
            <w:tcW w:w="7360" w:type="dxa"/>
            <w:vAlign w:val="bottom"/>
            <w:tcBorders>
              <w:bottom w:val="single" w:sz="8" w:color="0000FF"/>
            </w:tcBorders>
            <w:gridSpan w:val="9"/>
            <w:shd w:val="clear" w:color="auto" w:fill="CCEEFF"/>
          </w:tcPr>
          <w:p>
            <w:pPr>
              <w:spacing w:after="0"/>
              <w:rPr>
                <w:rFonts w:ascii="Arial" w:cs="Arial" w:eastAsia="Arial" w:hAnsi="Arial"/>
                <w:sz w:val="17"/>
                <w:szCs w:val="17"/>
                <w:color w:val="0000FF"/>
                <w:w w:val="94"/>
              </w:rPr>
            </w:pPr>
            <w:hyperlink w:anchor="page127">
              <w:r>
                <w:rPr>
                  <w:rFonts w:ascii="Arial" w:cs="Arial" w:eastAsia="Arial" w:hAnsi="Arial"/>
                  <w:sz w:val="17"/>
                  <w:szCs w:val="17"/>
                  <w:color w:val="0000FF"/>
                  <w:w w:val="94"/>
                </w:rPr>
                <w:t>Form of Short-Term Incentive Program for Lennox International Inc. and its Subsidiaries (filed herewith).</w:t>
              </w:r>
            </w:hyperlink>
          </w:p>
        </w:tc>
        <w:tc>
          <w:tcPr>
            <w:tcW w:w="3100" w:type="dxa"/>
            <w:vAlign w:val="bottom"/>
            <w:tcBorders>
              <w:bottom w:val="single" w:sz="8" w:color="CCEEFF"/>
            </w:tcBorders>
            <w:gridSpan w:val="20"/>
            <w:shd w:val="clear" w:color="auto" w:fill="CCEEFF"/>
          </w:tcPr>
          <w:p>
            <w:pPr>
              <w:spacing w:after="0"/>
              <w:rPr>
                <w:sz w:val="20"/>
                <w:szCs w:val="20"/>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10.21*</w:t>
            </w:r>
          </w:p>
        </w:tc>
        <w:tc>
          <w:tcPr>
            <w:tcW w:w="10460" w:type="dxa"/>
            <w:vAlign w:val="bottom"/>
            <w:gridSpan w:val="29"/>
          </w:tcPr>
          <w:p>
            <w:pPr>
              <w:spacing w:after="0"/>
              <w:rPr>
                <w:rFonts w:ascii="Arial" w:cs="Arial" w:eastAsia="Arial" w:hAnsi="Arial"/>
                <w:sz w:val="17"/>
                <w:szCs w:val="17"/>
                <w:color w:val="0000FF"/>
                <w:w w:val="92"/>
              </w:rPr>
            </w:pPr>
            <w:hyperlink r:id="rId94">
              <w:r>
                <w:rPr>
                  <w:rFonts w:ascii="Arial" w:cs="Arial" w:eastAsia="Arial" w:hAnsi="Arial"/>
                  <w:sz w:val="17"/>
                  <w:szCs w:val="17"/>
                  <w:color w:val="0000FF"/>
                  <w:w w:val="92"/>
                </w:rPr>
                <w:t>Lennox International Inc. Profit Sharing Restoration Plan, as amended and restated as of January 1, 2009 (filed as Exhibit 10.3 to LII's Current Report</w:t>
              </w:r>
            </w:hyperlink>
          </w:p>
        </w:tc>
      </w:tr>
      <w:tr>
        <w:trPr>
          <w:trHeight w:val="188"/>
        </w:trPr>
        <w:tc>
          <w:tcPr>
            <w:tcW w:w="960" w:type="dxa"/>
            <w:vAlign w:val="bottom"/>
          </w:tcPr>
          <w:p>
            <w:pPr>
              <w:spacing w:after="0"/>
              <w:rPr>
                <w:sz w:val="16"/>
                <w:szCs w:val="16"/>
                <w:color w:val="auto"/>
              </w:rPr>
            </w:pPr>
          </w:p>
        </w:tc>
        <w:tc>
          <w:tcPr>
            <w:tcW w:w="10420" w:type="dxa"/>
            <w:vAlign w:val="bottom"/>
            <w:tcBorders>
              <w:top w:val="single" w:sz="8" w:color="0000FF"/>
            </w:tcBorders>
            <w:gridSpan w:val="27"/>
          </w:tcPr>
          <w:p>
            <w:pPr>
              <w:spacing w:after="0" w:line="189" w:lineRule="exact"/>
              <w:rPr>
                <w:rFonts w:ascii="Arial" w:cs="Arial" w:eastAsia="Arial" w:hAnsi="Arial"/>
                <w:sz w:val="17"/>
                <w:szCs w:val="17"/>
                <w:color w:val="0000FF"/>
              </w:rPr>
            </w:pPr>
            <w:hyperlink r:id="rId94">
              <w:r>
                <w:rPr>
                  <w:rFonts w:ascii="Arial" w:cs="Arial" w:eastAsia="Arial" w:hAnsi="Arial"/>
                  <w:sz w:val="17"/>
                  <w:szCs w:val="17"/>
                  <w:color w:val="0000FF"/>
                </w:rPr>
                <w:t>on Form 8-K filed on December 17, 2008 and incorporated herein by reference).</w:t>
              </w:r>
            </w:hyperlink>
          </w:p>
        </w:tc>
        <w:tc>
          <w:tcPr>
            <w:tcW w:w="40" w:type="dxa"/>
            <w:vAlign w:val="bottom"/>
            <w:gridSpan w:val="2"/>
          </w:tcPr>
          <w:p>
            <w:pPr>
              <w:spacing w:after="0"/>
              <w:rPr>
                <w:sz w:val="16"/>
                <w:szCs w:val="16"/>
                <w:color w:val="auto"/>
              </w:rPr>
            </w:pPr>
          </w:p>
        </w:tc>
      </w:tr>
      <w:tr>
        <w:trPr>
          <w:trHeight w:val="45"/>
        </w:trPr>
        <w:tc>
          <w:tcPr>
            <w:tcW w:w="960" w:type="dxa"/>
            <w:vAlign w:val="bottom"/>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96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50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10.22*</w:t>
            </w:r>
          </w:p>
        </w:tc>
        <w:tc>
          <w:tcPr>
            <w:tcW w:w="10460" w:type="dxa"/>
            <w:vAlign w:val="bottom"/>
            <w:gridSpan w:val="29"/>
            <w:shd w:val="clear" w:color="auto" w:fill="CCEEFF"/>
          </w:tcPr>
          <w:p>
            <w:pPr>
              <w:spacing w:after="0"/>
              <w:rPr>
                <w:rFonts w:ascii="Arial" w:cs="Arial" w:eastAsia="Arial" w:hAnsi="Arial"/>
                <w:sz w:val="17"/>
                <w:szCs w:val="17"/>
                <w:color w:val="0000FF"/>
                <w:w w:val="93"/>
              </w:rPr>
            </w:pPr>
            <w:hyperlink r:id="rId95">
              <w:r>
                <w:rPr>
                  <w:rFonts w:ascii="Arial" w:cs="Arial" w:eastAsia="Arial" w:hAnsi="Arial"/>
                  <w:sz w:val="17"/>
                  <w:szCs w:val="17"/>
                  <w:color w:val="0000FF"/>
                  <w:w w:val="93"/>
                </w:rPr>
                <w:t>Lennox International Inc. Supplemental Retirement Plan, as amended and restated as of January 1, 2009 (filed as Exhibit 10.2 to LII's Current Report</w:t>
              </w:r>
            </w:hyperlink>
          </w:p>
        </w:tc>
      </w:tr>
      <w:tr>
        <w:trPr>
          <w:trHeight w:val="233"/>
        </w:trPr>
        <w:tc>
          <w:tcPr>
            <w:tcW w:w="960" w:type="dxa"/>
            <w:vAlign w:val="bottom"/>
            <w:tcBorders>
              <w:top w:val="single" w:sz="8" w:color="CCEEFF"/>
            </w:tcBorders>
            <w:shd w:val="clear" w:color="auto" w:fill="CCEEFF"/>
          </w:tcPr>
          <w:p>
            <w:pPr>
              <w:spacing w:after="0"/>
              <w:rPr>
                <w:sz w:val="20"/>
                <w:szCs w:val="20"/>
                <w:color w:val="auto"/>
              </w:rPr>
            </w:pPr>
          </w:p>
        </w:tc>
        <w:tc>
          <w:tcPr>
            <w:tcW w:w="10360" w:type="dxa"/>
            <w:vAlign w:val="bottom"/>
            <w:tcBorders>
              <w:top w:val="single" w:sz="8" w:color="0000FF"/>
            </w:tcBorders>
            <w:gridSpan w:val="26"/>
            <w:shd w:val="clear" w:color="auto" w:fill="CCEEFF"/>
          </w:tcPr>
          <w:p>
            <w:pPr>
              <w:spacing w:after="0" w:line="189" w:lineRule="exact"/>
              <w:rPr>
                <w:rFonts w:ascii="Arial" w:cs="Arial" w:eastAsia="Arial" w:hAnsi="Arial"/>
                <w:sz w:val="17"/>
                <w:szCs w:val="17"/>
                <w:color w:val="0000FF"/>
              </w:rPr>
            </w:pPr>
            <w:hyperlink r:id="rId95">
              <w:r>
                <w:rPr>
                  <w:rFonts w:ascii="Arial" w:cs="Arial" w:eastAsia="Arial" w:hAnsi="Arial"/>
                  <w:sz w:val="17"/>
                  <w:szCs w:val="17"/>
                  <w:color w:val="0000FF"/>
                </w:rPr>
                <w:t>on Form 8-K filed on December 17, 2008 and incorporated herein by reference).</w:t>
              </w:r>
            </w:hyperlink>
          </w:p>
        </w:tc>
        <w:tc>
          <w:tcPr>
            <w:tcW w:w="100" w:type="dxa"/>
            <w:vAlign w:val="bottom"/>
            <w:tcBorders>
              <w:top w:val="single" w:sz="8" w:color="CCEEFF"/>
            </w:tcBorders>
            <w:gridSpan w:val="3"/>
            <w:shd w:val="clear" w:color="auto" w:fill="CCEEFF"/>
          </w:tcPr>
          <w:p>
            <w:pPr>
              <w:spacing w:after="0"/>
              <w:rPr>
                <w:sz w:val="20"/>
                <w:szCs w:val="20"/>
                <w:color w:val="auto"/>
              </w:rPr>
            </w:pPr>
          </w:p>
        </w:tc>
      </w:tr>
      <w:tr>
        <w:trPr>
          <w:trHeight w:val="417"/>
        </w:trPr>
        <w:tc>
          <w:tcPr>
            <w:tcW w:w="960" w:type="dxa"/>
            <w:vAlign w:val="bottom"/>
            <w:tcBorders>
              <w:top w:val="single" w:sz="8" w:color="CCEEFF"/>
            </w:tcBorders>
          </w:tcPr>
          <w:p>
            <w:pPr>
              <w:spacing w:after="0"/>
              <w:rPr>
                <w:sz w:val="24"/>
                <w:szCs w:val="24"/>
                <w:color w:val="auto"/>
              </w:rPr>
            </w:pPr>
          </w:p>
        </w:tc>
        <w:tc>
          <w:tcPr>
            <w:tcW w:w="5580" w:type="dxa"/>
            <w:vAlign w:val="bottom"/>
            <w:tcBorders>
              <w:top w:val="single" w:sz="8" w:color="0000FF"/>
            </w:tcBorders>
            <w:gridSpan w:val="6"/>
          </w:tcPr>
          <w:p>
            <w:pPr>
              <w:ind w:left="4660"/>
              <w:spacing w:after="0"/>
              <w:rPr>
                <w:sz w:val="20"/>
                <w:szCs w:val="20"/>
                <w:color w:val="auto"/>
              </w:rPr>
            </w:pPr>
            <w:r>
              <w:rPr>
                <w:rFonts w:ascii="Arial" w:cs="Arial" w:eastAsia="Arial" w:hAnsi="Arial"/>
                <w:sz w:val="17"/>
                <w:szCs w:val="17"/>
                <w:color w:val="auto"/>
              </w:rPr>
              <w:t>90</w:t>
            </w:r>
          </w:p>
        </w:tc>
        <w:tc>
          <w:tcPr>
            <w:tcW w:w="50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686"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10.23*</w:t>
            </w:r>
          </w:p>
        </w:tc>
        <w:tc>
          <w:tcPr>
            <w:tcW w:w="9980" w:type="dxa"/>
            <w:vAlign w:val="bottom"/>
            <w:tcBorders>
              <w:bottom w:val="single" w:sz="8" w:color="0000FF"/>
            </w:tcBorders>
            <w:gridSpan w:val="14"/>
          </w:tcPr>
          <w:p>
            <w:pPr>
              <w:spacing w:after="0"/>
              <w:rPr>
                <w:rFonts w:ascii="Arial" w:cs="Arial" w:eastAsia="Arial" w:hAnsi="Arial"/>
                <w:sz w:val="17"/>
                <w:szCs w:val="17"/>
                <w:color w:val="0000FF"/>
                <w:w w:val="91"/>
              </w:rPr>
            </w:pPr>
            <w:hyperlink r:id="rId96">
              <w:r>
                <w:rPr>
                  <w:rFonts w:ascii="Arial" w:cs="Arial" w:eastAsia="Arial" w:hAnsi="Arial"/>
                  <w:sz w:val="17"/>
                  <w:szCs w:val="17"/>
                  <w:color w:val="0000FF"/>
                  <w:w w:val="91"/>
                </w:rPr>
                <w:t>Amendment Number One to the Lennox International Inc. Supplemental Retirement Plan, as amended and restated as of January 1, 2009, dated</w:t>
              </w:r>
            </w:hyperlink>
          </w:p>
        </w:tc>
        <w:tc>
          <w:tcPr>
            <w:tcW w:w="480" w:type="dxa"/>
            <w:vAlign w:val="bottom"/>
            <w:gridSpan w:val="8"/>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22"/>
          </w:tcPr>
          <w:p>
            <w:pPr>
              <w:spacing w:after="0" w:line="189" w:lineRule="exact"/>
              <w:rPr>
                <w:rFonts w:ascii="Arial" w:cs="Arial" w:eastAsia="Arial" w:hAnsi="Arial"/>
                <w:sz w:val="17"/>
                <w:szCs w:val="17"/>
                <w:color w:val="0000FF"/>
                <w:w w:val="96"/>
              </w:rPr>
            </w:pPr>
            <w:hyperlink r:id="rId96">
              <w:r>
                <w:rPr>
                  <w:rFonts w:ascii="Arial" w:cs="Arial" w:eastAsia="Arial" w:hAnsi="Arial"/>
                  <w:sz w:val="17"/>
                  <w:szCs w:val="17"/>
                  <w:color w:val="0000FF"/>
                  <w:w w:val="96"/>
                </w:rPr>
                <w:t>December 28, 2018 (filed as Exhibit 10.23 to LII’s Annual Report on Form 10-K filed on February 19,2019 and incorporated herein by reference).</w:t>
              </w:r>
            </w:hyperlink>
          </w:p>
        </w:tc>
      </w:tr>
      <w:tr>
        <w:trPr>
          <w:trHeight w:val="45"/>
        </w:trPr>
        <w:tc>
          <w:tcPr>
            <w:tcW w:w="960" w:type="dxa"/>
            <w:vAlign w:val="bottom"/>
          </w:tcPr>
          <w:p>
            <w:pPr>
              <w:spacing w:after="0"/>
              <w:rPr>
                <w:sz w:val="3"/>
                <w:szCs w:val="3"/>
                <w:color w:val="auto"/>
              </w:rPr>
            </w:pPr>
          </w:p>
        </w:tc>
        <w:tc>
          <w:tcPr>
            <w:tcW w:w="24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126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5"/>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10.24*</w:t>
            </w:r>
          </w:p>
        </w:tc>
        <w:tc>
          <w:tcPr>
            <w:tcW w:w="10020" w:type="dxa"/>
            <w:vAlign w:val="bottom"/>
            <w:tcBorders>
              <w:bottom w:val="single" w:sz="8" w:color="0000FF"/>
            </w:tcBorders>
            <w:gridSpan w:val="16"/>
            <w:shd w:val="clear" w:color="auto" w:fill="CCEEFF"/>
          </w:tcPr>
          <w:p>
            <w:pPr>
              <w:spacing w:after="0"/>
              <w:rPr>
                <w:rFonts w:ascii="Arial" w:cs="Arial" w:eastAsia="Arial" w:hAnsi="Arial"/>
                <w:sz w:val="17"/>
                <w:szCs w:val="17"/>
                <w:color w:val="0000FF"/>
                <w:w w:val="92"/>
              </w:rPr>
            </w:pPr>
            <w:hyperlink r:id="rId97">
              <w:r>
                <w:rPr>
                  <w:rFonts w:ascii="Arial" w:cs="Arial" w:eastAsia="Arial" w:hAnsi="Arial"/>
                  <w:sz w:val="17"/>
                  <w:szCs w:val="17"/>
                  <w:color w:val="0000FF"/>
                  <w:w w:val="92"/>
                </w:rPr>
                <w:t>Lennox International Inc. Supplemental Restoration Retirement Plan, effective as of January 1, 2019, dated December 28, 2018 (filed as Exhibit</w:t>
              </w:r>
            </w:hyperlink>
          </w:p>
        </w:tc>
        <w:tc>
          <w:tcPr>
            <w:tcW w:w="440" w:type="dxa"/>
            <w:vAlign w:val="bottom"/>
            <w:tcBorders>
              <w:bottom w:val="single" w:sz="8" w:color="CCEEFF"/>
            </w:tcBorders>
            <w:gridSpan w:val="6"/>
            <w:shd w:val="clear" w:color="auto" w:fill="CCEEFF"/>
          </w:tcPr>
          <w:p>
            <w:pPr>
              <w:spacing w:after="0"/>
              <w:rPr>
                <w:sz w:val="16"/>
                <w:szCs w:val="16"/>
                <w:color w:val="auto"/>
              </w:rPr>
            </w:pPr>
          </w:p>
        </w:tc>
      </w:tr>
      <w:tr>
        <w:trPr>
          <w:trHeight w:val="188"/>
        </w:trPr>
        <w:tc>
          <w:tcPr>
            <w:tcW w:w="960" w:type="dxa"/>
            <w:vAlign w:val="bottom"/>
            <w:shd w:val="clear" w:color="auto" w:fill="CCEEFF"/>
          </w:tcPr>
          <w:p>
            <w:pPr>
              <w:spacing w:after="0"/>
              <w:rPr>
                <w:sz w:val="16"/>
                <w:szCs w:val="16"/>
                <w:color w:val="auto"/>
              </w:rPr>
            </w:pPr>
          </w:p>
        </w:tc>
        <w:tc>
          <w:tcPr>
            <w:tcW w:w="10460" w:type="dxa"/>
            <w:vAlign w:val="bottom"/>
            <w:gridSpan w:val="22"/>
            <w:shd w:val="clear" w:color="auto" w:fill="CCEEFF"/>
          </w:tcPr>
          <w:p>
            <w:pPr>
              <w:spacing w:after="0" w:line="189" w:lineRule="exact"/>
              <w:rPr>
                <w:rFonts w:ascii="Arial" w:cs="Arial" w:eastAsia="Arial" w:hAnsi="Arial"/>
                <w:sz w:val="17"/>
                <w:szCs w:val="17"/>
                <w:color w:val="0000FF"/>
              </w:rPr>
            </w:pPr>
            <w:hyperlink r:id="rId97">
              <w:r>
                <w:rPr>
                  <w:rFonts w:ascii="Arial" w:cs="Arial" w:eastAsia="Arial" w:hAnsi="Arial"/>
                  <w:sz w:val="17"/>
                  <w:szCs w:val="17"/>
                  <w:color w:val="0000FF"/>
                </w:rPr>
                <w:t>10.</w:t>
              </w:r>
              <w:r>
                <w:rPr>
                  <w:rFonts w:ascii="Arial" w:cs="Arial" w:eastAsia="Arial" w:hAnsi="Arial"/>
                  <w:sz w:val="17"/>
                  <w:szCs w:val="17"/>
                  <w:u w:val="single" w:color="auto"/>
                  <w:color w:val="0000FF"/>
                </w:rPr>
                <w:t>24</w:t>
              </w:r>
              <w:r>
                <w:rPr>
                  <w:rFonts w:ascii="Arial" w:cs="Arial" w:eastAsia="Arial" w:hAnsi="Arial"/>
                  <w:sz w:val="17"/>
                  <w:szCs w:val="17"/>
                  <w:color w:val="0000FF"/>
                </w:rPr>
                <w:t xml:space="preserve"> to LII’s Annual Report on Form 10-K filed on February 19,2019 and incorporated herein by reference).</w:t>
              </w:r>
            </w:hyperlink>
          </w:p>
        </w:tc>
      </w:tr>
      <w:tr>
        <w:trPr>
          <w:trHeight w:val="45"/>
        </w:trPr>
        <w:tc>
          <w:tcPr>
            <w:tcW w:w="960" w:type="dxa"/>
            <w:vAlign w:val="bottom"/>
            <w:tcBorders>
              <w:top w:val="single" w:sz="8" w:color="CCEEFF"/>
            </w:tcBorders>
            <w:shd w:val="clear" w:color="auto" w:fill="CCEEFF"/>
          </w:tcPr>
          <w:p>
            <w:pPr>
              <w:spacing w:after="0"/>
              <w:rPr>
                <w:sz w:val="3"/>
                <w:szCs w:val="3"/>
                <w:color w:val="auto"/>
              </w:rPr>
            </w:pPr>
          </w:p>
        </w:tc>
        <w:tc>
          <w:tcPr>
            <w:tcW w:w="24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14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10.25*</w:t>
            </w:r>
          </w:p>
        </w:tc>
        <w:tc>
          <w:tcPr>
            <w:tcW w:w="9920" w:type="dxa"/>
            <w:vAlign w:val="bottom"/>
            <w:tcBorders>
              <w:bottom w:val="single" w:sz="8" w:color="0000FF"/>
            </w:tcBorders>
            <w:gridSpan w:val="13"/>
          </w:tcPr>
          <w:p>
            <w:pPr>
              <w:spacing w:after="0"/>
              <w:rPr>
                <w:rFonts w:ascii="Arial" w:cs="Arial" w:eastAsia="Arial" w:hAnsi="Arial"/>
                <w:sz w:val="17"/>
                <w:szCs w:val="17"/>
                <w:color w:val="0000FF"/>
                <w:w w:val="94"/>
              </w:rPr>
            </w:pPr>
            <w:hyperlink r:id="rId74">
              <w:r>
                <w:rPr>
                  <w:rFonts w:ascii="Arial" w:cs="Arial" w:eastAsia="Arial" w:hAnsi="Arial"/>
                  <w:sz w:val="17"/>
                  <w:szCs w:val="17"/>
                  <w:color w:val="0000FF"/>
                  <w:w w:val="94"/>
                </w:rPr>
                <w:t>Form of Indemnification Agreement entered into between LII and certain executive officers and directors of LII (filed as Exhibit 10.15 to LII’s</w:t>
              </w:r>
            </w:hyperlink>
          </w:p>
        </w:tc>
        <w:tc>
          <w:tcPr>
            <w:tcW w:w="540" w:type="dxa"/>
            <w:vAlign w:val="bottom"/>
            <w:gridSpan w:val="9"/>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22"/>
          </w:tcPr>
          <w:p>
            <w:pPr>
              <w:spacing w:after="0" w:line="189" w:lineRule="exact"/>
              <w:rPr>
                <w:rFonts w:ascii="Arial" w:cs="Arial" w:eastAsia="Arial" w:hAnsi="Arial"/>
                <w:sz w:val="17"/>
                <w:szCs w:val="17"/>
                <w:color w:val="0000FF"/>
              </w:rPr>
            </w:pPr>
            <w:hyperlink r:id="rId74">
              <w:r>
                <w:rPr>
                  <w:rFonts w:ascii="Arial" w:cs="Arial" w:eastAsia="Arial" w:hAnsi="Arial"/>
                  <w:sz w:val="17"/>
                  <w:szCs w:val="17"/>
                  <w:color w:val="0000FF"/>
                </w:rPr>
                <w:t>Registration Statement on Form S-1 (Registration No. 333-75725) filed on April 6, 1999 and incorporated herein by reference).</w:t>
              </w:r>
            </w:hyperlink>
          </w:p>
        </w:tc>
      </w:tr>
      <w:tr>
        <w:trPr>
          <w:trHeight w:val="45"/>
        </w:trPr>
        <w:tc>
          <w:tcPr>
            <w:tcW w:w="960" w:type="dxa"/>
            <w:vAlign w:val="bottom"/>
          </w:tcPr>
          <w:p>
            <w:pPr>
              <w:spacing w:after="0"/>
              <w:rPr>
                <w:sz w:val="3"/>
                <w:szCs w:val="3"/>
                <w:color w:val="auto"/>
              </w:rPr>
            </w:pPr>
          </w:p>
        </w:tc>
        <w:tc>
          <w:tcPr>
            <w:tcW w:w="24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1260" w:type="dxa"/>
            <w:vAlign w:val="bottom"/>
            <w:tcBorders>
              <w:top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5"/>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10.26*</w:t>
            </w:r>
          </w:p>
        </w:tc>
        <w:tc>
          <w:tcPr>
            <w:tcW w:w="10040" w:type="dxa"/>
            <w:vAlign w:val="bottom"/>
            <w:tcBorders>
              <w:bottom w:val="single" w:sz="8" w:color="0000FF"/>
            </w:tcBorders>
            <w:gridSpan w:val="17"/>
            <w:shd w:val="clear" w:color="auto" w:fill="CCEEFF"/>
          </w:tcPr>
          <w:p>
            <w:pPr>
              <w:spacing w:after="0"/>
              <w:rPr>
                <w:rFonts w:ascii="Arial" w:cs="Arial" w:eastAsia="Arial" w:hAnsi="Arial"/>
                <w:sz w:val="17"/>
                <w:szCs w:val="17"/>
                <w:color w:val="0000FF"/>
                <w:w w:val="94"/>
              </w:rPr>
            </w:pPr>
            <w:hyperlink r:id="rId98">
              <w:r>
                <w:rPr>
                  <w:rFonts w:ascii="Arial" w:cs="Arial" w:eastAsia="Arial" w:hAnsi="Arial"/>
                  <w:sz w:val="17"/>
                  <w:szCs w:val="17"/>
                  <w:color w:val="0000FF"/>
                  <w:w w:val="94"/>
                </w:rPr>
                <w:t>Form of Employment Agreement entered into between LII and certain executive officers of LII (filed as Exhibit 10.30 to LII's Annual Report on</w:t>
              </w:r>
            </w:hyperlink>
          </w:p>
        </w:tc>
        <w:tc>
          <w:tcPr>
            <w:tcW w:w="420" w:type="dxa"/>
            <w:vAlign w:val="bottom"/>
            <w:tcBorders>
              <w:bottom w:val="single" w:sz="8" w:color="CCEEFF"/>
            </w:tcBorders>
            <w:gridSpan w:val="5"/>
            <w:shd w:val="clear" w:color="auto" w:fill="CCEEFF"/>
          </w:tcPr>
          <w:p>
            <w:pPr>
              <w:spacing w:after="0"/>
              <w:rPr>
                <w:sz w:val="16"/>
                <w:szCs w:val="16"/>
                <w:color w:val="auto"/>
              </w:rPr>
            </w:pPr>
          </w:p>
        </w:tc>
      </w:tr>
      <w:tr>
        <w:trPr>
          <w:trHeight w:val="188"/>
        </w:trPr>
        <w:tc>
          <w:tcPr>
            <w:tcW w:w="960" w:type="dxa"/>
            <w:vAlign w:val="bottom"/>
            <w:shd w:val="clear" w:color="auto" w:fill="CCEEFF"/>
          </w:tcPr>
          <w:p>
            <w:pPr>
              <w:spacing w:after="0"/>
              <w:rPr>
                <w:sz w:val="16"/>
                <w:szCs w:val="16"/>
                <w:color w:val="auto"/>
              </w:rPr>
            </w:pPr>
          </w:p>
        </w:tc>
        <w:tc>
          <w:tcPr>
            <w:tcW w:w="10460" w:type="dxa"/>
            <w:vAlign w:val="bottom"/>
            <w:gridSpan w:val="22"/>
            <w:shd w:val="clear" w:color="auto" w:fill="CCEEFF"/>
          </w:tcPr>
          <w:p>
            <w:pPr>
              <w:spacing w:after="0" w:line="189" w:lineRule="exact"/>
              <w:rPr>
                <w:rFonts w:ascii="Arial" w:cs="Arial" w:eastAsia="Arial" w:hAnsi="Arial"/>
                <w:sz w:val="17"/>
                <w:szCs w:val="17"/>
                <w:color w:val="0000FF"/>
              </w:rPr>
            </w:pPr>
            <w:hyperlink r:id="rId98">
              <w:r>
                <w:rPr>
                  <w:rFonts w:ascii="Arial" w:cs="Arial" w:eastAsia="Arial" w:hAnsi="Arial"/>
                  <w:sz w:val="17"/>
                  <w:szCs w:val="17"/>
                  <w:color w:val="0000FF"/>
                </w:rPr>
                <w:t>Form 10-K filed on February 27, 2007 and incorporated herein by reference).</w:t>
              </w:r>
            </w:hyperlink>
          </w:p>
        </w:tc>
      </w:tr>
      <w:tr>
        <w:trPr>
          <w:trHeight w:val="45"/>
        </w:trPr>
        <w:tc>
          <w:tcPr>
            <w:tcW w:w="960" w:type="dxa"/>
            <w:vAlign w:val="bottom"/>
            <w:tcBorders>
              <w:top w:val="single" w:sz="8" w:color="CCEEFF"/>
            </w:tcBorders>
            <w:shd w:val="clear" w:color="auto" w:fill="CCEEFF"/>
          </w:tcPr>
          <w:p>
            <w:pPr>
              <w:spacing w:after="0"/>
              <w:rPr>
                <w:sz w:val="3"/>
                <w:szCs w:val="3"/>
                <w:color w:val="auto"/>
              </w:rPr>
            </w:pPr>
          </w:p>
        </w:tc>
        <w:tc>
          <w:tcPr>
            <w:tcW w:w="24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14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10.27*</w:t>
            </w:r>
          </w:p>
        </w:tc>
        <w:tc>
          <w:tcPr>
            <w:tcW w:w="10320" w:type="dxa"/>
            <w:vAlign w:val="bottom"/>
            <w:tcBorders>
              <w:bottom w:val="single" w:sz="8" w:color="0000FF"/>
            </w:tcBorders>
            <w:gridSpan w:val="20"/>
          </w:tcPr>
          <w:p>
            <w:pPr>
              <w:spacing w:after="0"/>
              <w:rPr>
                <w:rFonts w:ascii="Arial" w:cs="Arial" w:eastAsia="Arial" w:hAnsi="Arial"/>
                <w:sz w:val="17"/>
                <w:szCs w:val="17"/>
                <w:color w:val="0000FF"/>
                <w:w w:val="94"/>
              </w:rPr>
            </w:pPr>
            <w:hyperlink r:id="rId99">
              <w:r>
                <w:rPr>
                  <w:rFonts w:ascii="Arial" w:cs="Arial" w:eastAsia="Arial" w:hAnsi="Arial"/>
                  <w:sz w:val="17"/>
                  <w:szCs w:val="17"/>
                  <w:color w:val="0000FF"/>
                  <w:w w:val="94"/>
                </w:rPr>
                <w:t>Form of Amendment to Employment Agreement entered into between LII and certain executive officers of LII (filed as Exhibit 10.2 to LII's Current</w:t>
              </w:r>
            </w:hyperlink>
          </w:p>
        </w:tc>
        <w:tc>
          <w:tcPr>
            <w:tcW w:w="140" w:type="dxa"/>
            <w:vAlign w:val="bottom"/>
            <w:gridSpan w:val="2"/>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22"/>
          </w:tcPr>
          <w:p>
            <w:pPr>
              <w:spacing w:after="0" w:line="189" w:lineRule="exact"/>
              <w:rPr>
                <w:rFonts w:ascii="Arial" w:cs="Arial" w:eastAsia="Arial" w:hAnsi="Arial"/>
                <w:sz w:val="17"/>
                <w:szCs w:val="17"/>
                <w:color w:val="0000FF"/>
              </w:rPr>
            </w:pPr>
            <w:hyperlink r:id="rId99">
              <w:r>
                <w:rPr>
                  <w:rFonts w:ascii="Arial" w:cs="Arial" w:eastAsia="Arial" w:hAnsi="Arial"/>
                  <w:sz w:val="17"/>
                  <w:szCs w:val="17"/>
                  <w:color w:val="0000FF"/>
                </w:rPr>
                <w:t>Report on Form 8-K filed on December 12, 2007 and incorporated herein by reference).</w:t>
              </w:r>
            </w:hyperlink>
          </w:p>
        </w:tc>
      </w:tr>
      <w:tr>
        <w:trPr>
          <w:trHeight w:val="45"/>
        </w:trPr>
        <w:tc>
          <w:tcPr>
            <w:tcW w:w="960" w:type="dxa"/>
            <w:vAlign w:val="bottom"/>
          </w:tcPr>
          <w:p>
            <w:pPr>
              <w:spacing w:after="0"/>
              <w:rPr>
                <w:sz w:val="3"/>
                <w:szCs w:val="3"/>
                <w:color w:val="auto"/>
              </w:rPr>
            </w:pPr>
          </w:p>
        </w:tc>
        <w:tc>
          <w:tcPr>
            <w:tcW w:w="24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5"/>
        </w:trPr>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10.28*</w:t>
            </w:r>
          </w:p>
        </w:tc>
        <w:tc>
          <w:tcPr>
            <w:tcW w:w="10460" w:type="dxa"/>
            <w:vAlign w:val="bottom"/>
            <w:gridSpan w:val="22"/>
            <w:shd w:val="clear" w:color="auto" w:fill="CCEEFF"/>
          </w:tcPr>
          <w:p>
            <w:pPr>
              <w:spacing w:after="0"/>
              <w:rPr>
                <w:rFonts w:ascii="Arial" w:cs="Arial" w:eastAsia="Arial" w:hAnsi="Arial"/>
                <w:sz w:val="17"/>
                <w:szCs w:val="17"/>
                <w:color w:val="0000FF"/>
                <w:w w:val="95"/>
              </w:rPr>
            </w:pPr>
            <w:hyperlink r:id="rId100">
              <w:r>
                <w:rPr>
                  <w:rFonts w:ascii="Arial" w:cs="Arial" w:eastAsia="Arial" w:hAnsi="Arial"/>
                  <w:sz w:val="17"/>
                  <w:szCs w:val="17"/>
                  <w:color w:val="0000FF"/>
                  <w:w w:val="95"/>
                </w:rPr>
                <w:t>Form of Change of Control Agreement entered into between LII and certain executive officers of LII (filed as Exhibit 10.1 to LII's Current Report on</w:t>
              </w:r>
            </w:hyperlink>
          </w:p>
        </w:tc>
      </w:tr>
      <w:tr>
        <w:trPr>
          <w:trHeight w:val="188"/>
        </w:trPr>
        <w:tc>
          <w:tcPr>
            <w:tcW w:w="960" w:type="dxa"/>
            <w:vAlign w:val="bottom"/>
            <w:tcBorders>
              <w:top w:val="single" w:sz="8" w:color="CCEEFF"/>
            </w:tcBorders>
            <w:shd w:val="clear" w:color="auto" w:fill="CCEEFF"/>
          </w:tcPr>
          <w:p>
            <w:pPr>
              <w:spacing w:after="0"/>
              <w:rPr>
                <w:sz w:val="16"/>
                <w:szCs w:val="16"/>
                <w:color w:val="auto"/>
              </w:rPr>
            </w:pPr>
          </w:p>
        </w:tc>
        <w:tc>
          <w:tcPr>
            <w:tcW w:w="10360" w:type="dxa"/>
            <w:vAlign w:val="bottom"/>
            <w:tcBorders>
              <w:top w:val="single" w:sz="8" w:color="0000FF"/>
            </w:tcBorders>
            <w:gridSpan w:val="21"/>
            <w:shd w:val="clear" w:color="auto" w:fill="CCEEFF"/>
          </w:tcPr>
          <w:p>
            <w:pPr>
              <w:spacing w:after="0" w:line="189" w:lineRule="exact"/>
              <w:rPr>
                <w:rFonts w:ascii="Arial" w:cs="Arial" w:eastAsia="Arial" w:hAnsi="Arial"/>
                <w:sz w:val="17"/>
                <w:szCs w:val="17"/>
                <w:color w:val="0000FF"/>
              </w:rPr>
            </w:pPr>
            <w:hyperlink r:id="rId100">
              <w:r>
                <w:rPr>
                  <w:rFonts w:ascii="Arial" w:cs="Arial" w:eastAsia="Arial" w:hAnsi="Arial"/>
                  <w:sz w:val="17"/>
                  <w:szCs w:val="17"/>
                  <w:color w:val="0000FF"/>
                </w:rPr>
                <w:t>Form 8-K filed on July 17, 2012 and incorporated herein by reference).</w:t>
              </w:r>
            </w:hyperlink>
          </w:p>
        </w:tc>
        <w:tc>
          <w:tcPr>
            <w:tcW w:w="100" w:type="dxa"/>
            <w:vAlign w:val="bottom"/>
            <w:tcBorders>
              <w:top w:val="single" w:sz="8" w:color="CCEEFF"/>
            </w:tcBorders>
            <w:shd w:val="clear" w:color="auto" w:fill="CCEEFF"/>
          </w:tcPr>
          <w:p>
            <w:pPr>
              <w:spacing w:after="0"/>
              <w:rPr>
                <w:sz w:val="16"/>
                <w:szCs w:val="16"/>
                <w:color w:val="auto"/>
              </w:rPr>
            </w:pPr>
          </w:p>
        </w:tc>
      </w:tr>
      <w:tr>
        <w:trPr>
          <w:trHeight w:val="45"/>
        </w:trPr>
        <w:tc>
          <w:tcPr>
            <w:tcW w:w="960" w:type="dxa"/>
            <w:vAlign w:val="bottom"/>
            <w:tcBorders>
              <w:top w:val="single" w:sz="8" w:color="CCEEFF"/>
            </w:tcBorders>
            <w:shd w:val="clear" w:color="auto" w:fill="CCEEFF"/>
          </w:tcPr>
          <w:p>
            <w:pPr>
              <w:spacing w:after="0"/>
              <w:rPr>
                <w:sz w:val="3"/>
                <w:szCs w:val="3"/>
                <w:color w:val="auto"/>
              </w:rPr>
            </w:pPr>
          </w:p>
        </w:tc>
        <w:tc>
          <w:tcPr>
            <w:tcW w:w="24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14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10.29*</w:t>
            </w:r>
          </w:p>
        </w:tc>
        <w:tc>
          <w:tcPr>
            <w:tcW w:w="10000" w:type="dxa"/>
            <w:vAlign w:val="bottom"/>
            <w:tcBorders>
              <w:bottom w:val="single" w:sz="8" w:color="0000FF"/>
            </w:tcBorders>
            <w:gridSpan w:val="15"/>
          </w:tcPr>
          <w:p>
            <w:pPr>
              <w:spacing w:after="0"/>
              <w:rPr>
                <w:rFonts w:ascii="Arial" w:cs="Arial" w:eastAsia="Arial" w:hAnsi="Arial"/>
                <w:sz w:val="17"/>
                <w:szCs w:val="17"/>
                <w:color w:val="0000FF"/>
                <w:w w:val="94"/>
              </w:rPr>
            </w:pPr>
            <w:hyperlink r:id="rId101">
              <w:r>
                <w:rPr>
                  <w:rFonts w:ascii="Arial" w:cs="Arial" w:eastAsia="Arial" w:hAnsi="Arial"/>
                  <w:sz w:val="17"/>
                  <w:szCs w:val="17"/>
                  <w:color w:val="0000FF"/>
                  <w:w w:val="94"/>
                </w:rPr>
                <w:t>Form of Change of Control Employment Agreement entered into between LII and certain executive officers of LII (filed as Exhibit 10.1 to LII's</w:t>
              </w:r>
            </w:hyperlink>
          </w:p>
        </w:tc>
        <w:tc>
          <w:tcPr>
            <w:tcW w:w="460" w:type="dxa"/>
            <w:vAlign w:val="bottom"/>
            <w:gridSpan w:val="7"/>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0460" w:type="dxa"/>
            <w:vAlign w:val="bottom"/>
            <w:gridSpan w:val="22"/>
          </w:tcPr>
          <w:p>
            <w:pPr>
              <w:spacing w:after="0" w:line="189" w:lineRule="exact"/>
              <w:rPr>
                <w:rFonts w:ascii="Arial" w:cs="Arial" w:eastAsia="Arial" w:hAnsi="Arial"/>
                <w:sz w:val="17"/>
                <w:szCs w:val="17"/>
                <w:color w:val="0000FF"/>
              </w:rPr>
            </w:pPr>
            <w:hyperlink r:id="rId101">
              <w:r>
                <w:rPr>
                  <w:rFonts w:ascii="Arial" w:cs="Arial" w:eastAsia="Arial" w:hAnsi="Arial"/>
                  <w:sz w:val="17"/>
                  <w:szCs w:val="17"/>
                  <w:color w:val="0000FF"/>
                </w:rPr>
                <w:t>Current Report on Form 8-K filed on December 17, 2008 and incorporated herein by reference).</w:t>
              </w:r>
            </w:hyperlink>
          </w:p>
        </w:tc>
      </w:tr>
      <w:tr>
        <w:trPr>
          <w:trHeight w:val="45"/>
        </w:trPr>
        <w:tc>
          <w:tcPr>
            <w:tcW w:w="960" w:type="dxa"/>
            <w:vAlign w:val="bottom"/>
          </w:tcPr>
          <w:p>
            <w:pPr>
              <w:spacing w:after="0"/>
              <w:rPr>
                <w:sz w:val="3"/>
                <w:szCs w:val="3"/>
                <w:color w:val="auto"/>
              </w:rPr>
            </w:pPr>
          </w:p>
        </w:tc>
        <w:tc>
          <w:tcPr>
            <w:tcW w:w="24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5"/>
        </w:trPr>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10.30*</w:t>
            </w:r>
          </w:p>
        </w:tc>
        <w:tc>
          <w:tcPr>
            <w:tcW w:w="10460" w:type="dxa"/>
            <w:vAlign w:val="bottom"/>
            <w:gridSpan w:val="22"/>
            <w:shd w:val="clear" w:color="auto" w:fill="CCEEFF"/>
          </w:tcPr>
          <w:p>
            <w:pPr>
              <w:spacing w:after="0"/>
              <w:rPr>
                <w:rFonts w:ascii="Arial" w:cs="Arial" w:eastAsia="Arial" w:hAnsi="Arial"/>
                <w:sz w:val="17"/>
                <w:szCs w:val="17"/>
                <w:color w:val="0000FF"/>
                <w:w w:val="94"/>
              </w:rPr>
            </w:pPr>
            <w:hyperlink r:id="rId102">
              <w:r>
                <w:rPr>
                  <w:rFonts w:ascii="Arial" w:cs="Arial" w:eastAsia="Arial" w:hAnsi="Arial"/>
                  <w:sz w:val="17"/>
                  <w:szCs w:val="17"/>
                  <w:color w:val="0000FF"/>
                  <w:w w:val="94"/>
                </w:rPr>
                <w:t>Lennox International Inc. Directors' Retirement Plan (as Amended and Restated as of January 1, 2010) (filed as Exhibit 10.1 to LII's Current Report</w:t>
              </w:r>
            </w:hyperlink>
          </w:p>
        </w:tc>
      </w:tr>
      <w:tr>
        <w:trPr>
          <w:trHeight w:val="233"/>
        </w:trPr>
        <w:tc>
          <w:tcPr>
            <w:tcW w:w="96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0000FF"/>
            </w:tcBorders>
            <w:gridSpan w:val="19"/>
            <w:shd w:val="clear" w:color="auto" w:fill="CCEEFF"/>
          </w:tcPr>
          <w:p>
            <w:pPr>
              <w:spacing w:after="0" w:line="189" w:lineRule="exact"/>
              <w:rPr>
                <w:rFonts w:ascii="Arial" w:cs="Arial" w:eastAsia="Arial" w:hAnsi="Arial"/>
                <w:sz w:val="17"/>
                <w:szCs w:val="17"/>
                <w:color w:val="0000FF"/>
              </w:rPr>
            </w:pPr>
            <w:hyperlink r:id="rId102">
              <w:r>
                <w:rPr>
                  <w:rFonts w:ascii="Arial" w:cs="Arial" w:eastAsia="Arial" w:hAnsi="Arial"/>
                  <w:sz w:val="17"/>
                  <w:szCs w:val="17"/>
                  <w:color w:val="0000FF"/>
                </w:rPr>
                <w:t>on Form 8-K filed on December 16, 2009 and incorporated herein by reference).</w:t>
              </w:r>
            </w:hyperlink>
          </w:p>
        </w:tc>
        <w:tc>
          <w:tcPr>
            <w:tcW w:w="200" w:type="dxa"/>
            <w:vAlign w:val="bottom"/>
            <w:tcBorders>
              <w:top w:val="single" w:sz="8" w:color="CCEEFF"/>
            </w:tcBorders>
            <w:gridSpan w:val="3"/>
            <w:shd w:val="clear" w:color="auto" w:fill="CCEEFF"/>
          </w:tcPr>
          <w:p>
            <w:pPr>
              <w:spacing w:after="0"/>
              <w:rPr>
                <w:sz w:val="20"/>
                <w:szCs w:val="20"/>
                <w:color w:val="auto"/>
              </w:rPr>
            </w:pPr>
          </w:p>
        </w:tc>
      </w:tr>
      <w:tr>
        <w:trPr>
          <w:trHeight w:val="195"/>
        </w:trPr>
        <w:tc>
          <w:tcPr>
            <w:tcW w:w="960" w:type="dxa"/>
            <w:vAlign w:val="bottom"/>
            <w:tcBorders>
              <w:top w:val="single" w:sz="8" w:color="CCEEFF"/>
            </w:tcBorders>
          </w:tcPr>
          <w:p>
            <w:pPr>
              <w:ind w:left="40"/>
              <w:spacing w:after="0"/>
              <w:rPr>
                <w:sz w:val="20"/>
                <w:szCs w:val="20"/>
                <w:color w:val="auto"/>
              </w:rPr>
            </w:pPr>
            <w:r>
              <w:rPr>
                <w:rFonts w:ascii="Arial" w:cs="Arial" w:eastAsia="Arial" w:hAnsi="Arial"/>
                <w:sz w:val="17"/>
                <w:szCs w:val="17"/>
                <w:color w:val="auto"/>
              </w:rPr>
              <w:t>21.1</w:t>
            </w:r>
          </w:p>
        </w:tc>
        <w:tc>
          <w:tcPr>
            <w:tcW w:w="5580" w:type="dxa"/>
            <w:vAlign w:val="bottom"/>
            <w:tcBorders>
              <w:top w:val="single" w:sz="8" w:color="0000FF"/>
            </w:tcBorders>
            <w:gridSpan w:val="7"/>
          </w:tcPr>
          <w:p>
            <w:pPr>
              <w:spacing w:after="0"/>
              <w:rPr>
                <w:rFonts w:ascii="Arial" w:cs="Arial" w:eastAsia="Arial" w:hAnsi="Arial"/>
                <w:sz w:val="17"/>
                <w:szCs w:val="17"/>
                <w:color w:val="0000FF"/>
              </w:rPr>
            </w:pPr>
            <w:hyperlink w:anchor="page130">
              <w:r>
                <w:rPr>
                  <w:rFonts w:ascii="Arial" w:cs="Arial" w:eastAsia="Arial" w:hAnsi="Arial"/>
                  <w:sz w:val="17"/>
                  <w:szCs w:val="17"/>
                  <w:color w:val="0000FF"/>
                </w:rPr>
                <w:t>Subsidiaries of LII (filed herewith).</w:t>
              </w:r>
            </w:hyperlink>
          </w:p>
        </w:tc>
        <w:tc>
          <w:tcPr>
            <w:tcW w:w="4880" w:type="dxa"/>
            <w:vAlign w:val="bottom"/>
            <w:tcBorders>
              <w:top w:val="single" w:sz="8" w:color="CCEEFF"/>
            </w:tcBorders>
            <w:gridSpan w:val="15"/>
          </w:tcPr>
          <w:p>
            <w:pPr>
              <w:spacing w:after="0"/>
              <w:rPr>
                <w:sz w:val="16"/>
                <w:szCs w:val="16"/>
                <w:color w:val="auto"/>
              </w:rPr>
            </w:pPr>
          </w:p>
        </w:tc>
      </w:tr>
      <w:tr>
        <w:trPr>
          <w:trHeight w:val="45"/>
        </w:trPr>
        <w:tc>
          <w:tcPr>
            <w:tcW w:w="960" w:type="dxa"/>
            <w:vAlign w:val="bottom"/>
          </w:tcPr>
          <w:p>
            <w:pPr>
              <w:spacing w:after="0"/>
              <w:rPr>
                <w:sz w:val="3"/>
                <w:szCs w:val="3"/>
                <w:color w:val="auto"/>
              </w:rPr>
            </w:pPr>
          </w:p>
        </w:tc>
        <w:tc>
          <w:tcPr>
            <w:tcW w:w="246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23.1</w:t>
            </w:r>
          </w:p>
        </w:tc>
        <w:tc>
          <w:tcPr>
            <w:tcW w:w="2820" w:type="dxa"/>
            <w:vAlign w:val="bottom"/>
            <w:tcBorders>
              <w:bottom w:val="single" w:sz="8" w:color="0000FF"/>
            </w:tcBorders>
            <w:gridSpan w:val="2"/>
            <w:shd w:val="clear" w:color="auto" w:fill="CCEEFF"/>
          </w:tcPr>
          <w:p>
            <w:pPr>
              <w:spacing w:after="0"/>
              <w:rPr>
                <w:rFonts w:ascii="Arial" w:cs="Arial" w:eastAsia="Arial" w:hAnsi="Arial"/>
                <w:sz w:val="17"/>
                <w:szCs w:val="17"/>
                <w:color w:val="0000FF"/>
                <w:w w:val="95"/>
              </w:rPr>
            </w:pPr>
            <w:hyperlink w:anchor="page134">
              <w:r>
                <w:rPr>
                  <w:rFonts w:ascii="Arial" w:cs="Arial" w:eastAsia="Arial" w:hAnsi="Arial"/>
                  <w:sz w:val="17"/>
                  <w:szCs w:val="17"/>
                  <w:color w:val="0000FF"/>
                  <w:w w:val="95"/>
                </w:rPr>
                <w:t>Consent of KPMG LLP (filed herewith).</w:t>
              </w:r>
            </w:hyperlink>
          </w:p>
        </w:tc>
        <w:tc>
          <w:tcPr>
            <w:tcW w:w="7640" w:type="dxa"/>
            <w:vAlign w:val="bottom"/>
            <w:tcBorders>
              <w:bottom w:val="single" w:sz="8" w:color="CCEEFF"/>
            </w:tcBorders>
            <w:gridSpan w:val="20"/>
            <w:shd w:val="clear" w:color="auto" w:fill="CCEEFF"/>
          </w:tcPr>
          <w:p>
            <w:pPr>
              <w:spacing w:after="0"/>
              <w:rPr>
                <w:sz w:val="20"/>
                <w:szCs w:val="20"/>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31.1</w:t>
            </w:r>
          </w:p>
        </w:tc>
        <w:tc>
          <w:tcPr>
            <w:tcW w:w="10460" w:type="dxa"/>
            <w:vAlign w:val="bottom"/>
            <w:gridSpan w:val="22"/>
          </w:tcPr>
          <w:p>
            <w:pPr>
              <w:spacing w:after="0"/>
              <w:rPr>
                <w:rFonts w:ascii="Arial" w:cs="Arial" w:eastAsia="Arial" w:hAnsi="Arial"/>
                <w:sz w:val="17"/>
                <w:szCs w:val="17"/>
                <w:color w:val="0000FF"/>
              </w:rPr>
            </w:pPr>
            <w:hyperlink w:anchor="page135">
              <w:r>
                <w:rPr>
                  <w:rFonts w:ascii="Arial" w:cs="Arial" w:eastAsia="Arial" w:hAnsi="Arial"/>
                  <w:sz w:val="17"/>
                  <w:szCs w:val="17"/>
                  <w:color w:val="0000FF"/>
                </w:rPr>
                <w:t>Certification of the principal executive officer (filed herewith).</w:t>
              </w:r>
            </w:hyperlink>
          </w:p>
        </w:tc>
      </w:tr>
      <w:tr>
        <w:trPr>
          <w:trHeight w:val="45"/>
        </w:trPr>
        <w:tc>
          <w:tcPr>
            <w:tcW w:w="960" w:type="dxa"/>
            <w:vAlign w:val="bottom"/>
          </w:tcPr>
          <w:p>
            <w:pPr>
              <w:spacing w:after="0"/>
              <w:rPr>
                <w:sz w:val="3"/>
                <w:szCs w:val="3"/>
                <w:color w:val="auto"/>
              </w:rPr>
            </w:pPr>
          </w:p>
        </w:tc>
        <w:tc>
          <w:tcPr>
            <w:tcW w:w="24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31.2</w:t>
            </w:r>
          </w:p>
        </w:tc>
        <w:tc>
          <w:tcPr>
            <w:tcW w:w="4300" w:type="dxa"/>
            <w:vAlign w:val="bottom"/>
            <w:tcBorders>
              <w:bottom w:val="single" w:sz="8" w:color="0000FF"/>
            </w:tcBorders>
            <w:gridSpan w:val="3"/>
            <w:shd w:val="clear" w:color="auto" w:fill="CCEEFF"/>
          </w:tcPr>
          <w:p>
            <w:pPr>
              <w:spacing w:after="0"/>
              <w:rPr>
                <w:rFonts w:ascii="Arial" w:cs="Arial" w:eastAsia="Arial" w:hAnsi="Arial"/>
                <w:sz w:val="17"/>
                <w:szCs w:val="17"/>
                <w:color w:val="0000FF"/>
                <w:w w:val="96"/>
              </w:rPr>
            </w:pPr>
            <w:hyperlink w:anchor="page136">
              <w:r>
                <w:rPr>
                  <w:rFonts w:ascii="Arial" w:cs="Arial" w:eastAsia="Arial" w:hAnsi="Arial"/>
                  <w:sz w:val="17"/>
                  <w:szCs w:val="17"/>
                  <w:color w:val="0000FF"/>
                  <w:w w:val="96"/>
                </w:rPr>
                <w:t>Certification of the principal financial officer (filed herewith).</w:t>
              </w:r>
            </w:hyperlink>
          </w:p>
        </w:tc>
        <w:tc>
          <w:tcPr>
            <w:tcW w:w="6160" w:type="dxa"/>
            <w:vAlign w:val="bottom"/>
            <w:tcBorders>
              <w:bottom w:val="single" w:sz="8" w:color="CCEEFF"/>
            </w:tcBorders>
            <w:gridSpan w:val="19"/>
            <w:shd w:val="clear" w:color="auto" w:fill="CCEEFF"/>
          </w:tcPr>
          <w:p>
            <w:pPr>
              <w:spacing w:after="0"/>
              <w:rPr>
                <w:sz w:val="20"/>
                <w:szCs w:val="20"/>
                <w:color w:val="auto"/>
              </w:rPr>
            </w:pPr>
          </w:p>
        </w:tc>
      </w:tr>
      <w:tr>
        <w:trPr>
          <w:trHeight w:val="195"/>
        </w:trPr>
        <w:tc>
          <w:tcPr>
            <w:tcW w:w="960" w:type="dxa"/>
            <w:vAlign w:val="bottom"/>
          </w:tcPr>
          <w:p>
            <w:pPr>
              <w:ind w:left="40"/>
              <w:spacing w:after="0"/>
              <w:rPr>
                <w:sz w:val="20"/>
                <w:szCs w:val="20"/>
                <w:color w:val="auto"/>
              </w:rPr>
            </w:pPr>
            <w:r>
              <w:rPr>
                <w:rFonts w:ascii="Arial" w:cs="Arial" w:eastAsia="Arial" w:hAnsi="Arial"/>
                <w:sz w:val="17"/>
                <w:szCs w:val="17"/>
                <w:color w:val="auto"/>
              </w:rPr>
              <w:t>32.1</w:t>
            </w:r>
          </w:p>
        </w:tc>
        <w:tc>
          <w:tcPr>
            <w:tcW w:w="10460" w:type="dxa"/>
            <w:vAlign w:val="bottom"/>
            <w:gridSpan w:val="22"/>
          </w:tcPr>
          <w:p>
            <w:pPr>
              <w:spacing w:after="0"/>
              <w:rPr>
                <w:rFonts w:ascii="Arial" w:cs="Arial" w:eastAsia="Arial" w:hAnsi="Arial"/>
                <w:sz w:val="17"/>
                <w:szCs w:val="17"/>
                <w:color w:val="0000FF"/>
              </w:rPr>
            </w:pPr>
            <w:hyperlink w:anchor="page137">
              <w:r>
                <w:rPr>
                  <w:rFonts w:ascii="Arial" w:cs="Arial" w:eastAsia="Arial" w:hAnsi="Arial"/>
                  <w:sz w:val="17"/>
                  <w:szCs w:val="17"/>
                  <w:color w:val="0000FF"/>
                </w:rPr>
                <w:t>Certification of the principal executive officer and the principal financial officer pursuant to 18 U.S.C. Section 1350 (furnished herewith).</w:t>
              </w:r>
            </w:hyperlink>
          </w:p>
        </w:tc>
      </w:tr>
      <w:tr>
        <w:trPr>
          <w:trHeight w:val="45"/>
        </w:trPr>
        <w:tc>
          <w:tcPr>
            <w:tcW w:w="960" w:type="dxa"/>
            <w:vAlign w:val="bottom"/>
          </w:tcPr>
          <w:p>
            <w:pPr>
              <w:spacing w:after="0"/>
              <w:rPr>
                <w:sz w:val="3"/>
                <w:szCs w:val="3"/>
                <w:color w:val="auto"/>
              </w:rPr>
            </w:pPr>
          </w:p>
        </w:tc>
        <w:tc>
          <w:tcPr>
            <w:tcW w:w="24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4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126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101</w:t>
            </w:r>
          </w:p>
        </w:tc>
        <w:tc>
          <w:tcPr>
            <w:tcW w:w="10460" w:type="dxa"/>
            <w:vAlign w:val="bottom"/>
            <w:tcBorders>
              <w:bottom w:val="single" w:sz="8" w:color="CCEEFF"/>
            </w:tcBorders>
            <w:gridSpan w:val="22"/>
            <w:shd w:val="clear" w:color="auto" w:fill="CCEEFF"/>
          </w:tcPr>
          <w:p>
            <w:pPr>
              <w:spacing w:after="0"/>
              <w:rPr>
                <w:sz w:val="20"/>
                <w:szCs w:val="20"/>
                <w:color w:val="auto"/>
              </w:rPr>
            </w:pPr>
            <w:r>
              <w:rPr>
                <w:rFonts w:ascii="Arial" w:cs="Arial" w:eastAsia="Arial" w:hAnsi="Arial"/>
                <w:sz w:val="17"/>
                <w:szCs w:val="17"/>
                <w:color w:val="auto"/>
              </w:rPr>
              <w:t>SCH Inline XBRL Taxonomy Extension Schema Document</w:t>
            </w:r>
          </w:p>
        </w:tc>
      </w:tr>
      <w:tr>
        <w:trPr>
          <w:trHeight w:val="234"/>
        </w:trPr>
        <w:tc>
          <w:tcPr>
            <w:tcW w:w="960" w:type="dxa"/>
            <w:vAlign w:val="bottom"/>
          </w:tcPr>
          <w:p>
            <w:pPr>
              <w:ind w:left="40"/>
              <w:spacing w:after="0"/>
              <w:rPr>
                <w:sz w:val="20"/>
                <w:szCs w:val="20"/>
                <w:color w:val="auto"/>
              </w:rPr>
            </w:pPr>
            <w:r>
              <w:rPr>
                <w:rFonts w:ascii="Arial" w:cs="Arial" w:eastAsia="Arial" w:hAnsi="Arial"/>
                <w:sz w:val="17"/>
                <w:szCs w:val="17"/>
                <w:color w:val="auto"/>
              </w:rPr>
              <w:t>101</w:t>
            </w:r>
          </w:p>
        </w:tc>
        <w:tc>
          <w:tcPr>
            <w:tcW w:w="10460" w:type="dxa"/>
            <w:vAlign w:val="bottom"/>
            <w:gridSpan w:val="22"/>
          </w:tcPr>
          <w:p>
            <w:pPr>
              <w:spacing w:after="0"/>
              <w:rPr>
                <w:sz w:val="20"/>
                <w:szCs w:val="20"/>
                <w:color w:val="auto"/>
              </w:rPr>
            </w:pPr>
            <w:r>
              <w:rPr>
                <w:rFonts w:ascii="Arial" w:cs="Arial" w:eastAsia="Arial" w:hAnsi="Arial"/>
                <w:sz w:val="17"/>
                <w:szCs w:val="17"/>
                <w:color w:val="auto"/>
              </w:rPr>
              <w:t>CAL Inline XBRL Taxonomy Extension Calculation Linkbase Document</w:t>
            </w:r>
          </w:p>
        </w:tc>
      </w:tr>
      <w:tr>
        <w:trPr>
          <w:trHeight w:val="26"/>
        </w:trPr>
        <w:tc>
          <w:tcPr>
            <w:tcW w:w="9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101</w:t>
            </w:r>
          </w:p>
        </w:tc>
        <w:tc>
          <w:tcPr>
            <w:tcW w:w="10460" w:type="dxa"/>
            <w:vAlign w:val="bottom"/>
            <w:tcBorders>
              <w:bottom w:val="single" w:sz="8" w:color="CCEEFF"/>
            </w:tcBorders>
            <w:gridSpan w:val="22"/>
            <w:shd w:val="clear" w:color="auto" w:fill="CCEEFF"/>
          </w:tcPr>
          <w:p>
            <w:pPr>
              <w:spacing w:after="0"/>
              <w:rPr>
                <w:sz w:val="20"/>
                <w:szCs w:val="20"/>
                <w:color w:val="auto"/>
              </w:rPr>
            </w:pPr>
            <w:r>
              <w:rPr>
                <w:rFonts w:ascii="Arial" w:cs="Arial" w:eastAsia="Arial" w:hAnsi="Arial"/>
                <w:sz w:val="17"/>
                <w:szCs w:val="17"/>
                <w:color w:val="auto"/>
              </w:rPr>
              <w:t>LAB Inline XBRL Taxonomy Extension Label Linkbase Document</w:t>
            </w:r>
          </w:p>
        </w:tc>
      </w:tr>
      <w:tr>
        <w:trPr>
          <w:trHeight w:val="234"/>
        </w:trPr>
        <w:tc>
          <w:tcPr>
            <w:tcW w:w="960" w:type="dxa"/>
            <w:vAlign w:val="bottom"/>
          </w:tcPr>
          <w:p>
            <w:pPr>
              <w:ind w:left="40"/>
              <w:spacing w:after="0"/>
              <w:rPr>
                <w:sz w:val="20"/>
                <w:szCs w:val="20"/>
                <w:color w:val="auto"/>
              </w:rPr>
            </w:pPr>
            <w:r>
              <w:rPr>
                <w:rFonts w:ascii="Arial" w:cs="Arial" w:eastAsia="Arial" w:hAnsi="Arial"/>
                <w:sz w:val="17"/>
                <w:szCs w:val="17"/>
                <w:color w:val="auto"/>
              </w:rPr>
              <w:t>101</w:t>
            </w:r>
          </w:p>
        </w:tc>
        <w:tc>
          <w:tcPr>
            <w:tcW w:w="10460" w:type="dxa"/>
            <w:vAlign w:val="bottom"/>
            <w:gridSpan w:val="22"/>
          </w:tcPr>
          <w:p>
            <w:pPr>
              <w:spacing w:after="0"/>
              <w:rPr>
                <w:sz w:val="20"/>
                <w:szCs w:val="20"/>
                <w:color w:val="auto"/>
              </w:rPr>
            </w:pPr>
            <w:r>
              <w:rPr>
                <w:rFonts w:ascii="Arial" w:cs="Arial" w:eastAsia="Arial" w:hAnsi="Arial"/>
                <w:sz w:val="17"/>
                <w:szCs w:val="17"/>
                <w:color w:val="auto"/>
              </w:rPr>
              <w:t>PRE Inline XBRL Taxonomy Extension Presentation Linkbase Document</w:t>
            </w:r>
          </w:p>
        </w:tc>
      </w:tr>
      <w:tr>
        <w:trPr>
          <w:trHeight w:val="26"/>
        </w:trPr>
        <w:tc>
          <w:tcPr>
            <w:tcW w:w="9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101</w:t>
            </w:r>
          </w:p>
        </w:tc>
        <w:tc>
          <w:tcPr>
            <w:tcW w:w="10460" w:type="dxa"/>
            <w:vAlign w:val="bottom"/>
            <w:gridSpan w:val="22"/>
            <w:shd w:val="clear" w:color="auto" w:fill="CCEEFF"/>
          </w:tcPr>
          <w:p>
            <w:pPr>
              <w:spacing w:after="0"/>
              <w:rPr>
                <w:sz w:val="20"/>
                <w:szCs w:val="20"/>
                <w:color w:val="auto"/>
              </w:rPr>
            </w:pPr>
            <w:r>
              <w:rPr>
                <w:rFonts w:ascii="Arial" w:cs="Arial" w:eastAsia="Arial" w:hAnsi="Arial"/>
                <w:sz w:val="17"/>
                <w:szCs w:val="17"/>
                <w:color w:val="auto"/>
              </w:rPr>
              <w:t>DEF Inline XBRL Taxonomy Extension Definition Linkbase Document</w:t>
            </w:r>
          </w:p>
        </w:tc>
      </w:tr>
      <w:tr>
        <w:trPr>
          <w:trHeight w:val="26"/>
        </w:trPr>
        <w:tc>
          <w:tcPr>
            <w:tcW w:w="9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4" w:lineRule="exact"/>
        <w:rPr>
          <w:sz w:val="20"/>
          <w:szCs w:val="20"/>
          <w:color w:val="auto"/>
        </w:rPr>
      </w:pPr>
    </w:p>
    <w:p>
      <w:pPr>
        <w:ind w:left="960" w:hanging="930"/>
        <w:spacing w:after="0"/>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   Management contract or compensatory plan or arrangement.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686" w:right="2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auto"/>
        </w:rPr>
        <w:t>Item 16</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Form 10-K Summary</w:t>
      </w:r>
    </w:p>
    <w:p>
      <w:pPr>
        <w:spacing w:after="0" w:line="2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30"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219"/>
          </w:cols>
          <w:pgMar w:left="240" w:top="538" w:right="1440"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auto"/>
        </w:rPr>
        <w:t>SIGNATURES</w:t>
      </w:r>
    </w:p>
    <w:p>
      <w:pPr>
        <w:spacing w:after="0" w:line="227" w:lineRule="exact"/>
        <w:rPr>
          <w:sz w:val="20"/>
          <w:szCs w:val="20"/>
          <w:color w:val="auto"/>
        </w:rPr>
      </w:pPr>
    </w:p>
    <w:p>
      <w:pPr>
        <w:ind w:right="100" w:firstLine="234"/>
        <w:spacing w:after="0" w:line="28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6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LENNOX INTERNATIONAL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Todd M. Bluedorn</w:t>
      </w:r>
    </w:p>
    <w:p>
      <w:pPr>
        <w:spacing w:after="0" w:line="2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Todd M. Bluedorn</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February 18, 2020</w:t>
      </w:r>
    </w:p>
    <w:p>
      <w:pPr>
        <w:spacing w:after="0" w:line="200" w:lineRule="exact"/>
        <w:rPr>
          <w:sz w:val="20"/>
          <w:szCs w:val="20"/>
          <w:color w:val="auto"/>
        </w:rPr>
      </w:pPr>
    </w:p>
    <w:p>
      <w:pPr>
        <w:spacing w:after="0" w:line="217" w:lineRule="exact"/>
        <w:rPr>
          <w:sz w:val="20"/>
          <w:szCs w:val="20"/>
          <w:color w:val="auto"/>
        </w:rPr>
      </w:pPr>
    </w:p>
    <w:p>
      <w:pPr>
        <w:ind w:firstLine="234"/>
        <w:spacing w:after="0" w:line="286"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and on the dates indicated.</w:t>
      </w:r>
    </w:p>
    <w:p>
      <w:pPr>
        <w:spacing w:after="0" w:line="36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180"/>
          </w:cols>
          <w:pgMar w:left="240" w:top="746" w:right="47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7"/>
                <w:szCs w:val="17"/>
                <w:b w:val="1"/>
                <w:bCs w:val="1"/>
                <w:color w:val="auto"/>
              </w:rPr>
              <w:t>SIGNATURE</w:t>
            </w:r>
          </w:p>
        </w:tc>
        <w:tc>
          <w:tcPr>
            <w:tcW w:w="5460" w:type="dxa"/>
            <w:vAlign w:val="bottom"/>
            <w:gridSpan w:val="3"/>
          </w:tcPr>
          <w:p>
            <w:pPr>
              <w:ind w:left="1360"/>
              <w:spacing w:after="0"/>
              <w:rPr>
                <w:sz w:val="20"/>
                <w:szCs w:val="20"/>
                <w:color w:val="auto"/>
              </w:rPr>
            </w:pPr>
            <w:r>
              <w:rPr>
                <w:rFonts w:ascii="Arial" w:cs="Arial" w:eastAsia="Arial" w:hAnsi="Arial"/>
                <w:sz w:val="17"/>
                <w:szCs w:val="17"/>
                <w:b w:val="1"/>
                <w:bCs w:val="1"/>
                <w:color w:val="auto"/>
              </w:rPr>
              <w:t>TITLE</w:t>
            </w:r>
          </w:p>
        </w:tc>
        <w:tc>
          <w:tcPr>
            <w:tcW w:w="2500" w:type="dxa"/>
            <w:vAlign w:val="bottom"/>
            <w:gridSpan w:val="3"/>
          </w:tcPr>
          <w:p>
            <w:pPr>
              <w:ind w:left="740"/>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TODD M. BLUEDORN</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Chief Executive Officer and Chairman of the Board of Directors</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Todd M. Bluedorn</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(Principal Executive Officer)</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JOSEPH W. REITMEIER</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Executive Vice President and Chief Financial Officer</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Joseph W. Reitmeier</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(Principal Financial Officer)</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CHRIS A. KOSEL</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Vice President, Controller and Chief Accounting Officer</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Chris A. Kosel</w:t>
            </w:r>
          </w:p>
        </w:tc>
        <w:tc>
          <w:tcPr>
            <w:tcW w:w="5460" w:type="dxa"/>
            <w:vAlign w:val="bottom"/>
            <w:gridSpan w:val="3"/>
            <w:vMerge w:val="restart"/>
          </w:tcPr>
          <w:p>
            <w:pPr>
              <w:ind w:left="260"/>
              <w:spacing w:after="0"/>
              <w:rPr>
                <w:sz w:val="20"/>
                <w:szCs w:val="20"/>
                <w:color w:val="auto"/>
              </w:rPr>
            </w:pPr>
            <w:r>
              <w:rPr>
                <w:rFonts w:ascii="Arial" w:cs="Arial" w:eastAsia="Arial" w:hAnsi="Arial"/>
                <w:sz w:val="17"/>
                <w:szCs w:val="17"/>
                <w:color w:val="auto"/>
              </w:rPr>
              <w:t>(Principal Accounting Officer)</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6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TODD J. TESKE</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Lead Director</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Todd J. Teske</w:t>
            </w: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SHERRY L. BUCK</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Sherry L. Buck</w:t>
            </w: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JANET K. COOPER</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Janet K. Cooper</w:t>
            </w: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JOHN E. MAJOR</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John E. Major</w:t>
            </w: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MAX H. MITCHELL</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Max H. Mitchell</w:t>
            </w: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JOHN W. NORRIS, III</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John W. Norris, III</w:t>
            </w: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KAREN H. QUINTOS</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Karen. H. Quintos</w:t>
            </w: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KIM K.W. RUCKER</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Kim K.W. Rucker</w:t>
            </w: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PAUL W. SCHMIDT</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Paul W. Schmidt</w:t>
            </w: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/s/ GREGORY T. SWIENTON</w:t>
            </w:r>
          </w:p>
        </w:tc>
        <w:tc>
          <w:tcPr>
            <w:tcW w:w="546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auto"/>
                <w:w w:val="90"/>
              </w:rPr>
              <w:t>February 18, 2020</w:t>
            </w:r>
          </w:p>
        </w:tc>
        <w:tc>
          <w:tcPr>
            <w:tcW w:w="0" w:type="dxa"/>
            <w:vAlign w:val="bottom"/>
          </w:tcPr>
          <w:p>
            <w:pPr>
              <w:spacing w:after="0"/>
              <w:rPr>
                <w:sz w:val="1"/>
                <w:szCs w:val="1"/>
                <w:color w:val="auto"/>
              </w:rPr>
            </w:pPr>
          </w:p>
        </w:tc>
      </w:tr>
      <w:tr>
        <w:trPr>
          <w:trHeight w:val="26"/>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20" w:type="dxa"/>
            <w:vAlign w:val="bottom"/>
            <w:gridSpan w:val="3"/>
          </w:tcPr>
          <w:p>
            <w:pPr>
              <w:ind w:left="40"/>
              <w:spacing w:after="0"/>
              <w:rPr>
                <w:sz w:val="20"/>
                <w:szCs w:val="20"/>
                <w:color w:val="auto"/>
              </w:rPr>
            </w:pPr>
            <w:r>
              <w:rPr>
                <w:rFonts w:ascii="Arial" w:cs="Arial" w:eastAsia="Arial" w:hAnsi="Arial"/>
                <w:sz w:val="17"/>
                <w:szCs w:val="17"/>
                <w:color w:val="auto"/>
              </w:rPr>
              <w:t>Gregory T. Swienton</w:t>
            </w: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380"/>
          </w:cols>
          <w:pgMar w:left="240" w:top="686" w:right="279" w:bottom="1440" w:gutter="0" w:footer="0" w:header="0"/>
        </w:sectPr>
      </w:pPr>
    </w:p>
    <w:bookmarkStart w:id="97" w:name="page98"/>
    <w:bookmarkEnd w:id="97"/>
    <w:p>
      <w:pPr>
        <w:ind w:left="3400"/>
        <w:spacing w:after="0"/>
        <w:rPr>
          <w:sz w:val="20"/>
          <w:szCs w:val="20"/>
          <w:color w:val="auto"/>
        </w:rPr>
      </w:pPr>
      <w:r>
        <w:rPr>
          <w:rFonts w:ascii="Arial" w:cs="Arial" w:eastAsia="Arial" w:hAnsi="Arial"/>
          <w:sz w:val="17"/>
          <w:szCs w:val="17"/>
          <w:b w:val="1"/>
          <w:bCs w:val="1"/>
          <w:color w:val="auto"/>
        </w:rPr>
        <w:t>LENNOX INTERNATIONAL INC.</w:t>
      </w:r>
    </w:p>
    <w:p>
      <w:pPr>
        <w:spacing w:after="0" w:line="377" w:lineRule="exact"/>
        <w:rPr>
          <w:sz w:val="20"/>
          <w:szCs w:val="20"/>
          <w:color w:val="auto"/>
        </w:rPr>
      </w:pPr>
    </w:p>
    <w:p>
      <w:pPr>
        <w:jc w:val="center"/>
        <w:ind w:left="2280" w:right="740"/>
        <w:spacing w:after="0" w:line="414" w:lineRule="auto"/>
        <w:rPr>
          <w:sz w:val="20"/>
          <w:szCs w:val="20"/>
          <w:color w:val="auto"/>
        </w:rPr>
      </w:pPr>
      <w:r>
        <w:rPr>
          <w:rFonts w:ascii="Arial" w:cs="Arial" w:eastAsia="Arial" w:hAnsi="Arial"/>
          <w:sz w:val="17"/>
          <w:szCs w:val="17"/>
          <w:b w:val="1"/>
          <w:bCs w:val="1"/>
          <w:color w:val="auto"/>
        </w:rPr>
        <w:t>SCHEDULE II - VALUATION AND QUALIFYING ACCOUNTS AND RESERVES For the Years Ended December 31, 2019, 2018 and 2017 (In millions)</w:t>
      </w:r>
    </w:p>
    <w:p>
      <w:pPr>
        <w:spacing w:after="0" w:line="385"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Additions</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7"/>
              </w:rPr>
              <w:t>Balance at</w:t>
            </w:r>
          </w:p>
        </w:tc>
        <w:tc>
          <w:tcPr>
            <w:tcW w:w="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charged to</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6"/>
              </w:rPr>
              <w:t>beginning</w:t>
            </w:r>
          </w:p>
        </w:tc>
        <w:tc>
          <w:tcPr>
            <w:tcW w:w="14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cost and</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Balance at</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of year</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expenses</w:t>
            </w:r>
          </w:p>
        </w:tc>
        <w:tc>
          <w:tcPr>
            <w:tcW w:w="980" w:type="dxa"/>
            <w:vAlign w:val="bottom"/>
            <w:gridSpan w:val="3"/>
          </w:tcPr>
          <w:p>
            <w:pPr>
              <w:ind w:left="100"/>
              <w:spacing w:after="0"/>
              <w:rPr>
                <w:sz w:val="20"/>
                <w:szCs w:val="20"/>
                <w:color w:val="auto"/>
              </w:rPr>
            </w:pPr>
            <w:r>
              <w:rPr>
                <w:rFonts w:ascii="Arial" w:cs="Arial" w:eastAsia="Arial" w:hAnsi="Arial"/>
                <w:sz w:val="16"/>
                <w:szCs w:val="16"/>
                <w:b w:val="1"/>
                <w:bCs w:val="1"/>
                <w:color w:val="auto"/>
              </w:rPr>
              <w:t>Write-offs</w:t>
            </w:r>
          </w:p>
        </w:tc>
        <w:tc>
          <w:tcPr>
            <w:tcW w:w="960" w:type="dxa"/>
            <w:vAlign w:val="bottom"/>
            <w:gridSpan w:val="3"/>
          </w:tcPr>
          <w:p>
            <w:pPr>
              <w:ind w:left="80"/>
              <w:spacing w:after="0"/>
              <w:rPr>
                <w:sz w:val="20"/>
                <w:szCs w:val="20"/>
                <w:color w:val="auto"/>
              </w:rPr>
            </w:pPr>
            <w:r>
              <w:rPr>
                <w:rFonts w:ascii="Arial" w:cs="Arial" w:eastAsia="Arial" w:hAnsi="Arial"/>
                <w:sz w:val="16"/>
                <w:szCs w:val="16"/>
                <w:b w:val="1"/>
                <w:bCs w:val="1"/>
                <w:color w:val="auto"/>
              </w:rPr>
              <w:t>Recoveries</w:t>
            </w:r>
          </w:p>
        </w:tc>
        <w:tc>
          <w:tcPr>
            <w:tcW w:w="18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end of year</w:t>
            </w:r>
          </w:p>
        </w:tc>
        <w:tc>
          <w:tcPr>
            <w:tcW w:w="0" w:type="dxa"/>
            <w:vAlign w:val="bottom"/>
          </w:tcPr>
          <w:p>
            <w:pPr>
              <w:spacing w:after="0"/>
              <w:rPr>
                <w:sz w:val="1"/>
                <w:szCs w:val="1"/>
                <w:color w:val="auto"/>
              </w:rPr>
            </w:pPr>
          </w:p>
        </w:tc>
      </w:tr>
      <w:tr>
        <w:trPr>
          <w:trHeight w:val="32"/>
        </w:trPr>
        <w:tc>
          <w:tcPr>
            <w:tcW w:w="2480" w:type="dxa"/>
            <w:vAlign w:val="bottom"/>
            <w:vMerge w:val="restart"/>
          </w:tcPr>
          <w:p>
            <w:pPr>
              <w:jc w:val="right"/>
              <w:ind w:right="2033"/>
              <w:spacing w:after="0"/>
              <w:rPr>
                <w:sz w:val="20"/>
                <w:szCs w:val="20"/>
                <w:color w:val="auto"/>
              </w:rPr>
            </w:pPr>
            <w:r>
              <w:rPr>
                <w:rFonts w:ascii="Arial" w:cs="Arial" w:eastAsia="Arial" w:hAnsi="Arial"/>
                <w:sz w:val="17"/>
                <w:szCs w:val="17"/>
                <w:b w:val="1"/>
                <w:bCs w:val="1"/>
                <w:color w:val="auto"/>
                <w:w w:val="89"/>
              </w:rPr>
              <w:t>2017</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4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w w:val="97"/>
              </w:rPr>
              <w:t>Allowance for doubtful accounts $</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34"/>
        </w:trPr>
        <w:tc>
          <w:tcPr>
            <w:tcW w:w="2480" w:type="dxa"/>
            <w:vAlign w:val="bottom"/>
          </w:tcPr>
          <w:p>
            <w:pPr>
              <w:jc w:val="right"/>
              <w:ind w:right="2033"/>
              <w:spacing w:after="0"/>
              <w:rPr>
                <w:sz w:val="20"/>
                <w:szCs w:val="20"/>
                <w:color w:val="auto"/>
              </w:rPr>
            </w:pPr>
            <w:r>
              <w:rPr>
                <w:rFonts w:ascii="Arial" w:cs="Arial" w:eastAsia="Arial" w:hAnsi="Arial"/>
                <w:sz w:val="17"/>
                <w:szCs w:val="17"/>
                <w:b w:val="1"/>
                <w:bCs w:val="1"/>
                <w:color w:val="auto"/>
                <w:w w:val="89"/>
              </w:rPr>
              <w:t>2018</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w w:val="97"/>
              </w:rPr>
              <w:t>Allowance for doubtful accounts $</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34"/>
        </w:trPr>
        <w:tc>
          <w:tcPr>
            <w:tcW w:w="2480" w:type="dxa"/>
            <w:vAlign w:val="bottom"/>
          </w:tcPr>
          <w:p>
            <w:pPr>
              <w:jc w:val="right"/>
              <w:ind w:right="2033"/>
              <w:spacing w:after="0"/>
              <w:rPr>
                <w:sz w:val="20"/>
                <w:szCs w:val="20"/>
                <w:color w:val="auto"/>
              </w:rPr>
            </w:pPr>
            <w:r>
              <w:rPr>
                <w:rFonts w:ascii="Arial" w:cs="Arial" w:eastAsia="Arial" w:hAnsi="Arial"/>
                <w:sz w:val="17"/>
                <w:szCs w:val="17"/>
                <w:b w:val="1"/>
                <w:bCs w:val="1"/>
                <w:color w:val="auto"/>
                <w:w w:val="89"/>
              </w:rPr>
              <w:t>2019</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w w:val="97"/>
              </w:rPr>
              <w:t>Allowance for doubtful accounts $</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911"/>
        </w:trPr>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ind w:left="420"/>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02" w:right="1440" w:bottom="1440" w:gutter="0" w:footer="0" w:header="0"/>
        </w:sectPr>
      </w:pPr>
    </w:p>
    <w:bookmarkStart w:id="98" w:name="page99"/>
    <w:bookmarkEnd w:id="98"/>
    <w:p>
      <w:pPr>
        <w:ind w:left="10500"/>
        <w:spacing w:after="0"/>
        <w:rPr>
          <w:sz w:val="20"/>
          <w:szCs w:val="20"/>
          <w:color w:val="auto"/>
        </w:rPr>
      </w:pPr>
      <w:r>
        <w:rPr>
          <w:rFonts w:ascii="Arial" w:cs="Arial" w:eastAsia="Arial" w:hAnsi="Arial"/>
          <w:sz w:val="16"/>
          <w:szCs w:val="16"/>
          <w:b w:val="1"/>
          <w:bCs w:val="1"/>
          <w:color w:val="auto"/>
        </w:rPr>
        <w:t>Exhibit 4.[7]</w:t>
      </w:r>
    </w:p>
    <w:p>
      <w:pPr>
        <w:spacing w:after="0" w:line="233" w:lineRule="exact"/>
        <w:rPr>
          <w:sz w:val="20"/>
          <w:szCs w:val="20"/>
          <w:color w:val="auto"/>
        </w:rPr>
      </w:pPr>
    </w:p>
    <w:p>
      <w:pPr>
        <w:jc w:val="center"/>
        <w:ind w:left="1500" w:right="60"/>
        <w:spacing w:after="0" w:line="294" w:lineRule="auto"/>
        <w:rPr>
          <w:sz w:val="20"/>
          <w:szCs w:val="20"/>
          <w:color w:val="auto"/>
        </w:rPr>
      </w:pPr>
      <w:r>
        <w:rPr>
          <w:rFonts w:ascii="Arial" w:cs="Arial" w:eastAsia="Arial" w:hAnsi="Arial"/>
          <w:sz w:val="17"/>
          <w:szCs w:val="17"/>
          <w:b w:val="1"/>
          <w:bCs w:val="1"/>
          <w:color w:val="auto"/>
        </w:rPr>
        <w:t>DESCRIPTION OF THE REGISTRANT’S SECURITIES REGISTERED PURSUANT TO SECTION 12 OF THE SECURITIES AND EXCHANGE ACT OF 1934</w:t>
      </w:r>
    </w:p>
    <w:p>
      <w:pPr>
        <w:spacing w:after="0" w:line="1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February 7, 2020, Lennox International Inc. has two classes of securities registered under Section 12 of the Securities Exchange Act of 1934, as amended (the “Exchange Act”): (1) our Common Stock and (2) our 3.000% Notes due 2023.</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Common Stock</w:t>
      </w:r>
    </w:p>
    <w:p>
      <w:pPr>
        <w:spacing w:after="0" w:line="2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The following summary of our capital stock is based on and qualified by our Restated Certificate of Incorporation and Amended and Restated Bylaws. For a complete description of the terms and provisions of our Capital Stock, refer to our Restated Certificate of Incorporation and Amended and Restated Bylaws, both of which are filed as exhibits to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227" w:lineRule="exact"/>
        <w:rPr>
          <w:sz w:val="20"/>
          <w:szCs w:val="20"/>
          <w:color w:val="auto"/>
        </w:rPr>
      </w:pPr>
    </w:p>
    <w:p>
      <w:pPr>
        <w:jc w:val="both"/>
        <w:ind w:right="260"/>
        <w:spacing w:after="0" w:line="271" w:lineRule="auto"/>
        <w:rPr>
          <w:sz w:val="20"/>
          <w:szCs w:val="20"/>
          <w:color w:val="auto"/>
        </w:rPr>
      </w:pPr>
      <w:r>
        <w:rPr>
          <w:rFonts w:ascii="Arial" w:cs="Arial" w:eastAsia="Arial" w:hAnsi="Arial"/>
          <w:sz w:val="17"/>
          <w:szCs w:val="17"/>
          <w:color w:val="auto"/>
        </w:rPr>
        <w:t>Our authorized capital stock consists of 200,000,000 shares of common stock, par value $0.01 per share (“Common Stock”), and 25,000,000 shares of preferred stock, par value $0.01 per share (“Preferred Stock”). The outstanding shares of our Common Stock are legally issued, fully paid and nonassessable. There are no shares of Preferred Stock currently outstanding.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227"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The holders of our Common Stock are entitled to one vote per share on all matters to be voted on by stockholders. Generally, all matters to be voted on by stockholders must be approved by a majority (or, in the case of a contested election of directors, by a plurality) of the votes entitled to be cast by all shares of Common Stock present in person or represented by proxy, voting together as a single class, except as may be required by law and subject to any voting rights granted to holders of any Preferred Stock. However, the removal of a director from office for cause, the approval and authorization of specified business combinations and amendments to specified provisions of our certificate of incorporation and bylaws each require the approval of not less than 80% of our voting stock, voting together as a single class. The Common Stock does not have cumulative voting rights.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Rights</w:t>
      </w:r>
    </w:p>
    <w:p>
      <w:pPr>
        <w:spacing w:after="0" w:line="22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Subject to the prior rights of the holders of any shares of our Preferred Stock, the holders of shares of our Common Stock shall be entitled to receive, to the extent permitted by law, such dividends as may be declared from time to time by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Rights</w:t>
      </w:r>
    </w:p>
    <w:p>
      <w:pPr>
        <w:spacing w:after="0" w:line="22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our liquidation, dissolution or winding up, after payment in full of the amounts required to be paid to holders of Preferred Stock, if any, all holders of shares of Common Stock are entitled to share ratably in any assets available for distribution to holders of shares of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Classified Board of Directors; Removal; Number of Directors; Filling Vacancies</w:t>
      </w:r>
    </w:p>
    <w:p>
      <w:pPr>
        <w:spacing w:after="0" w:line="22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Our certificate of incorporation and bylaws provide that our board of directors shall be divided into three classes, with the classes to be as nearly equal in number as possible. The term of office of each class shall expire at the third annual meeting of stockholders for the election of directors following the election of such class. Each director is to hold office until his or her successor is duly elected and qualified, or until his or her earlier resignation or removal.</w:t>
      </w:r>
    </w:p>
    <w:p>
      <w:pPr>
        <w:spacing w:after="0" w:line="15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Our bylaws provide that any vacancies will be filled only by the affirmative vote of a majority of the remaining directors, even if less than a quorum. Accordingly, absent an amendment to the bylaws, our board of directors could prevent any stockholder from enlarging our board of directors and filling the new directorships with such stockholder’s own nominees. Moreover, our certificate of incorporation and bylaws provide that directors may be removed only for cause and only upon the affirmative vote of holders of at least 80% of our voting stock at a special meeting of stockholders called expressly for that purpose.</w:t>
      </w:r>
    </w:p>
    <w:p>
      <w:pPr>
        <w:spacing w:after="0" w:line="162"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The classification of directors could have the effect of making it more difficult for stockholders to change the composition of our board of directors. The classification provisions could also have the effect of discouraging a third party from initiating a proxy contest, making a tender offer or otherwise attempting to obtain control of us, even though such an attempt might be beneficial to us and our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 Stockholder Action by Written Consent; Special Meetings</w:t>
      </w:r>
    </w:p>
    <w:p>
      <w:pPr>
        <w:spacing w:after="0" w:line="221"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Our certificate of incorporation and bylaws provide that stockholder action can be taken only at an annual or special meeting of stockholders and stockholder action may not be taken by written consent in lieu of a meeting. Special meetings of stockholders can be called only by our board of directors by a resolution adopted by a majority of our board of directors, or by the chairman of the board, vice chairman or the president.</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certificate of incorporation and bylaws prohibit stockholder action by written consent and permit special meetings to be called only by the chairman, vice chairman or president, or at the request of a majority of our board or directors, may have the effect of delaying consideration of a stockholder proposal until the next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Rights and Preferences</w:t>
      </w:r>
    </w:p>
    <w:p>
      <w:pPr>
        <w:spacing w:after="0" w:line="227"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The Common Stock has no sinking fund or redemption provisions and does not have any preemptive, subscription or conversion rights. Additional shares of authorized common stock may be issued, as authorized by our board of directors from time to time, without stockholder approval, except as may be required by applicable stock exchange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is listed on the New York Stock Exchange under the symbol “LII.”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Notes</w:t>
      </w:r>
    </w:p>
    <w:p>
      <w:pPr>
        <w:sectPr>
          <w:pgSz w:w="11900" w:h="16838" w:orient="portrait"/>
          <w:cols w:equalWidth="0" w:num="1">
            <w:col w:w="11420"/>
          </w:cols>
          <w:pgMar w:left="240" w:top="329" w:right="239" w:bottom="0" w:gutter="0" w:footer="0" w:header="0"/>
        </w:sectPr>
      </w:pPr>
    </w:p>
    <w:bookmarkStart w:id="99" w:name="page100"/>
    <w:bookmarkEnd w:id="99"/>
    <w:p>
      <w:pPr>
        <w:spacing w:after="0" w:line="313" w:lineRule="auto"/>
        <w:rPr>
          <w:sz w:val="20"/>
          <w:szCs w:val="20"/>
          <w:color w:val="auto"/>
        </w:rPr>
      </w:pPr>
      <w:r>
        <w:rPr>
          <w:rFonts w:ascii="Arial" w:cs="Arial" w:eastAsia="Arial" w:hAnsi="Arial"/>
          <w:sz w:val="17"/>
          <w:szCs w:val="17"/>
          <w:i w:val="1"/>
          <w:iCs w:val="1"/>
          <w:color w:val="auto"/>
        </w:rPr>
        <w:t>The following description of our 3.000% Notes due 2023 (the “notes”), is only a summary of the material provisions of the notes and the base indenture dated as of May 3, 2010 between Lennox and U.S. Bank National Association, as trustee (the “base indenture”), and the sixth supplemental indenture dated as of November 3, 2016 (the “supplemental indenture,” and together with the base indenture, the “indenture”). This summary does not purport to be complete and is subject to, and is qualified in its entirety by reference to, the Trust Indenture Act of 1939 (the “TIA”), and to all of the provisions of the indenture and those terms made a part of the indenture by reference to the TIA. Reference is made to the indenture for a complete description of the terms and provisions of the notes, as well as any other capitalized terms used herein for which no definition has been provided.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notes were issued in an initial aggregate principal amount of $350,000,000 and will mature on November 15, 2023. The notes were issued only in fully registered form without coupons in minimum denominations of $2,000 and integral multiples of $1,000 above that amount. The notes are not entitled to any sinking fund. The indenture does not limit the amount of notes that we may issue nor does it limit our ability, or the ability of our subsidiaries, to incur or guarantee additional unsecured indebtedness.</w:t>
      </w:r>
    </w:p>
    <w:p>
      <w:pPr>
        <w:spacing w:after="0" w:line="175"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The notes will be our senior unsecured obligations and will rank equally in right of payment to all of our existing and future senior unsecured and unsubordinated indebtedness and will be effectively subordinated to all of our existing and future secured indebtedness to the extent of the value of our assets and the assets of our subsidiaries securing such indebtedness.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w:t>
      </w:r>
    </w:p>
    <w:p>
      <w:pPr>
        <w:spacing w:after="0" w:line="227"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Interest accrues at a rate of 3.000%, payable semi-annually on May 15 and November 15 of each year, to the persons in whose names the notes are registered in the security register at the close of business on the May 1 or November 1 preceding the relevant interest payment date, except that interest payable at maturity will be paid to the same persons to whom principal of the notes is payable. Interest is computed on the notes on the basis of a 360-day year of twelve 30-day months.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Optional Redemption</w:t>
      </w:r>
    </w:p>
    <w:p>
      <w:pPr>
        <w:spacing w:after="0" w:line="22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If the notes are redeemed prior to September 15, 2023, the notes are redeemable at a redemption price, to be calculated by us, equal to the greater of (1) 100% of the principal amount of the notes to be redeemed and (2) the sum of the present values of the remaining scheduled payments of principal and interest on the notes to be redeemed (not including interest accrued to the date of redemption), discounted to the redemption date on a semi-annual basis (assuming a 360-day year consisting of twelve 30-day months) at the Treasury Rate plus 25 basis points, plus, in each case, accrued and unpaid interest on the notes to be redeemed to the date of redemption.</w:t>
      </w:r>
    </w:p>
    <w:p>
      <w:pPr>
        <w:spacing w:after="0" w:line="17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If the notes are redeemed on or after September 15, 2023, the notes are redeemable at a redemption price equal to 100% of the principal amount of such notes plus accrued and unpaid interest thereon to but excluding the redemption date.</w:t>
      </w:r>
    </w:p>
    <w:p>
      <w:pPr>
        <w:spacing w:after="0" w:line="15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Issue</w:t>
      </w:r>
      <w:r>
        <w:rPr>
          <w:rFonts w:ascii="Arial" w:cs="Arial" w:eastAsia="Arial" w:hAnsi="Arial"/>
          <w:sz w:val="17"/>
          <w:szCs w:val="17"/>
          <w:color w:val="auto"/>
        </w:rPr>
        <w:t>” means the United States Treasury security selected by an Independent Investment Banker that would be utilized, at the time of selection and in accordance with customary financial practice, in pricing new issues of corporate debt securities of comparable maturity to the remaining term of the notes.</w:t>
      </w:r>
    </w:p>
    <w:p>
      <w:pPr>
        <w:spacing w:after="0" w:line="2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Price</w:t>
      </w:r>
      <w:r>
        <w:rPr>
          <w:rFonts w:ascii="Arial" w:cs="Arial" w:eastAsia="Arial" w:hAnsi="Arial"/>
          <w:sz w:val="17"/>
          <w:szCs w:val="17"/>
          <w:color w:val="auto"/>
        </w:rPr>
        <w:t>” means, with respect to any redemption date, (1) the average of the Reference Treasury Dealer Quotations for such redemption date, after excluding the highest and lowest of such Reference Treasury Dealer Quotations, or (2) if we obtain fewer than four such Reference Treasury Dealer Quotations, the average of all Quotations obtained.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Independent Investment Banker</w:t>
      </w:r>
      <w:r>
        <w:rPr>
          <w:rFonts w:ascii="Arial" w:cs="Arial" w:eastAsia="Arial" w:hAnsi="Arial"/>
          <w:sz w:val="17"/>
          <w:szCs w:val="17"/>
          <w:color w:val="auto"/>
        </w:rPr>
        <w:t>” means one of the Reference Treasury Dealers appointed by us.</w:t>
      </w:r>
    </w:p>
    <w:p>
      <w:pPr>
        <w:spacing w:after="0" w:line="325"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means each of J.P. Morgan Securities LLC and Wells Fargo Securities, LLC and their respective successors and two other nationally recognized investment banking firms that are Primary Treasury Dealers (as defined below) specified from time to time by us, except that if any of the foregoing ceases to be a primary U.S. government securities dealer in the United States (a “Primary Treasury Dealer”), we will substitute another nationally recognized investment banking firm that is a Primary Treasury Dealer.</w:t>
      </w:r>
    </w:p>
    <w:p>
      <w:pPr>
        <w:spacing w:after="0" w:line="175" w:lineRule="exact"/>
        <w:rPr>
          <w:sz w:val="20"/>
          <w:szCs w:val="20"/>
          <w:color w:val="auto"/>
        </w:rPr>
      </w:pPr>
    </w:p>
    <w:p>
      <w:pPr>
        <w:jc w:val="both"/>
        <w:ind w:right="12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3:30 p.m., New York City time, on the third business day preceding such redemption date.</w:t>
      </w:r>
    </w:p>
    <w:p>
      <w:pPr>
        <w:spacing w:after="0" w:line="15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On and after any redemption date, interest will cease to accrue on the notes called for redemption. Prior to any redemption date, we are required to deposit with a paying agent money sufficient to pay the redemption price of and accrued interest on the notes to be redeemed on such date. If we are redeeming less than all the notes, (a) if the notes are represented by global notes, interests in the global notes will be selected for redemption in accordance with the customary procedures of The Depository Trust Company (“DTC”), or (b) if the notes are represented by notes in certificated form, the trustee under the indenture must select the notes to be redeemed by such method as the trustee deems accordance with methods generally used at the time of selection by fiduciaries in similar circumstances.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of Control Triggering Event</w:t>
      </w:r>
    </w:p>
    <w:p>
      <w:pPr>
        <w:spacing w:after="0" w:line="22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Upon the occurrence of a Change of Control Triggering Event, unless we have exercised our right to redeem the notes as described under “—Optional Redemption” by giving irrevocable notice to the trustee in accordance with the indenture, each holder of notes will have the right to require us to purchase all or a portion of such holder’s notes pursuant to the offer described below (the “Change of Control Offer”), at a purchase price equal to 101% of the principal amount thereof plus accrued and unpaid interest, if any, to the date of purchase (the “Change of Control Payment”), subject to the rights of holders of notes on the relevant record date to receive interest due on the relevant interest payment date.</w:t>
      </w:r>
    </w:p>
    <w:p>
      <w:pPr>
        <w:spacing w:after="0" w:line="179"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Unless we have exercised our right to redeem the notes, within 30 days following the date upon which the Change of Control Triggering Event occurs with respect to the notes, or at our option, prior to any Change of Control but after the public announcement of the pending Change of Control, we will be required to send a notice to each holder of notes, with a copy to the trustee, which notice will govern the terms of the Change of Control Offer. Such notice will state, among other things, the purchase date, which must be no earlier than 30 days nor later than 60 days from the date such notice is sent, other than as may be required by law (the</w:t>
      </w:r>
    </w:p>
    <w:p>
      <w:pPr>
        <w:sectPr>
          <w:pgSz w:w="11900" w:h="16838" w:orient="portrait"/>
          <w:cols w:equalWidth="0" w:num="1">
            <w:col w:w="11420"/>
          </w:cols>
          <w:pgMar w:left="240" w:top="153" w:right="239" w:bottom="0" w:gutter="0" w:footer="0" w:header="0"/>
        </w:sectPr>
      </w:pPr>
    </w:p>
    <w:bookmarkStart w:id="100" w:name="page101"/>
    <w:bookmarkEnd w:id="100"/>
    <w:p>
      <w:pPr>
        <w:ind w:right="180"/>
        <w:spacing w:after="0" w:line="286" w:lineRule="auto"/>
        <w:rPr>
          <w:sz w:val="20"/>
          <w:szCs w:val="20"/>
          <w:color w:val="auto"/>
        </w:rPr>
      </w:pPr>
      <w:r>
        <w:rPr>
          <w:rFonts w:ascii="Arial" w:cs="Arial" w:eastAsia="Arial" w:hAnsi="Arial"/>
          <w:sz w:val="17"/>
          <w:szCs w:val="17"/>
          <w:color w:val="auto"/>
        </w:rPr>
        <w:t>“Change of Control Payment Date”). The notice, if sent prior to the date of consummation of the Change of Control, will state that the Change of Control Offer is conditioned on the Change of Control being consummated on or prior to the Change of Control Payment Date.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On the Change of Control Payment Date, we will, to the extent lawful:</w:t>
      </w:r>
    </w:p>
    <w:p>
      <w:pPr>
        <w:spacing w:after="0" w:line="234" w:lineRule="exact"/>
        <w:rPr>
          <w:sz w:val="20"/>
          <w:szCs w:val="20"/>
          <w:color w:val="auto"/>
        </w:rPr>
      </w:pPr>
    </w:p>
    <w:p>
      <w:pPr>
        <w:ind w:left="680" w:hanging="311"/>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accept or cause a third party to accept for payment all notes or portions of notes properly tendered pursuant to the Change of Control Offer;</w:t>
      </w:r>
    </w:p>
    <w:p>
      <w:pPr>
        <w:spacing w:after="0" w:line="247" w:lineRule="exact"/>
        <w:rPr>
          <w:rFonts w:ascii="Arial" w:cs="Arial" w:eastAsia="Arial" w:hAnsi="Arial"/>
          <w:sz w:val="17"/>
          <w:szCs w:val="17"/>
          <w:color w:val="auto"/>
        </w:rPr>
      </w:pPr>
    </w:p>
    <w:p>
      <w:pPr>
        <w:ind w:left="680" w:right="340" w:hanging="311"/>
        <w:spacing w:after="0" w:line="302"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deposit or cause a third party to deposit with the paying agent an amount equal to the Change of Control Payment in respect of all notes or portions of notes properly tendered; and</w:t>
      </w:r>
    </w:p>
    <w:p>
      <w:pPr>
        <w:spacing w:after="0" w:line="159" w:lineRule="exact"/>
        <w:rPr>
          <w:rFonts w:ascii="Arial" w:cs="Arial" w:eastAsia="Arial" w:hAnsi="Arial"/>
          <w:sz w:val="17"/>
          <w:szCs w:val="17"/>
          <w:color w:val="auto"/>
        </w:rPr>
      </w:pPr>
    </w:p>
    <w:p>
      <w:pPr>
        <w:ind w:left="680" w:hanging="311"/>
        <w:spacing w:after="0" w:line="287"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deliver or cause to be delivered to the trustee the notes properly accepted together with an officers’ certificate stating the aggregate principal amount of notes or portions of notes being repurchased and that all conditions precedent to the Change of Control Offer and to the repurchase by us of notes pursuant to the Change of Control Offer have been complied with.</w:t>
      </w:r>
    </w:p>
    <w:p>
      <w:pPr>
        <w:spacing w:after="0" w:line="158" w:lineRule="exact"/>
        <w:rPr>
          <w:sz w:val="20"/>
          <w:szCs w:val="20"/>
          <w:color w:val="auto"/>
        </w:rPr>
      </w:pPr>
    </w:p>
    <w:p>
      <w:pPr>
        <w:ind w:right="40"/>
        <w:spacing w:after="0" w:line="356" w:lineRule="auto"/>
        <w:rPr>
          <w:sz w:val="20"/>
          <w:szCs w:val="20"/>
          <w:color w:val="auto"/>
        </w:rPr>
      </w:pPr>
      <w:r>
        <w:rPr>
          <w:rFonts w:ascii="Arial" w:cs="Arial" w:eastAsia="Arial" w:hAnsi="Arial"/>
          <w:sz w:val="15"/>
          <w:szCs w:val="15"/>
          <w:color w:val="auto"/>
        </w:rPr>
        <w:t>We will not be required to make a Change of Control Offer with respect to the notes if a third party makes such an offer in the manner, at the times and otherwise in compliance with the requirements for such an offer made by us and such third party purchases all the notes properly tendered and not withdrawn under its offer.</w:t>
      </w:r>
    </w:p>
    <w:p>
      <w:pPr>
        <w:spacing w:after="0" w:line="11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will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Covenants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Limitation on Consolidation, Merger, Conveyance or Transfer</w:t>
      </w:r>
    </w:p>
    <w:p>
      <w:pPr>
        <w:spacing w:after="0" w:line="22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indenture provides that we may not consolidate with or merge into any other Person in a transaction in which we are not the surviving corporation, or sell, convey, transfer or lease all or substantially all of our assets (on a consolidated basis) to any Person, unless:</w:t>
      </w:r>
    </w:p>
    <w:p>
      <w:pPr>
        <w:spacing w:after="0" w:line="68" w:lineRule="exact"/>
        <w:rPr>
          <w:sz w:val="20"/>
          <w:szCs w:val="20"/>
          <w:color w:val="auto"/>
        </w:rPr>
      </w:pPr>
    </w:p>
    <w:p>
      <w:pPr>
        <w:ind w:left="620" w:right="800" w:hanging="303"/>
        <w:spacing w:after="0" w:line="302"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successor entity, if any, is a U.S. corporation, limited liability company, partnership or trust (subject to certain exceptions provided for in the indenture);</w:t>
      </w:r>
    </w:p>
    <w:p>
      <w:pPr>
        <w:spacing w:after="0" w:line="54" w:lineRule="exact"/>
        <w:rPr>
          <w:rFonts w:ascii="Arial" w:cs="Arial" w:eastAsia="Arial" w:hAnsi="Arial"/>
          <w:sz w:val="17"/>
          <w:szCs w:val="17"/>
          <w:color w:val="auto"/>
        </w:rPr>
      </w:pPr>
    </w:p>
    <w:p>
      <w:pPr>
        <w:ind w:left="620" w:hanging="303"/>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successor entity expressly assumes our obligations on the notes and under the indenture;</w:t>
      </w:r>
    </w:p>
    <w:p>
      <w:pPr>
        <w:spacing w:after="0" w:line="130" w:lineRule="exact"/>
        <w:rPr>
          <w:rFonts w:ascii="Arial" w:cs="Arial" w:eastAsia="Arial" w:hAnsi="Arial"/>
          <w:sz w:val="17"/>
          <w:szCs w:val="17"/>
          <w:color w:val="auto"/>
        </w:rPr>
      </w:pPr>
    </w:p>
    <w:p>
      <w:pPr>
        <w:ind w:left="620" w:right="240" w:hanging="303"/>
        <w:spacing w:after="0" w:line="302"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event of default, and no event, that after notice or lapse of time, or both, would become an event of default, has occurred and is continuing under the indenture; and</w:t>
      </w:r>
    </w:p>
    <w:p>
      <w:pPr>
        <w:spacing w:after="0" w:line="54" w:lineRule="exact"/>
        <w:rPr>
          <w:rFonts w:ascii="Arial" w:cs="Arial" w:eastAsia="Arial" w:hAnsi="Arial"/>
          <w:sz w:val="17"/>
          <w:szCs w:val="17"/>
          <w:color w:val="auto"/>
        </w:rPr>
      </w:pPr>
    </w:p>
    <w:p>
      <w:pPr>
        <w:ind w:left="620" w:hanging="303"/>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certain other conditions under the indenture are met.</w:t>
      </w:r>
    </w:p>
    <w:p>
      <w:pPr>
        <w:spacing w:after="0" w:line="117"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In such event, we will be discharged from all obligations and covenants under the indenture and the notes and may be liquidated and dissolved. The successor Person formed by such consolidation or into which we are merged or to which such sale, conveyance, transfer or lease is made will succeed to, and be substituted for, and may exercise all of our rights and powers under the indenture with the same effect as if such successor had been named as the Company in the indenture.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Limitations on Liens</w:t>
      </w:r>
    </w:p>
    <w:p>
      <w:pPr>
        <w:spacing w:after="0" w:line="2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will not, and will not permit any Material Subsidiary to, create, assume or guarantee any indebtedness for money borrowed that is secured by Liens on any Principal Property without making effective provision for securing the notes equally and ratably with such indebtedness, except that the foregoing restrictions will not apply to:</w:t>
      </w:r>
    </w:p>
    <w:p>
      <w:pPr>
        <w:spacing w:after="0" w:line="80" w:lineRule="exact"/>
        <w:rPr>
          <w:sz w:val="20"/>
          <w:szCs w:val="20"/>
          <w:color w:val="auto"/>
        </w:rPr>
      </w:pPr>
    </w:p>
    <w:p>
      <w:pPr>
        <w:ind w:left="620" w:right="120" w:hanging="303"/>
        <w:spacing w:after="0" w:line="302"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Liens on Principal Property existing at the time we or a Material Subsidiary acquired or leased the Principal Property, including Principal Property owned by us or a Material Subsidiary through a merger or similar transaction;</w:t>
      </w:r>
    </w:p>
    <w:p>
      <w:pPr>
        <w:spacing w:after="0" w:line="54" w:lineRule="exact"/>
        <w:rPr>
          <w:rFonts w:ascii="Arial" w:cs="Arial" w:eastAsia="Arial" w:hAnsi="Arial"/>
          <w:sz w:val="17"/>
          <w:szCs w:val="17"/>
          <w:color w:val="auto"/>
        </w:rPr>
      </w:pPr>
    </w:p>
    <w:p>
      <w:pPr>
        <w:ind w:left="620" w:right="280" w:hanging="303"/>
        <w:spacing w:after="0" w:line="312" w:lineRule="auto"/>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Liens on any Principal Property acquired, constructed or improved by us or any Material Subsidiary after the date of the supplemental indenture, which Liens are created or assumed contemporaneously with, or within 180 days of, such acquisition, construction or improvement and which are created to secure, or provide for the payment of, all or any part of the cost of such acquisition, construction or improvement;</w:t>
      </w:r>
    </w:p>
    <w:p>
      <w:pPr>
        <w:spacing w:after="0" w:line="50" w:lineRule="exact"/>
        <w:rPr>
          <w:rFonts w:ascii="Arial" w:cs="Arial" w:eastAsia="Arial" w:hAnsi="Arial"/>
          <w:sz w:val="16"/>
          <w:szCs w:val="16"/>
          <w:color w:val="auto"/>
        </w:rPr>
      </w:pPr>
    </w:p>
    <w:p>
      <w:pPr>
        <w:ind w:left="620" w:hanging="303"/>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Liens on property of any Person existing at the time such Person becomes a Material Subsidiary;</w:t>
      </w:r>
    </w:p>
    <w:p>
      <w:pPr>
        <w:spacing w:after="0" w:line="130" w:lineRule="exact"/>
        <w:rPr>
          <w:rFonts w:ascii="Arial" w:cs="Arial" w:eastAsia="Arial" w:hAnsi="Arial"/>
          <w:sz w:val="17"/>
          <w:szCs w:val="17"/>
          <w:color w:val="auto"/>
        </w:rPr>
      </w:pPr>
    </w:p>
    <w:p>
      <w:pPr>
        <w:ind w:left="620" w:hanging="303"/>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Permitted Credit Agreement Lien;</w:t>
      </w:r>
    </w:p>
    <w:p>
      <w:pPr>
        <w:spacing w:after="0" w:line="130" w:lineRule="exact"/>
        <w:rPr>
          <w:rFonts w:ascii="Arial" w:cs="Arial" w:eastAsia="Arial" w:hAnsi="Arial"/>
          <w:sz w:val="17"/>
          <w:szCs w:val="17"/>
          <w:color w:val="auto"/>
        </w:rPr>
      </w:pPr>
    </w:p>
    <w:p>
      <w:pPr>
        <w:ind w:left="620" w:hanging="303"/>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Lien renewing, extending, refinancing or replacing any Lien referred to above; or</w:t>
      </w:r>
    </w:p>
    <w:p>
      <w:pPr>
        <w:spacing w:after="0" w:line="130" w:lineRule="exact"/>
        <w:rPr>
          <w:rFonts w:ascii="Arial" w:cs="Arial" w:eastAsia="Arial" w:hAnsi="Arial"/>
          <w:sz w:val="17"/>
          <w:szCs w:val="17"/>
          <w:color w:val="auto"/>
        </w:rPr>
      </w:pPr>
    </w:p>
    <w:p>
      <w:pPr>
        <w:ind w:left="620" w:right="20" w:hanging="303"/>
        <w:spacing w:after="0" w:line="282"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other Liens on any of our or our subsidiaries’ assets or properties that secure indebtedness, liabilities and obligations of us or our subsidiaries in an aggregate outstanding amount which, together with all Attributable Debt of ours and any of our subsidiaries then outstanding in respect of Sale and Leaseback Transactions that are entered into pursuant to the final paragraph under “—Limitations on sale and leaseback transactions” below and are still in existence, does not exceed 15% of our Consolidated Net Tangible Assets.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Limitations on Sale and Leaseback Transactions</w:t>
      </w:r>
    </w:p>
    <w:p>
      <w:pPr>
        <w:spacing w:after="0" w:line="2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will not, and will not permit any of our Material Subsidiaries to, enter into any arrangement with any person providing for the leasing by us or any Material Subsidiary of any Principal Property that has been or is to be sold or transferred by us or such Material Subsidiary to such person with the intention of taking back a lease of such property (a “Sale and Leaseback Transaction”), unless:</w:t>
      </w:r>
    </w:p>
    <w:p>
      <w:pPr>
        <w:spacing w:after="0" w:line="80" w:lineRule="exact"/>
        <w:rPr>
          <w:sz w:val="20"/>
          <w:szCs w:val="20"/>
          <w:color w:val="auto"/>
        </w:rPr>
      </w:pPr>
    </w:p>
    <w:p>
      <w:pPr>
        <w:ind w:left="620" w:right="80" w:hanging="303"/>
        <w:spacing w:after="0" w:line="287"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or such Material Subsidiary would be entitled to incur indebtedness at least equal in amount to the Attributable Debt with respect to such Sale and Leaseback Transaction secured by a Lien on such Principal Property under one of the exceptions for Liens set forth in the first five bullet points under “— Limitations on Liens” above without equally and ratably securing the notes;</w:t>
      </w:r>
    </w:p>
    <w:p>
      <w:pPr>
        <w:spacing w:after="0" w:line="66" w:lineRule="exact"/>
        <w:rPr>
          <w:rFonts w:ascii="Arial" w:cs="Arial" w:eastAsia="Arial" w:hAnsi="Arial"/>
          <w:sz w:val="17"/>
          <w:szCs w:val="17"/>
          <w:color w:val="auto"/>
        </w:rPr>
      </w:pPr>
    </w:p>
    <w:p>
      <w:pPr>
        <w:ind w:left="620" w:right="140" w:hanging="303"/>
        <w:spacing w:after="0" w:line="312"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amount equal to the greater of (1) the net proceeds of the sale or transfer and (2) the Attributable Debt of the Principal Property sold (as determined by us) is applied within 180 days to the voluntary retirement of notes or other indebtedness of the Company (other than indebtedness subordinated to the notes) or a Material Subsidiary, for money borrowed, maturing more than 12 months after the voluntary retirement;</w:t>
      </w:r>
    </w:p>
    <w:p>
      <w:pPr>
        <w:spacing w:after="0" w:line="50" w:lineRule="exact"/>
        <w:rPr>
          <w:rFonts w:ascii="Arial" w:cs="Arial" w:eastAsia="Arial" w:hAnsi="Arial"/>
          <w:sz w:val="16"/>
          <w:szCs w:val="16"/>
          <w:color w:val="auto"/>
        </w:rPr>
      </w:pPr>
    </w:p>
    <w:p>
      <w:pPr>
        <w:ind w:left="620" w:right="780" w:hanging="303"/>
        <w:spacing w:after="0" w:line="302"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lease is executed at the time of, or within 12 months after the latest of, the acquisition, the completion of construction or improvement or the commencement of substantial commercial operation of the applicable Principal Property;</w:t>
      </w:r>
    </w:p>
    <w:p>
      <w:pPr>
        <w:sectPr>
          <w:pgSz w:w="11900" w:h="16838" w:orient="portrait"/>
          <w:cols w:equalWidth="0" w:num="1">
            <w:col w:w="11420"/>
          </w:cols>
          <w:pgMar w:left="240" w:top="127" w:right="239" w:bottom="0" w:gutter="0" w:footer="0" w:header="0"/>
        </w:sectPr>
      </w:pPr>
    </w:p>
    <w:bookmarkStart w:id="101" w:name="page102"/>
    <w:bookmarkEnd w:id="101"/>
    <w:p>
      <w:pPr>
        <w:ind w:left="620" w:right="660" w:hanging="303"/>
        <w:spacing w:after="0" w:line="302" w:lineRule="auto"/>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lease payment in such Sale and Leaseback Transaction is created in connection with a project financed with, and such obligation constitutes, a Nonrecourse Obligation;</w:t>
      </w:r>
    </w:p>
    <w:p>
      <w:pPr>
        <w:spacing w:after="0" w:line="54" w:lineRule="exact"/>
        <w:rPr>
          <w:rFonts w:ascii="Arial" w:cs="Arial" w:eastAsia="Arial" w:hAnsi="Arial"/>
          <w:sz w:val="17"/>
          <w:szCs w:val="17"/>
          <w:color w:val="auto"/>
        </w:rPr>
      </w:pPr>
    </w:p>
    <w:p>
      <w:pPr>
        <w:ind w:left="620" w:hanging="303"/>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lease is for a period not exceeding three years; or</w:t>
      </w:r>
    </w:p>
    <w:p>
      <w:pPr>
        <w:spacing w:after="0" w:line="130" w:lineRule="exact"/>
        <w:rPr>
          <w:rFonts w:ascii="Arial" w:cs="Arial" w:eastAsia="Arial" w:hAnsi="Arial"/>
          <w:sz w:val="17"/>
          <w:szCs w:val="17"/>
          <w:color w:val="auto"/>
        </w:rPr>
      </w:pPr>
    </w:p>
    <w:p>
      <w:pPr>
        <w:ind w:left="620" w:hanging="303"/>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lease is with us or another Material Subsidiary.</w:t>
      </w:r>
    </w:p>
    <w:p>
      <w:pPr>
        <w:spacing w:after="0" w:line="325"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Notwithstanding the foregoing, we or any of our subsidiaries may enter into a Sale and Leaseback Transaction that would otherwise be subject to the foregoing restrictions if, after giving effect thereto and at the time of determination, the sum of (A) the aggregate principal amount of our and our subsidiaries’ indebtedness secured by Liens permitted solely pursuant to the exception described in the last bullet point under “—Limitations on Liens” above and (B) our and our subsidiaries’ Attributable Debt with respect to such Sale and Leaseback Transaction and all other Sale and Leaseback Transactions entered into pursuant to this paragraph does not exceed 15% of our Consolidated Net 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Definitions Relating to Restrictive Covenants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foregoing discussion of the restrictive covenants under the indenture, the following definitions are applicable:</w:t>
      </w:r>
    </w:p>
    <w:p>
      <w:pPr>
        <w:spacing w:after="0" w:line="22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with regard to a Sale and Leaseback Transaction with respect to any Principal Property means, at the time of determination, the present value of the total net amount of rent required to be paid under the lease during the remaining term thereof (including any period for which the lease has been extended), discounted at the rate of interest set forth or implicit in the terms of the lease (or, if not practicable to determine the rate, the weighted average interest rate per annum borne by the notes then outstanding under the indenture) compounded semi-annually. In the case of any lease that is terminable by the lessee upon the payment of a penalty, the net amount of rent will be the lesser of (x) the net amount determined assuming termination upon the first date the lease may be terminated (in which case the net amount will also include the amount of the penalty, but will not include any rent that would be required to be paid under the lease subsequent to the first date upon which it may be so terminated) or (y) the net amount determined assuming no such termination.</w:t>
      </w:r>
    </w:p>
    <w:p>
      <w:pPr>
        <w:spacing w:after="0" w:line="170" w:lineRule="exact"/>
        <w:rPr>
          <w:sz w:val="20"/>
          <w:szCs w:val="20"/>
          <w:color w:val="auto"/>
        </w:rPr>
      </w:pPr>
    </w:p>
    <w:p>
      <w:pPr>
        <w:jc w:val="both"/>
        <w:ind w:right="140"/>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Capital Lease Obligations</w:t>
      </w:r>
      <w:r>
        <w:rPr>
          <w:rFonts w:ascii="Arial" w:cs="Arial" w:eastAsia="Arial" w:hAnsi="Arial"/>
          <w:sz w:val="15"/>
          <w:szCs w:val="15"/>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Net Tangible Assets</w:t>
      </w:r>
      <w:r>
        <w:rPr>
          <w:rFonts w:ascii="Arial" w:cs="Arial" w:eastAsia="Arial" w:hAnsi="Arial"/>
          <w:sz w:val="15"/>
          <w:szCs w:val="15"/>
          <w:color w:val="auto"/>
        </w:rPr>
        <w:t>” means the aggregate amount of assets (less applicable reserves and other properly deductible items) after deducting therefrom</w:t>
      </w:r>
    </w:p>
    <w:p>
      <w:pPr>
        <w:spacing w:after="0" w:line="48" w:lineRule="exact"/>
        <w:rPr>
          <w:sz w:val="20"/>
          <w:szCs w:val="20"/>
          <w:color w:val="auto"/>
        </w:rPr>
      </w:pPr>
    </w:p>
    <w:p>
      <w:pPr>
        <w:ind w:right="160" w:firstLine="4"/>
        <w:spacing w:after="0" w:line="261" w:lineRule="auto"/>
        <w:tabs>
          <w:tab w:leader="none" w:pos="2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current liabilities (excluding any indebtedness for money borrowed having a maturity of less than 12 months from the date of our most recent consolidated balance sheet but which by its terms is renewable or extendable beyond 12 months from such date at our option) and (b) all goodwill, trade names, patents, unamortized debt discount and expense and any other like intangibles, all as set forth on our most recent consolidated balance sheet and determined in accordance with GAAP.</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Agreement</w:t>
      </w:r>
      <w:r>
        <w:rPr>
          <w:rFonts w:ascii="Arial" w:cs="Arial" w:eastAsia="Arial" w:hAnsi="Arial"/>
          <w:sz w:val="17"/>
          <w:szCs w:val="17"/>
          <w:color w:val="auto"/>
        </w:rPr>
        <w:t>” means the Sixth Amended and Restated Credit Facility Agreement, dated August 30, 2016, among the Company, JPMorgan Chase Bank, N.A., as administrative agent, Bank of America, N.A., Wells Fargo Bank, N.A. and The Bank of Tokyo-Mitsubushi UFJ, LTD., as syndication agents, and the lenders party thereto, as it may be amended, supplemented or otherwise modified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Foreign Subsidiary</w:t>
      </w:r>
      <w:r>
        <w:rPr>
          <w:rFonts w:ascii="Arial" w:cs="Arial" w:eastAsia="Arial" w:hAnsi="Arial"/>
          <w:sz w:val="16"/>
          <w:szCs w:val="16"/>
          <w:color w:val="auto"/>
        </w:rPr>
        <w:t>” means any Foreign Subsidiary in respect of which guaranteeing the notes would result in an adverse tax consequence to us.</w:t>
      </w:r>
    </w:p>
    <w:p>
      <w:pPr>
        <w:spacing w:after="0" w:line="23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Subsidiary</w:t>
      </w:r>
      <w:r>
        <w:rPr>
          <w:rFonts w:ascii="Arial" w:cs="Arial" w:eastAsia="Arial" w:hAnsi="Arial"/>
          <w:sz w:val="17"/>
          <w:szCs w:val="17"/>
          <w:color w:val="auto"/>
        </w:rPr>
        <w:t>” means any subsidiary that is organized under the laws of a jurisdiction other than the United States of America or any State thereof or the District of Columbia.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means generally accepted accounting principles as in effect from time to time in the United States.</w:t>
      </w:r>
    </w:p>
    <w:p>
      <w:pPr>
        <w:spacing w:after="0" w:line="221"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Liens</w:t>
      </w:r>
      <w:r>
        <w:rPr>
          <w:rFonts w:ascii="Arial" w:cs="Arial" w:eastAsia="Arial" w:hAnsi="Arial"/>
          <w:sz w:val="17"/>
          <w:szCs w:val="17"/>
          <w:color w:val="auto"/>
        </w:rPr>
        <w:t>”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Material Subsidiary</w:t>
      </w:r>
      <w:r>
        <w:rPr>
          <w:rFonts w:ascii="Arial" w:cs="Arial" w:eastAsia="Arial" w:hAnsi="Arial"/>
          <w:sz w:val="17"/>
          <w:szCs w:val="17"/>
          <w:color w:val="auto"/>
        </w:rPr>
        <w:t>” means each subsidiary guarantor and any other subsidiary of Lennox (except LPAC Corp. and any Excluded Foreign Subsidiary) (i) the book value (determined in accordance with GAAP) of whose total assets equals or exceeds ten percent (10%) of the book value of our consolidated total assets as determined as of the last day of our most recent fiscal quarter or (ii) which owns a Principal Property.</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Nonrecourse Obligation</w:t>
      </w:r>
      <w:r>
        <w:rPr>
          <w:rFonts w:ascii="Arial" w:cs="Arial" w:eastAsia="Arial" w:hAnsi="Arial"/>
          <w:sz w:val="16"/>
          <w:szCs w:val="16"/>
          <w:color w:val="auto"/>
        </w:rPr>
        <w:t>” means indebtedness for borrowed money or lease payment obligations related to (i) the acquisition of a Principal Property not previously owned by the Company or any subsidiary or (ii) the financing of a project involving the development or expansion of any Principal Property owned by the Company or any subsidiary, as to which the obligee with respect to such indebtedness or obligation has no recourse to the Company or any subsidiary or any of the Company’s or its subsidiaries’ assets other than such Principal Property so acquired, developed or expanded, as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Credit Agreement Liens</w:t>
      </w:r>
      <w:r>
        <w:rPr>
          <w:rFonts w:ascii="Arial" w:cs="Arial" w:eastAsia="Arial" w:hAnsi="Arial"/>
          <w:sz w:val="17"/>
          <w:szCs w:val="17"/>
          <w:color w:val="auto"/>
        </w:rPr>
        <w:t>” means:</w:t>
      </w:r>
    </w:p>
    <w:p>
      <w:pPr>
        <w:spacing w:after="0" w:line="78" w:lineRule="exact"/>
        <w:rPr>
          <w:sz w:val="20"/>
          <w:szCs w:val="20"/>
          <w:color w:val="auto"/>
        </w:rPr>
      </w:pPr>
    </w:p>
    <w:p>
      <w:pPr>
        <w:ind w:left="620" w:hanging="303"/>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Lien on our headquarters building located at 2140 Lake Park Blvd., Richardson, Texas;</w:t>
      </w:r>
    </w:p>
    <w:p>
      <w:pPr>
        <w:spacing w:after="0" w:line="130" w:lineRule="exact"/>
        <w:rPr>
          <w:rFonts w:ascii="Arial" w:cs="Arial" w:eastAsia="Arial" w:hAnsi="Arial"/>
          <w:sz w:val="17"/>
          <w:szCs w:val="17"/>
          <w:color w:val="auto"/>
        </w:rPr>
      </w:pPr>
    </w:p>
    <w:p>
      <w:pPr>
        <w:ind w:left="620" w:hanging="303"/>
        <w:spacing w:after="0" w:line="276"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Lien existing on any fixed or capital asset (including equipment) prior to the acquisition thereof by us or any of our subsidiaries or existing on any property or asset of any Person that becomes a subsidiary after the date hereof prior to the time such Person becomes a subsidiary; provided that (i) such Lien is not created in contemplation of or in connection with such acquisition or such Person becoming a subsidiary, as the case may be, (ii) such Lien shall not apply to any other of our assets or of the assets of any of our subsidiaries, (iii) such Lien shall secure only those obligations which it secures on the date of such acquisition or the date such Person becomes a subsidiary, as the case may be, and extensions, renewals and replacements thereof that do not increase the outstanding principal amount thereof, and (iv) the aggregate principal amount of all indebtedness secured by Liens permitted by this clause shall not at any time exceed $50,000,000;</w:t>
      </w:r>
    </w:p>
    <w:p>
      <w:pPr>
        <w:spacing w:after="0" w:line="80" w:lineRule="exact"/>
        <w:rPr>
          <w:rFonts w:ascii="Arial" w:cs="Arial" w:eastAsia="Arial" w:hAnsi="Arial"/>
          <w:sz w:val="17"/>
          <w:szCs w:val="17"/>
          <w:color w:val="auto"/>
        </w:rPr>
      </w:pPr>
    </w:p>
    <w:p>
      <w:pPr>
        <w:ind w:left="620" w:right="80" w:hanging="303"/>
        <w:spacing w:after="0" w:line="324" w:lineRule="auto"/>
        <w:tabs>
          <w:tab w:leader="none" w:pos="6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Liens on fixed or capital assets (including equipment), or other assets acquired with purchase money indebtedness, in each case acquired, constructed or improved by us or any of our subsidiaries; provided that (i) such security interests secured indebtedness permitted by the Credit Agreement, including Capital Lease Obligations, (ii) such security interests and the indebtedness secured thereby are incurred prior to or within 90 days after such acquisition or the completion of such construction or improvement, (iii) the indebtedness secured thereby does not exceed 100% of the cost of acquiring, constructing or improving such fixed or capital assets and (iv) such security interests shall not apply to any other of our property or assets or of any of our subsidiaries;</w:t>
      </w:r>
    </w:p>
    <w:p>
      <w:pPr>
        <w:spacing w:after="0" w:line="46" w:lineRule="exact"/>
        <w:rPr>
          <w:rFonts w:ascii="Arial" w:cs="Arial" w:eastAsia="Arial" w:hAnsi="Arial"/>
          <w:sz w:val="15"/>
          <w:szCs w:val="15"/>
          <w:color w:val="auto"/>
        </w:rPr>
      </w:pPr>
    </w:p>
    <w:p>
      <w:pPr>
        <w:jc w:val="both"/>
        <w:ind w:left="620" w:right="280" w:hanging="303"/>
        <w:spacing w:after="0" w:line="287"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Liens on our property or the property of any of our subsidiaries securing indebtedness owing to us or a guarantor permitted by the Credit Agreement and (ii) Liens on property of any subsidiary that is not a Material Subsidiary securing Indebtedness owing to any other subsidiary that is not a Material Subsidiary permitted by the Credit Agreement;</w:t>
      </w:r>
    </w:p>
    <w:p>
      <w:pPr>
        <w:sectPr>
          <w:pgSz w:w="11900" w:h="16838" w:orient="portrait"/>
          <w:cols w:equalWidth="0" w:num="1">
            <w:col w:w="11420"/>
          </w:cols>
          <w:pgMar w:left="240" w:top="140" w:right="239" w:bottom="0" w:gutter="0" w:footer="0" w:header="0"/>
        </w:sectPr>
      </w:pPr>
    </w:p>
    <w:bookmarkStart w:id="102" w:name="page103"/>
    <w:bookmarkEnd w:id="102"/>
    <w:p>
      <w:pPr>
        <w:ind w:left="620" w:right="360" w:hanging="303"/>
        <w:spacing w:after="0" w:line="302"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Liens securing indebtedness of Foreign Subsidiaries permitted by the Credit Agreement provided that such Liens encumber only assets of the Foreign Subsidiaries;</w:t>
      </w:r>
    </w:p>
    <w:p>
      <w:pPr>
        <w:spacing w:after="0" w:line="54" w:lineRule="exact"/>
        <w:rPr>
          <w:rFonts w:ascii="Arial" w:cs="Arial" w:eastAsia="Arial" w:hAnsi="Arial"/>
          <w:sz w:val="17"/>
          <w:szCs w:val="17"/>
          <w:color w:val="auto"/>
        </w:rPr>
      </w:pPr>
    </w:p>
    <w:p>
      <w:pPr>
        <w:ind w:left="620" w:hanging="303"/>
        <w:spacing w:after="0" w:line="330" w:lineRule="auto"/>
        <w:tabs>
          <w:tab w:leader="none" w:pos="6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Liens granted in connection with any Receivable Securitization Facility permitted under the Credit Agreement on the receivables sold pursuant thereto (together with all collections and other proceeds thereof and any collateral securing the payment thereof), all right, title and interest in and to the lockboxes and other collection accounts in which proceeds of such receivables are deposited, the rights under the documents executed in connection with such Receivable Securitization Facility and in the equity interests issued by any special purpose entity organized to purchase the receivables thereunder;</w:t>
      </w:r>
    </w:p>
    <w:p>
      <w:pPr>
        <w:spacing w:after="0" w:line="40" w:lineRule="exact"/>
        <w:rPr>
          <w:rFonts w:ascii="Arial" w:cs="Arial" w:eastAsia="Arial" w:hAnsi="Arial"/>
          <w:sz w:val="15"/>
          <w:szCs w:val="15"/>
          <w:color w:val="auto"/>
        </w:rPr>
      </w:pPr>
    </w:p>
    <w:p>
      <w:pPr>
        <w:ind w:left="620" w:hanging="303"/>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Liens on cash securing indebtedness arising in connection with Swap Agreements permitted by the Credit Agreement;</w:t>
      </w:r>
    </w:p>
    <w:p>
      <w:pPr>
        <w:spacing w:after="0" w:line="130" w:lineRule="exact"/>
        <w:rPr>
          <w:rFonts w:ascii="Arial" w:cs="Arial" w:eastAsia="Arial" w:hAnsi="Arial"/>
          <w:sz w:val="17"/>
          <w:szCs w:val="17"/>
          <w:color w:val="auto"/>
        </w:rPr>
      </w:pPr>
    </w:p>
    <w:p>
      <w:pPr>
        <w:ind w:left="620" w:right="100" w:hanging="303"/>
        <w:spacing w:after="0" w:line="304" w:lineRule="auto"/>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Liens on materials, supplies, components or equipment acquired with purchase money indebtedness permitted to be incurred under the Credit Agreement, so long as (i) such security interests and the indebtedness secured thereby are incurred prior to or within 90 days after such acquisition, (ii) the indebtedness secured thereby does not exceed 100% of the cost of acquiring such materials, supplies, components or equipment and (iii) such security interests shall not apply to any other of our property or assets or the property or assets of any of our subsidiaries; and</w:t>
      </w:r>
    </w:p>
    <w:p>
      <w:pPr>
        <w:spacing w:after="0" w:line="57" w:lineRule="exact"/>
        <w:rPr>
          <w:rFonts w:ascii="Arial" w:cs="Arial" w:eastAsia="Arial" w:hAnsi="Arial"/>
          <w:sz w:val="16"/>
          <w:szCs w:val="16"/>
          <w:color w:val="auto"/>
        </w:rPr>
      </w:pPr>
    </w:p>
    <w:p>
      <w:pPr>
        <w:ind w:left="620" w:right="120" w:hanging="303"/>
        <w:spacing w:after="0" w:line="302"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customary call, buy-sell or similar rights negotiated on an arm’s length basis and granted to third-party joint venture partners in respect of equity interests of the applicable joint venture.</w:t>
      </w:r>
    </w:p>
    <w:p>
      <w:pPr>
        <w:spacing w:after="0" w:line="5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any manufacturing plant, warehouse, office building or parcel of real property, including fixtures but excluding leases and other contract rights which might otherwise be deemed real property, owned by us or any of our Material Subsidiaries, whether owned on the date of the supplemental indenture or thereafter acquired, that has a book value (determined in accordance with GAAP) in excess of 2% of the Consolidated Net Tangible Assets of us and our consolidated subsidiaries. Any plant, warehouse, office building or parcel of real property or portion thereof which our board of directors or the board of directors (or the members, for limited liability companies) of the relevant Material Subsidiary determines is not of material importance to the business conducted by us and our subsidiaries taken as a whole will not be a Principal Property.</w:t>
      </w:r>
    </w:p>
    <w:p>
      <w:pPr>
        <w:spacing w:after="0" w:line="196"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Receivable Securitization Facility</w:t>
      </w:r>
      <w:r>
        <w:rPr>
          <w:rFonts w:ascii="Arial" w:cs="Arial" w:eastAsia="Arial" w:hAnsi="Arial"/>
          <w:sz w:val="17"/>
          <w:szCs w:val="17"/>
          <w:color w:val="auto"/>
        </w:rPr>
        <w:t>” means, with respect to us or any subsidiary, a transaction or group of transactions typically referred to as a securitization in which we or such subsidiary sells its accounts receivable in a transaction accounted for as a true sale to a special purpose bankruptcy remote entity that obtains debt financing to finance the purchase price.</w:t>
      </w:r>
    </w:p>
    <w:p>
      <w:pPr>
        <w:spacing w:after="0" w:line="184"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corporation, partnership or other legal entity (a) the accounts of which are consolidated with ours in accordance with GAAP and (b) of which, in the case of a corporation, more than 50% of the outstanding voting stock is owned, directly or indirectly, by us or by one or more other subsidiaries, or by us and one or more other subsidiaries or, in the case of any partnership or other legal entity, more than 50% of the ordinary equity capital interests is, at the time, directly or indirectly owned or controlled by us or by one or more of the subsidiaries or by us and one or more of the subsidiaries.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Swap Agreement</w:t>
      </w:r>
      <w:r>
        <w:rPr>
          <w:rFonts w:ascii="Arial" w:cs="Arial" w:eastAsia="Arial" w:hAnsi="Arial"/>
          <w:sz w:val="17"/>
          <w:szCs w:val="17"/>
          <w:color w:val="auto"/>
        </w:rPr>
        <w: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us or our subsidiaries shall be a Swap Agreement. For the avoidance of doubt, agreements relating to accelerated share repurchase programs, and similar programs or arrangements, shall not be considered Swap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You will have special rights if an event of default occurs and is not cured. With respect to the notes, the term “event of default” means any of the following:</w:t>
      </w:r>
    </w:p>
    <w:p>
      <w:pPr>
        <w:spacing w:after="0" w:line="142" w:lineRule="exact"/>
        <w:rPr>
          <w:sz w:val="20"/>
          <w:szCs w:val="20"/>
          <w:color w:val="auto"/>
        </w:rPr>
      </w:pPr>
    </w:p>
    <w:p>
      <w:pPr>
        <w:ind w:left="620" w:hanging="303"/>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default in the payment of principal or premium on the notes when due and payable whether at maturity, upon acceleration, redemption, or otherwise;</w:t>
      </w:r>
    </w:p>
    <w:p>
      <w:pPr>
        <w:spacing w:after="0" w:line="141" w:lineRule="exact"/>
        <w:rPr>
          <w:rFonts w:ascii="Arial" w:cs="Arial" w:eastAsia="Arial" w:hAnsi="Arial"/>
          <w:sz w:val="16"/>
          <w:szCs w:val="16"/>
          <w:color w:val="auto"/>
        </w:rPr>
      </w:pPr>
    </w:p>
    <w:p>
      <w:pPr>
        <w:ind w:left="620" w:hanging="303"/>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default in the payment of interest on the notes when due and payable; if that default continues for a period of 30 days;</w:t>
      </w:r>
    </w:p>
    <w:p>
      <w:pPr>
        <w:spacing w:after="0" w:line="130" w:lineRule="exact"/>
        <w:rPr>
          <w:rFonts w:ascii="Arial" w:cs="Arial" w:eastAsia="Arial" w:hAnsi="Arial"/>
          <w:sz w:val="17"/>
          <w:szCs w:val="17"/>
          <w:color w:val="auto"/>
        </w:rPr>
      </w:pPr>
    </w:p>
    <w:p>
      <w:pPr>
        <w:ind w:left="620" w:hanging="303"/>
        <w:spacing w:after="0" w:line="336"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default in the performance of or breach of any of our other covenants or agreements in the indenture, and that default or breach continues for a period of 90 consecutive days after we receive written notice from the trustee or from the holders of 25% or more in aggregate principal amount of the notes;</w:t>
      </w:r>
    </w:p>
    <w:p>
      <w:pPr>
        <w:spacing w:after="0" w:line="31" w:lineRule="exact"/>
        <w:rPr>
          <w:rFonts w:ascii="Arial" w:cs="Arial" w:eastAsia="Arial" w:hAnsi="Arial"/>
          <w:sz w:val="16"/>
          <w:szCs w:val="16"/>
          <w:color w:val="auto"/>
        </w:rPr>
      </w:pPr>
    </w:p>
    <w:p>
      <w:pPr>
        <w:ind w:left="620" w:right="200" w:hanging="303"/>
        <w:spacing w:after="0" w:line="336"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guarantee by a Material Subsidiary ceases for any reason to be, or is asserted in writing by us or such Material Subsidiary not to be, in full force and effect and enforceable in accordance with its terms except to the extent contemplated by the indenture and any such guarantee;</w:t>
      </w:r>
    </w:p>
    <w:p>
      <w:pPr>
        <w:spacing w:after="0" w:line="31" w:lineRule="exact"/>
        <w:rPr>
          <w:rFonts w:ascii="Arial" w:cs="Arial" w:eastAsia="Arial" w:hAnsi="Arial"/>
          <w:sz w:val="16"/>
          <w:szCs w:val="16"/>
          <w:color w:val="auto"/>
        </w:rPr>
      </w:pPr>
    </w:p>
    <w:p>
      <w:pPr>
        <w:ind w:left="620" w:right="60" w:hanging="303"/>
        <w:spacing w:after="0" w:line="279"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event of default, as defined in the indenture or instrument under which we or any Material Subsidiary have outstanding at least $75,000,000 aggregate principal amount of indebtedness for money borrowed, occurs and is continuing and such indebtedness, as a result thereof, is accelerated so that the same is or becomes due and payable prior to the date on which the same would otherwise have become due and payable, and such acceleration is not rescinded or annulled within 30 days after notice thereof has been given, by registered or certified mail, to us by the trustee, or to us and the trustee by the holders of at least 25% in aggregate principal amount of the notes at the time outstanding;</w:t>
      </w:r>
    </w:p>
    <w:p>
      <w:pPr>
        <w:spacing w:after="0" w:line="74" w:lineRule="exact"/>
        <w:rPr>
          <w:rFonts w:ascii="Arial" w:cs="Arial" w:eastAsia="Arial" w:hAnsi="Arial"/>
          <w:sz w:val="17"/>
          <w:szCs w:val="17"/>
          <w:color w:val="auto"/>
        </w:rPr>
      </w:pPr>
    </w:p>
    <w:p>
      <w:pPr>
        <w:ind w:left="620" w:hanging="303"/>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court having jurisdiction enters a decree or order for:</w:t>
      </w:r>
    </w:p>
    <w:p>
      <w:pPr>
        <w:spacing w:after="0" w:line="39" w:lineRule="exact"/>
        <w:rPr>
          <w:sz w:val="20"/>
          <w:szCs w:val="20"/>
          <w:color w:val="auto"/>
        </w:rPr>
      </w:pPr>
    </w:p>
    <w:p>
      <w:pPr>
        <w:ind w:left="1260" w:right="300" w:hanging="318"/>
        <w:spacing w:after="0" w:line="294" w:lineRule="auto"/>
        <w:tabs>
          <w:tab w:leader="none" w:pos="1260" w:val="left"/>
        </w:tabs>
        <w:numPr>
          <w:ilvl w:val="1"/>
          <w:numId w:val="39"/>
        </w:numPr>
        <w:rPr>
          <w:rFonts w:ascii="Arial" w:cs="Arial" w:eastAsia="Arial" w:hAnsi="Arial"/>
          <w:sz w:val="21"/>
          <w:szCs w:val="21"/>
          <w:color w:val="auto"/>
        </w:rPr>
      </w:pPr>
      <w:r>
        <w:rPr>
          <w:rFonts w:ascii="Arial" w:cs="Arial" w:eastAsia="Arial" w:hAnsi="Arial"/>
          <w:sz w:val="17"/>
          <w:szCs w:val="17"/>
          <w:color w:val="auto"/>
        </w:rPr>
        <w:t>relief in respect of us or a Material Subsidiary in an involuntary case under any applicable bankruptcy, insolvency or other similar law now or hereafter in effect;</w:t>
      </w:r>
    </w:p>
    <w:p>
      <w:pPr>
        <w:spacing w:after="0" w:line="37" w:lineRule="exact"/>
        <w:rPr>
          <w:rFonts w:ascii="Arial" w:cs="Arial" w:eastAsia="Arial" w:hAnsi="Arial"/>
          <w:sz w:val="21"/>
          <w:szCs w:val="21"/>
          <w:color w:val="auto"/>
        </w:rPr>
      </w:pPr>
    </w:p>
    <w:p>
      <w:pPr>
        <w:ind w:left="1260" w:right="520" w:hanging="318"/>
        <w:spacing w:after="0" w:line="294" w:lineRule="auto"/>
        <w:tabs>
          <w:tab w:leader="none" w:pos="1260" w:val="left"/>
        </w:tabs>
        <w:numPr>
          <w:ilvl w:val="1"/>
          <w:numId w:val="39"/>
        </w:numPr>
        <w:rPr>
          <w:rFonts w:ascii="Arial" w:cs="Arial" w:eastAsia="Arial" w:hAnsi="Arial"/>
          <w:sz w:val="21"/>
          <w:szCs w:val="21"/>
          <w:color w:val="auto"/>
        </w:rPr>
      </w:pPr>
      <w:r>
        <w:rPr>
          <w:rFonts w:ascii="Arial" w:cs="Arial" w:eastAsia="Arial" w:hAnsi="Arial"/>
          <w:sz w:val="17"/>
          <w:szCs w:val="17"/>
          <w:color w:val="auto"/>
        </w:rPr>
        <w:t>appointment of a receiver, liquidator, assignee, custodian, trustee, sequestrator or similar official of us or a Material Subsidiary or for all or substantially all of our or a Material Subsidiary’s property and assets; or</w:t>
      </w:r>
    </w:p>
    <w:p>
      <w:pPr>
        <w:spacing w:after="0" w:line="37" w:lineRule="exact"/>
        <w:rPr>
          <w:rFonts w:ascii="Arial" w:cs="Arial" w:eastAsia="Arial" w:hAnsi="Arial"/>
          <w:sz w:val="21"/>
          <w:szCs w:val="21"/>
          <w:color w:val="auto"/>
        </w:rPr>
      </w:pPr>
    </w:p>
    <w:p>
      <w:pPr>
        <w:ind w:left="1260" w:right="160" w:hanging="318"/>
        <w:spacing w:after="0" w:line="294" w:lineRule="auto"/>
        <w:tabs>
          <w:tab w:leader="none" w:pos="1260" w:val="left"/>
        </w:tabs>
        <w:numPr>
          <w:ilvl w:val="1"/>
          <w:numId w:val="39"/>
        </w:numPr>
        <w:rPr>
          <w:rFonts w:ascii="Arial" w:cs="Arial" w:eastAsia="Arial" w:hAnsi="Arial"/>
          <w:sz w:val="21"/>
          <w:szCs w:val="21"/>
          <w:color w:val="auto"/>
        </w:rPr>
      </w:pPr>
      <w:r>
        <w:rPr>
          <w:rFonts w:ascii="Arial" w:cs="Arial" w:eastAsia="Arial" w:hAnsi="Arial"/>
          <w:sz w:val="17"/>
          <w:szCs w:val="17"/>
          <w:color w:val="auto"/>
        </w:rPr>
        <w:t>the winding up or liquidation of our or a Material Subsidiary’s affairs and such decree or order remains unstayed and in effect for a period of 60 consecutive days; or</w:t>
      </w:r>
    </w:p>
    <w:p>
      <w:pPr>
        <w:spacing w:after="0" w:line="76" w:lineRule="exact"/>
        <w:rPr>
          <w:rFonts w:ascii="Arial" w:cs="Arial" w:eastAsia="Arial" w:hAnsi="Arial"/>
          <w:sz w:val="21"/>
          <w:szCs w:val="21"/>
          <w:color w:val="auto"/>
        </w:rPr>
      </w:pPr>
    </w:p>
    <w:p>
      <w:pPr>
        <w:ind w:left="620" w:hanging="303"/>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or a Material Subsidiary:</w:t>
      </w:r>
    </w:p>
    <w:p>
      <w:pPr>
        <w:spacing w:after="0" w:line="38" w:lineRule="exact"/>
        <w:rPr>
          <w:rFonts w:ascii="Arial" w:cs="Arial" w:eastAsia="Arial" w:hAnsi="Arial"/>
          <w:sz w:val="17"/>
          <w:szCs w:val="17"/>
          <w:color w:val="auto"/>
        </w:rPr>
      </w:pPr>
    </w:p>
    <w:p>
      <w:pPr>
        <w:ind w:left="1260" w:right="40" w:hanging="318"/>
        <w:spacing w:after="0" w:line="294" w:lineRule="auto"/>
        <w:tabs>
          <w:tab w:leader="none" w:pos="1260" w:val="left"/>
        </w:tabs>
        <w:numPr>
          <w:ilvl w:val="1"/>
          <w:numId w:val="39"/>
        </w:numPr>
        <w:rPr>
          <w:rFonts w:ascii="Arial" w:cs="Arial" w:eastAsia="Arial" w:hAnsi="Arial"/>
          <w:sz w:val="21"/>
          <w:szCs w:val="21"/>
          <w:color w:val="auto"/>
        </w:rPr>
      </w:pPr>
      <w:r>
        <w:rPr>
          <w:rFonts w:ascii="Arial" w:cs="Arial" w:eastAsia="Arial" w:hAnsi="Arial"/>
          <w:sz w:val="17"/>
          <w:szCs w:val="17"/>
          <w:color w:val="auto"/>
        </w:rPr>
        <w:t>commence a voluntary case under any applicable bankruptcy, insolvency or other similar law now or hereafter in effect, or consent to the entry of an order for relief in an involuntary case under any such law;</w:t>
      </w:r>
    </w:p>
    <w:p>
      <w:pPr>
        <w:spacing w:after="0" w:line="37" w:lineRule="exact"/>
        <w:rPr>
          <w:rFonts w:ascii="Arial" w:cs="Arial" w:eastAsia="Arial" w:hAnsi="Arial"/>
          <w:sz w:val="21"/>
          <w:szCs w:val="21"/>
          <w:color w:val="auto"/>
        </w:rPr>
      </w:pPr>
    </w:p>
    <w:p>
      <w:pPr>
        <w:ind w:left="1260" w:right="200" w:hanging="318"/>
        <w:spacing w:after="0" w:line="294" w:lineRule="auto"/>
        <w:tabs>
          <w:tab w:leader="none" w:pos="1260" w:val="left"/>
        </w:tabs>
        <w:numPr>
          <w:ilvl w:val="1"/>
          <w:numId w:val="39"/>
        </w:numPr>
        <w:rPr>
          <w:rFonts w:ascii="Arial" w:cs="Arial" w:eastAsia="Arial" w:hAnsi="Arial"/>
          <w:sz w:val="21"/>
          <w:szCs w:val="21"/>
          <w:color w:val="auto"/>
        </w:rPr>
      </w:pPr>
      <w:r>
        <w:rPr>
          <w:rFonts w:ascii="Arial" w:cs="Arial" w:eastAsia="Arial" w:hAnsi="Arial"/>
          <w:sz w:val="17"/>
          <w:szCs w:val="17"/>
          <w:color w:val="auto"/>
        </w:rPr>
        <w:t>consent to the appointment of or taking possession by a receiver, liquidator, assignee, custodian, trustee, sequestrator or similar official of all or substantially all of our or a Material Subsidiary’s property and assets; or</w:t>
      </w:r>
    </w:p>
    <w:p>
      <w:pPr>
        <w:spacing w:after="0" w:line="16" w:lineRule="exact"/>
        <w:rPr>
          <w:rFonts w:ascii="Arial" w:cs="Arial" w:eastAsia="Arial" w:hAnsi="Arial"/>
          <w:sz w:val="21"/>
          <w:szCs w:val="21"/>
          <w:color w:val="auto"/>
        </w:rPr>
      </w:pPr>
    </w:p>
    <w:p>
      <w:pPr>
        <w:ind w:left="1260" w:hanging="318"/>
        <w:spacing w:after="0"/>
        <w:tabs>
          <w:tab w:leader="none" w:pos="1260" w:val="left"/>
        </w:tabs>
        <w:numPr>
          <w:ilvl w:val="1"/>
          <w:numId w:val="39"/>
        </w:numPr>
        <w:rPr>
          <w:rFonts w:ascii="Arial" w:cs="Arial" w:eastAsia="Arial" w:hAnsi="Arial"/>
          <w:sz w:val="21"/>
          <w:szCs w:val="21"/>
          <w:color w:val="auto"/>
        </w:rPr>
      </w:pPr>
      <w:r>
        <w:rPr>
          <w:rFonts w:ascii="Arial" w:cs="Arial" w:eastAsia="Arial" w:hAnsi="Arial"/>
          <w:sz w:val="17"/>
          <w:szCs w:val="17"/>
          <w:color w:val="auto"/>
        </w:rPr>
        <w:t>effect any general assignment for the benefit of creditors.</w:t>
      </w:r>
    </w:p>
    <w:p>
      <w:pPr>
        <w:sectPr>
          <w:pgSz w:w="11900" w:h="16838" w:orient="portrait"/>
          <w:cols w:equalWidth="0" w:num="1">
            <w:col w:w="11400"/>
          </w:cols>
          <w:pgMar w:left="240" w:top="140" w:right="259" w:bottom="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Additional Payments</w:t>
      </w:r>
    </w:p>
    <w:p>
      <w:pPr>
        <w:sectPr>
          <w:pgSz w:w="11900" w:h="16838" w:orient="portrait"/>
          <w:cols w:equalWidth="0" w:num="1">
            <w:col w:w="11400"/>
          </w:cols>
          <w:pgMar w:left="240" w:top="140" w:right="259" w:bottom="0" w:gutter="0" w:footer="0" w:header="0"/>
          <w:type w:val="continuous"/>
        </w:sectPr>
      </w:pPr>
    </w:p>
    <w:bookmarkStart w:id="103" w:name="page104"/>
    <w:bookmarkEnd w:id="103"/>
    <w:p>
      <w:pPr>
        <w:spacing w:after="0" w:line="277" w:lineRule="auto"/>
        <w:rPr>
          <w:sz w:val="20"/>
          <w:szCs w:val="20"/>
          <w:color w:val="auto"/>
        </w:rPr>
      </w:pPr>
      <w:r>
        <w:rPr>
          <w:rFonts w:ascii="Arial" w:cs="Arial" w:eastAsia="Arial" w:hAnsi="Arial"/>
          <w:sz w:val="16"/>
          <w:szCs w:val="16"/>
          <w:color w:val="auto"/>
        </w:rPr>
        <w:t>Under certain circumstances, we may become obligated to make payments on the notes in excess of stated principal and interest. Treasury regulations provide special rules for contingent payment debt instruments which, if applicable, could cause the timing, amount and character of a holder’s income, gain or loss with respect to the notes to be different from the consequences discussed below. For purposes of determining whether a debt instrument is a contingent payment debt instrument, remote or incidental contingencies are ignored. We intend to treat the possibility of our making the above payments as remote or to treat the amount of such payments as incidental. Accordingly, we do not intend to treat the notes as contingent payment debt instruments. Our treatment will be binding on all holders, except a holder that discloses its differing treatment in a statement attached to its timely filed U.S. federal income tax return for the taxable year during which the note was acquired. However, our treatment is not binding on the IRS. If the IRS were to challenge our treatment, a holder might be required to accrue income on the notes in excess of stated interest and any otherwise applicable original issue discount and to treat as ordinary income, rather than capital gain, any gain recognized on the disposition of the notes before the resolution of the contingencies. In any event, if we actually make any such payment, the timing, amount and character of a holder’s income, gain or loss with respect to the notes may be affected.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Defeasance and Discharge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Defeasance</w:t>
      </w:r>
    </w:p>
    <w:p>
      <w:pPr>
        <w:spacing w:after="0" w:line="2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term defeasance means we (and to the extent applicable, the subsidiary guarantors) are discharged from some or all of our obligations under the indenture. If we deposit in trust with the trustee under the indenture any combination of money or government securities in an amount sufficient to make payments on the notes under the indenture on the dates those payments are due, then, at our option:</w:t>
      </w:r>
    </w:p>
    <w:p>
      <w:pPr>
        <w:spacing w:after="0" w:line="80" w:lineRule="exact"/>
        <w:rPr>
          <w:sz w:val="20"/>
          <w:szCs w:val="20"/>
          <w:color w:val="auto"/>
        </w:rPr>
      </w:pPr>
    </w:p>
    <w:p>
      <w:pPr>
        <w:ind w:left="620" w:hanging="303"/>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will be discharged from any and all obligations with respect to the notes (“legal defeasance”); or</w:t>
      </w:r>
    </w:p>
    <w:p>
      <w:pPr>
        <w:spacing w:after="0" w:line="130" w:lineRule="exact"/>
        <w:rPr>
          <w:rFonts w:ascii="Arial" w:cs="Arial" w:eastAsia="Arial" w:hAnsi="Arial"/>
          <w:sz w:val="17"/>
          <w:szCs w:val="17"/>
          <w:color w:val="auto"/>
        </w:rPr>
      </w:pPr>
    </w:p>
    <w:p>
      <w:pPr>
        <w:ind w:left="620" w:hanging="303"/>
        <w:spacing w:after="0"/>
        <w:tabs>
          <w:tab w:leader="none" w:pos="6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will no longer have any obligation to comply with any specified restrictive covenants with respect to the notes and other specified covenants under the</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indenture, and the related events of default will no longer apply (“covenant defeasance”).</w:t>
      </w:r>
    </w:p>
    <w:p>
      <w:pPr>
        <w:spacing w:after="0" w:line="25"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If the notes are defeased, the holders of the notes will not be entitled to the benefits of the indenture, except for obligations to register the transfer or exchange of notes, replace stolen, lost or mutilated notes or maintain paying agencies and hold money for payment in trust.</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the event that we exercise our legal defeasance option or our covenant defeasance option with respect to the notes, each subsidiary guarantor will be released from all of its obligations with respect to its guarantee of the notes.</w:t>
      </w:r>
    </w:p>
    <w:p>
      <w:pPr>
        <w:spacing w:after="0" w:line="15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will be required to deliver to the trustee an opinion of counsel that the deposit and related defeasance would not cause the beneficial owners of the notes to recognize income, gain or loss for U.S. federal income tax purposes and that the beneficial owners would be subject to U.S. federal income tax on the same amounts, in the same manner and at the same times as would have been the case if the deposit and related defeasance had not occurred. If we elect legal defeasance, the opinion of counsel must be based upon a ruling from the U.S. Internal Revenue Service or a change in law to that effect.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Satisfaction and Discharge</w:t>
      </w:r>
    </w:p>
    <w:p>
      <w:pPr>
        <w:spacing w:after="0" w:line="2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addition, we may discharge our obligations and, to the extent applicable, the obligations of the subsidiary guarantors with respect to the notes and the indenture when:</w:t>
      </w:r>
    </w:p>
    <w:p>
      <w:pPr>
        <w:spacing w:after="0" w:line="68" w:lineRule="exact"/>
        <w:rPr>
          <w:sz w:val="20"/>
          <w:szCs w:val="20"/>
          <w:color w:val="auto"/>
        </w:rPr>
      </w:pPr>
    </w:p>
    <w:p>
      <w:pPr>
        <w:ind w:left="620" w:hanging="303"/>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pay or cause to be paid, as and when due and payable, the principal of and any interest on all of the notes outstanding under the indenture;</w:t>
      </w:r>
    </w:p>
    <w:p>
      <w:pPr>
        <w:spacing w:after="0" w:line="130" w:lineRule="exact"/>
        <w:rPr>
          <w:rFonts w:ascii="Arial" w:cs="Arial" w:eastAsia="Arial" w:hAnsi="Arial"/>
          <w:sz w:val="17"/>
          <w:szCs w:val="17"/>
          <w:color w:val="auto"/>
        </w:rPr>
      </w:pPr>
    </w:p>
    <w:p>
      <w:pPr>
        <w:ind w:left="620" w:right="160" w:hanging="303"/>
        <w:spacing w:after="0" w:line="302"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of the notes previously authenticated and delivered (subject to certain exceptions) have been delivered to the trustee for cancellation and we have paid all amounts payable by us under the indenture; or</w:t>
      </w:r>
    </w:p>
    <w:p>
      <w:pPr>
        <w:spacing w:after="0" w:line="54" w:lineRule="exact"/>
        <w:rPr>
          <w:rFonts w:ascii="Arial" w:cs="Arial" w:eastAsia="Arial" w:hAnsi="Arial"/>
          <w:sz w:val="17"/>
          <w:szCs w:val="17"/>
          <w:color w:val="auto"/>
        </w:rPr>
      </w:pPr>
    </w:p>
    <w:p>
      <w:pPr>
        <w:ind w:left="620" w:right="120" w:hanging="303"/>
        <w:spacing w:after="0" w:line="279"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of the notes are to be called for redemption within one year under arrangements satisfactory to the trustee, and we irrevocably deposit in trust with the trustee, solely for the benefit of the holders, cash or government securities (maturing as to principal and interest in such amounts and at such times as will insure the availability of sufficient cash) that, after payment of all federal, state and local taxes and other charges and assessments in respect thereof payable by the trustee, will be sufficient to pay the principal of and any interest on the notes to maturity or redemption, as the case may be, and to pay all other amounts payable by us under the indenture.</w:t>
      </w:r>
    </w:p>
    <w:p>
      <w:pPr>
        <w:spacing w:after="0" w:line="6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With respect to the first and second bullet points above, only our obligations to compensate and indemnify the trustee and our right to recover unclaimed money held by the trustee under the indenture will survive. With respect to the third bullet point, certain rights and obligations under the indenture (such as our obligation to maintain an office or agency, to have moneys held for payment in trust, to register the transfer or exchange of the notes, to deliver the notes for replacement or to be canceled, to compensate and indemnify the trustee and to appoint a successor trustee, and our right to recover unclaimed money held by the trustee) will survive until the notes are no longer outstanding. Thereafter, only our obligations to compensate and indemnify the trustee and our right to recover unclaimed money held by the trustee will survive.</w:t>
      </w:r>
    </w:p>
    <w:p>
      <w:pPr>
        <w:sectPr>
          <w:pgSz w:w="11900" w:h="16838" w:orient="portrait"/>
          <w:cols w:equalWidth="0" w:num="1">
            <w:col w:w="11420"/>
          </w:cols>
          <w:pgMar w:left="240" w:top="127"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1"/>
          <w:szCs w:val="21"/>
          <w:color w:val="auto"/>
        </w:rPr>
        <w:t>Exhibit 10.14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AMENDMENT NO. 9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AMENDED AND RESTATED RECEIVABLES PURCHASE AGREEMENT</w:t>
      </w:r>
    </w:p>
    <w:p>
      <w:pPr>
        <w:spacing w:after="0" w:line="196" w:lineRule="exact"/>
        <w:rPr>
          <w:sz w:val="20"/>
          <w:szCs w:val="20"/>
          <w:color w:val="auto"/>
        </w:rPr>
      </w:pPr>
    </w:p>
    <w:p>
      <w:pPr>
        <w:ind w:right="60" w:firstLine="1250"/>
        <w:spacing w:after="0" w:line="276" w:lineRule="auto"/>
        <w:rPr>
          <w:sz w:val="20"/>
          <w:szCs w:val="20"/>
          <w:color w:val="auto"/>
        </w:rPr>
      </w:pPr>
      <w:r>
        <w:rPr>
          <w:rFonts w:ascii="Arial" w:cs="Arial" w:eastAsia="Arial" w:hAnsi="Arial"/>
          <w:sz w:val="19"/>
          <w:szCs w:val="19"/>
          <w:color w:val="auto"/>
        </w:rPr>
        <w:t>This AMENDMENT NO. 9, dated as of February 15, 2019 (this “</w:t>
      </w:r>
      <w:r>
        <w:rPr>
          <w:rFonts w:ascii="Arial" w:cs="Arial" w:eastAsia="Arial" w:hAnsi="Arial"/>
          <w:sz w:val="19"/>
          <w:szCs w:val="19"/>
          <w:i w:val="1"/>
          <w:iCs w:val="1"/>
          <w:u w:val="single" w:color="auto"/>
          <w:color w:val="auto"/>
        </w:rPr>
        <w:t>Amendment</w:t>
      </w:r>
      <w:r>
        <w:rPr>
          <w:rFonts w:ascii="Arial" w:cs="Arial" w:eastAsia="Arial" w:hAnsi="Arial"/>
          <w:sz w:val="19"/>
          <w:szCs w:val="19"/>
          <w:color w:val="auto"/>
        </w:rPr>
        <w:t>”), is made with respect to that certain Amended and Restated Receivables Purchase Agreement, dated as of November 18, 2011 (as amended, restated, supplemented or otherwise modified, the “</w:t>
      </w:r>
      <w:r>
        <w:rPr>
          <w:rFonts w:ascii="Arial" w:cs="Arial" w:eastAsia="Arial" w:hAnsi="Arial"/>
          <w:sz w:val="19"/>
          <w:szCs w:val="19"/>
          <w:i w:val="1"/>
          <w:iCs w:val="1"/>
          <w:u w:val="single" w:color="auto"/>
          <w:color w:val="auto"/>
        </w:rPr>
        <w:t>Agreement</w:t>
      </w:r>
      <w:r>
        <w:rPr>
          <w:rFonts w:ascii="Arial" w:cs="Arial" w:eastAsia="Arial" w:hAnsi="Arial"/>
          <w:sz w:val="19"/>
          <w:szCs w:val="19"/>
          <w:color w:val="auto"/>
        </w:rPr>
        <w:t>”), among LPAC CORP., a Delaware corporation ( the “</w:t>
      </w:r>
      <w:r>
        <w:rPr>
          <w:rFonts w:ascii="Arial" w:cs="Arial" w:eastAsia="Arial" w:hAnsi="Arial"/>
          <w:sz w:val="19"/>
          <w:szCs w:val="19"/>
          <w:i w:val="1"/>
          <w:iCs w:val="1"/>
          <w:u w:val="single" w:color="auto"/>
          <w:color w:val="auto"/>
        </w:rPr>
        <w:t>Seller</w:t>
      </w:r>
      <w:r>
        <w:rPr>
          <w:rFonts w:ascii="Arial" w:cs="Arial" w:eastAsia="Arial" w:hAnsi="Arial"/>
          <w:sz w:val="19"/>
          <w:szCs w:val="19"/>
          <w:color w:val="auto"/>
        </w:rPr>
        <w:t>”), LENNOX INDUSTRIES INC., a Delaware corporation, as master servicer thereunder (in such capacity, the “</w:t>
      </w:r>
      <w:r>
        <w:rPr>
          <w:rFonts w:ascii="Arial" w:cs="Arial" w:eastAsia="Arial" w:hAnsi="Arial"/>
          <w:sz w:val="19"/>
          <w:szCs w:val="19"/>
          <w:i w:val="1"/>
          <w:iCs w:val="1"/>
          <w:u w:val="single" w:color="auto"/>
          <w:color w:val="auto"/>
        </w:rPr>
        <w:t>Master Servicer</w:t>
      </w:r>
      <w:r>
        <w:rPr>
          <w:rFonts w:ascii="Arial" w:cs="Arial" w:eastAsia="Arial" w:hAnsi="Arial"/>
          <w:sz w:val="19"/>
          <w:szCs w:val="19"/>
          <w:color w:val="auto"/>
        </w:rPr>
        <w:t>”), VICTORY RECEIVABLES CORPORATION, a Delaware corporation, as a Purchaser, MUFG BANK, LTD. (formerly known as The Bank of Tokyo-Mitsubishi UFJ, Ltd.), as administrative agent for the Investors (in such capacity, the “</w:t>
      </w:r>
      <w:r>
        <w:rPr>
          <w:rFonts w:ascii="Arial" w:cs="Arial" w:eastAsia="Arial" w:hAnsi="Arial"/>
          <w:sz w:val="19"/>
          <w:szCs w:val="19"/>
          <w:i w:val="1"/>
          <w:iCs w:val="1"/>
          <w:u w:val="single" w:color="auto"/>
          <w:color w:val="auto"/>
        </w:rPr>
        <w:t>Administrative Agent</w:t>
      </w:r>
      <w:r>
        <w:rPr>
          <w:rFonts w:ascii="Arial" w:cs="Arial" w:eastAsia="Arial" w:hAnsi="Arial"/>
          <w:sz w:val="19"/>
          <w:szCs w:val="19"/>
          <w:color w:val="auto"/>
        </w:rPr>
        <w:t>”), the purchaser agent for the BTMU Purchaser Group (in such capacity, the “</w:t>
      </w:r>
      <w:r>
        <w:rPr>
          <w:rFonts w:ascii="Arial" w:cs="Arial" w:eastAsia="Arial" w:hAnsi="Arial"/>
          <w:sz w:val="19"/>
          <w:szCs w:val="19"/>
          <w:i w:val="1"/>
          <w:iCs w:val="1"/>
          <w:u w:val="single" w:color="auto"/>
          <w:color w:val="auto"/>
        </w:rPr>
        <w:t>BTMU Purchaser Agent</w:t>
      </w:r>
      <w:r>
        <w:rPr>
          <w:rFonts w:ascii="Arial" w:cs="Arial" w:eastAsia="Arial" w:hAnsi="Arial"/>
          <w:sz w:val="19"/>
          <w:szCs w:val="19"/>
          <w:color w:val="auto"/>
        </w:rPr>
        <w:t>”) and a BTMU Liquidity Bank, WELLS FARGO BANK, NATIONAL ASSOCIATION (“</w:t>
      </w:r>
      <w:r>
        <w:rPr>
          <w:rFonts w:ascii="Arial" w:cs="Arial" w:eastAsia="Arial" w:hAnsi="Arial"/>
          <w:sz w:val="19"/>
          <w:szCs w:val="19"/>
          <w:i w:val="1"/>
          <w:iCs w:val="1"/>
          <w:u w:val="single" w:color="auto"/>
          <w:color w:val="auto"/>
        </w:rPr>
        <w:t>WFB</w:t>
      </w:r>
      <w:r>
        <w:rPr>
          <w:rFonts w:ascii="Arial" w:cs="Arial" w:eastAsia="Arial" w:hAnsi="Arial"/>
          <w:sz w:val="19"/>
          <w:szCs w:val="19"/>
          <w:color w:val="auto"/>
        </w:rPr>
        <w:t>”), as the purchaser agent for the WFB Purchaser Group (in such capacity, the “</w:t>
      </w:r>
      <w:r>
        <w:rPr>
          <w:rFonts w:ascii="Arial" w:cs="Arial" w:eastAsia="Arial" w:hAnsi="Arial"/>
          <w:sz w:val="19"/>
          <w:szCs w:val="19"/>
          <w:i w:val="1"/>
          <w:iCs w:val="1"/>
          <w:u w:val="single" w:color="auto"/>
          <w:color w:val="auto"/>
        </w:rPr>
        <w:t>WFB Purchaser Agent</w:t>
      </w:r>
      <w:r>
        <w:rPr>
          <w:rFonts w:ascii="Arial" w:cs="Arial" w:eastAsia="Arial" w:hAnsi="Arial"/>
          <w:sz w:val="19"/>
          <w:szCs w:val="19"/>
          <w:color w:val="auto"/>
        </w:rPr>
        <w:t>”) and a WFB Liquidity Bank (the “</w:t>
      </w:r>
      <w:r>
        <w:rPr>
          <w:rFonts w:ascii="Arial" w:cs="Arial" w:eastAsia="Arial" w:hAnsi="Arial"/>
          <w:sz w:val="19"/>
          <w:szCs w:val="19"/>
          <w:i w:val="1"/>
          <w:iCs w:val="1"/>
          <w:u w:val="single" w:color="auto"/>
          <w:color w:val="auto"/>
        </w:rPr>
        <w:t>WFB Liquidity Bank</w:t>
      </w:r>
      <w:r>
        <w:rPr>
          <w:rFonts w:ascii="Arial" w:cs="Arial" w:eastAsia="Arial" w:hAnsi="Arial"/>
          <w:sz w:val="19"/>
          <w:szCs w:val="19"/>
          <w:color w:val="auto"/>
        </w:rPr>
        <w:t>”), and PNC BANK, NATIONAL ASSOCIATION (“</w:t>
      </w:r>
      <w:r>
        <w:rPr>
          <w:rFonts w:ascii="Arial" w:cs="Arial" w:eastAsia="Arial" w:hAnsi="Arial"/>
          <w:sz w:val="19"/>
          <w:szCs w:val="19"/>
          <w:i w:val="1"/>
          <w:iCs w:val="1"/>
          <w:u w:val="single" w:color="auto"/>
          <w:color w:val="auto"/>
        </w:rPr>
        <w:t>PNC</w:t>
      </w:r>
      <w:r>
        <w:rPr>
          <w:rFonts w:ascii="Arial" w:cs="Arial" w:eastAsia="Arial" w:hAnsi="Arial"/>
          <w:sz w:val="19"/>
          <w:szCs w:val="19"/>
          <w:color w:val="auto"/>
        </w:rPr>
        <w:t>”), as the purchaser agent for the PNC Purchaser Group (in such capacity, the “</w:t>
      </w:r>
      <w:r>
        <w:rPr>
          <w:rFonts w:ascii="Arial" w:cs="Arial" w:eastAsia="Arial" w:hAnsi="Arial"/>
          <w:sz w:val="19"/>
          <w:szCs w:val="19"/>
          <w:i w:val="1"/>
          <w:iCs w:val="1"/>
          <w:u w:val="single" w:color="auto"/>
          <w:color w:val="auto"/>
        </w:rPr>
        <w:t>PNC Purchaser Agent</w:t>
      </w:r>
      <w:r>
        <w:rPr>
          <w:rFonts w:ascii="Arial" w:cs="Arial" w:eastAsia="Arial" w:hAnsi="Arial"/>
          <w:sz w:val="19"/>
          <w:szCs w:val="19"/>
          <w:color w:val="auto"/>
        </w:rPr>
        <w:t>”) and a PNC Liquidity Bank (the “</w:t>
      </w:r>
      <w:r>
        <w:rPr>
          <w:rFonts w:ascii="Arial" w:cs="Arial" w:eastAsia="Arial" w:hAnsi="Arial"/>
          <w:sz w:val="19"/>
          <w:szCs w:val="19"/>
          <w:i w:val="1"/>
          <w:iCs w:val="1"/>
          <w:u w:val="single" w:color="auto"/>
          <w:color w:val="auto"/>
        </w:rPr>
        <w:t>PNC Liquidity Bank</w:t>
      </w:r>
      <w:r>
        <w:rPr>
          <w:rFonts w:ascii="Arial" w:cs="Arial" w:eastAsia="Arial" w:hAnsi="Arial"/>
          <w:sz w:val="19"/>
          <w:szCs w:val="19"/>
          <w:color w:val="auto"/>
        </w:rPr>
        <w:t>”). Capitalized terms used and not otherwise defined in this Amendment shall have the meanings given to such terms in the Agreement.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1"/>
          <w:szCs w:val="21"/>
          <w:u w:val="single" w:color="auto"/>
          <w:color w:val="auto"/>
        </w:rPr>
        <w:t>Preliminary Statement</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Each of the parties to the Agreement desires to amend the Agreement on the conditions set forth herein.</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NOW, THEREFORE, the signatories hereto agree as follows:</w:t>
      </w:r>
    </w:p>
    <w:p>
      <w:pPr>
        <w:spacing w:after="0" w:line="188" w:lineRule="exact"/>
        <w:rPr>
          <w:sz w:val="20"/>
          <w:szCs w:val="20"/>
          <w:color w:val="auto"/>
        </w:rPr>
      </w:pPr>
    </w:p>
    <w:p>
      <w:pPr>
        <w:ind w:firstLine="1250"/>
        <w:spacing w:after="0" w:line="235"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Amendment to the Agreement</w:t>
      </w:r>
      <w:r>
        <w:rPr>
          <w:rFonts w:ascii="Arial" w:cs="Arial" w:eastAsia="Arial" w:hAnsi="Arial"/>
          <w:sz w:val="21"/>
          <w:szCs w:val="21"/>
          <w:color w:val="auto"/>
        </w:rPr>
        <w:t>. Effective as of the date hereof in accordance with Section 2 of this Amendment, Schedule 6.1(o) to the Agreement is hereby amended by deleting the following row:</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7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1"/>
                <w:szCs w:val="21"/>
                <w:color w:val="auto"/>
              </w:rPr>
              <w:t>Wells Fargo, N.A.</w:t>
            </w:r>
          </w:p>
        </w:tc>
        <w:tc>
          <w:tcPr>
            <w:tcW w:w="4060" w:type="dxa"/>
            <w:vAlign w:val="bottom"/>
            <w:tcBorders>
              <w:top w:val="single" w:sz="8" w:color="auto"/>
              <w:right w:val="single" w:sz="8" w:color="auto"/>
            </w:tcBorders>
          </w:tcPr>
          <w:p>
            <w:pPr>
              <w:spacing w:after="0"/>
              <w:rPr>
                <w:sz w:val="20"/>
                <w:szCs w:val="20"/>
                <w:color w:val="auto"/>
              </w:rPr>
            </w:pPr>
            <w:r>
              <w:rPr>
                <w:rFonts w:ascii="Arial" w:cs="Arial" w:eastAsia="Arial" w:hAnsi="Arial"/>
                <w:sz w:val="21"/>
                <w:szCs w:val="21"/>
                <w:color w:val="auto"/>
              </w:rPr>
              <w:t>Wells Fargo, N.A.</w:t>
            </w:r>
          </w:p>
        </w:tc>
        <w:tc>
          <w:tcPr>
            <w:tcW w:w="0" w:type="dxa"/>
            <w:vAlign w:val="bottom"/>
          </w:tcPr>
          <w:p>
            <w:pPr>
              <w:spacing w:after="0"/>
              <w:rPr>
                <w:sz w:val="1"/>
                <w:szCs w:val="1"/>
                <w:color w:val="auto"/>
              </w:rPr>
            </w:pPr>
          </w:p>
        </w:tc>
      </w:tr>
      <w:tr>
        <w:trPr>
          <w:trHeight w:val="234"/>
        </w:trPr>
        <w:tc>
          <w:tcPr>
            <w:tcW w:w="7300" w:type="dxa"/>
            <w:vAlign w:val="bottom"/>
            <w:tcBorders>
              <w:left w:val="single" w:sz="8" w:color="auto"/>
              <w:right w:val="single" w:sz="8" w:color="auto"/>
            </w:tcBorders>
          </w:tcPr>
          <w:p>
            <w:pPr>
              <w:ind w:left="40"/>
              <w:spacing w:after="0" w:line="234" w:lineRule="exact"/>
              <w:rPr>
                <w:sz w:val="20"/>
                <w:szCs w:val="20"/>
                <w:color w:val="auto"/>
              </w:rPr>
            </w:pPr>
            <w:r>
              <w:rPr>
                <w:rFonts w:ascii="Arial" w:cs="Arial" w:eastAsia="Arial" w:hAnsi="Arial"/>
                <w:sz w:val="21"/>
                <w:szCs w:val="21"/>
                <w:color w:val="auto"/>
              </w:rPr>
              <w:t>Lockbox XXXXXXX</w:t>
            </w:r>
          </w:p>
        </w:tc>
        <w:tc>
          <w:tcPr>
            <w:tcW w:w="4060" w:type="dxa"/>
            <w:vAlign w:val="bottom"/>
            <w:tcBorders>
              <w:right w:val="single" w:sz="8" w:color="auto"/>
            </w:tcBorders>
            <w:vMerge w:val="restart"/>
          </w:tcPr>
          <w:p>
            <w:pPr>
              <w:ind w:left="60"/>
              <w:spacing w:after="0"/>
              <w:rPr>
                <w:sz w:val="20"/>
                <w:szCs w:val="20"/>
                <w:color w:val="auto"/>
              </w:rPr>
            </w:pPr>
            <w:r>
              <w:rPr>
                <w:rFonts w:ascii="Arial" w:cs="Arial" w:eastAsia="Arial" w:hAnsi="Arial"/>
                <w:sz w:val="21"/>
                <w:szCs w:val="21"/>
                <w:color w:val="auto"/>
              </w:rPr>
              <w:t>XXXXXXXXXXXXXX</w:t>
            </w:r>
          </w:p>
        </w:tc>
        <w:tc>
          <w:tcPr>
            <w:tcW w:w="0" w:type="dxa"/>
            <w:vAlign w:val="bottom"/>
          </w:tcPr>
          <w:p>
            <w:pPr>
              <w:spacing w:after="0"/>
              <w:rPr>
                <w:sz w:val="1"/>
                <w:szCs w:val="1"/>
                <w:color w:val="auto"/>
              </w:rPr>
            </w:pPr>
          </w:p>
        </w:tc>
      </w:tr>
      <w:tr>
        <w:trPr>
          <w:trHeight w:val="135"/>
        </w:trPr>
        <w:tc>
          <w:tcPr>
            <w:tcW w:w="7300" w:type="dxa"/>
            <w:vAlign w:val="bottom"/>
            <w:tcBorders>
              <w:left w:val="single" w:sz="8" w:color="auto"/>
              <w:right w:val="single" w:sz="8" w:color="auto"/>
            </w:tcBorders>
            <w:vMerge w:val="restart"/>
          </w:tcPr>
          <w:p>
            <w:pPr>
              <w:ind w:left="40"/>
              <w:spacing w:after="0" w:line="234" w:lineRule="exact"/>
              <w:rPr>
                <w:sz w:val="20"/>
                <w:szCs w:val="20"/>
                <w:color w:val="auto"/>
              </w:rPr>
            </w:pPr>
            <w:r>
              <w:rPr>
                <w:rFonts w:ascii="Arial" w:cs="Arial" w:eastAsia="Arial" w:hAnsi="Arial"/>
                <w:sz w:val="21"/>
                <w:szCs w:val="21"/>
                <w:color w:val="auto"/>
              </w:rPr>
              <w:t>2975 Regent Blvd Irving, TX 75063</w:t>
            </w:r>
          </w:p>
        </w:tc>
        <w:tc>
          <w:tcPr>
            <w:tcW w:w="4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7300" w:type="dxa"/>
            <w:vAlign w:val="bottom"/>
            <w:tcBorders>
              <w:left w:val="single" w:sz="8" w:color="auto"/>
              <w:right w:val="single" w:sz="8" w:color="auto"/>
            </w:tcBorders>
            <w:vMerge w:val="continue"/>
          </w:tcPr>
          <w:p>
            <w:pPr>
              <w:spacing w:after="0"/>
              <w:rPr>
                <w:sz w:val="8"/>
                <w:szCs w:val="8"/>
                <w:color w:val="auto"/>
              </w:rPr>
            </w:pPr>
          </w:p>
        </w:tc>
        <w:tc>
          <w:tcPr>
            <w:tcW w:w="4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7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color w:val="auto"/>
              </w:rPr>
              <w:t>Heatcraft Refrigeration Products LLC</w:t>
            </w:r>
          </w:p>
        </w:tc>
        <w:tc>
          <w:tcPr>
            <w:tcW w:w="40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7300" w:type="dxa"/>
            <w:vAlign w:val="bottom"/>
            <w:tcBorders>
              <w:left w:val="single" w:sz="8" w:color="auto"/>
              <w:bottom w:val="single" w:sz="8" w:color="auto"/>
              <w:right w:val="single" w:sz="8" w:color="auto"/>
            </w:tcBorders>
          </w:tcPr>
          <w:p>
            <w:pPr>
              <w:spacing w:after="0"/>
              <w:rPr>
                <w:sz w:val="21"/>
                <w:szCs w:val="21"/>
                <w:color w:val="auto"/>
              </w:rPr>
            </w:pPr>
          </w:p>
        </w:tc>
        <w:tc>
          <w:tcPr>
            <w:tcW w:w="4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right="180" w:firstLine="1250"/>
        <w:spacing w:after="0" w:line="264"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Effectiveness</w:t>
      </w:r>
      <w:r>
        <w:rPr>
          <w:rFonts w:ascii="Arial" w:cs="Arial" w:eastAsia="Arial" w:hAnsi="Arial"/>
          <w:sz w:val="21"/>
          <w:szCs w:val="21"/>
          <w:color w:val="auto"/>
        </w:rPr>
        <w:t>. This Amendment shall become effective as of the date hereof at such time that each of the Administrative Agent, the BTMU Purchaser Agent, the WFB Purchaser Agent and the PNC Purchaser Agent shall have received, in form and substance satisfactory to it, executed counterparts of this Amendment.</w:t>
      </w:r>
    </w:p>
    <w:p>
      <w:pPr>
        <w:spacing w:after="0" w:line="167" w:lineRule="exact"/>
        <w:rPr>
          <w:sz w:val="20"/>
          <w:szCs w:val="20"/>
          <w:color w:val="auto"/>
        </w:rPr>
      </w:pPr>
    </w:p>
    <w:p>
      <w:pPr>
        <w:ind w:left="1260"/>
        <w:spacing w:after="0"/>
        <w:tabs>
          <w:tab w:leader="none" w:pos="2500" w:val="left"/>
        </w:tabs>
        <w:rPr>
          <w:sz w:val="20"/>
          <w:szCs w:val="20"/>
          <w:color w:val="auto"/>
        </w:rPr>
      </w:pPr>
      <w:r>
        <w:rPr>
          <w:rFonts w:ascii="Arial" w:cs="Arial" w:eastAsia="Arial" w:hAnsi="Arial"/>
          <w:sz w:val="21"/>
          <w:szCs w:val="21"/>
          <w:color w:val="auto"/>
        </w:rPr>
        <w:t>SECTION 3.</w:t>
      </w:r>
      <w:r>
        <w:rPr>
          <w:sz w:val="20"/>
          <w:szCs w:val="20"/>
          <w:color w:val="auto"/>
        </w:rPr>
        <w:tab/>
      </w:r>
      <w:r>
        <w:rPr>
          <w:rFonts w:ascii="Arial" w:cs="Arial" w:eastAsia="Arial" w:hAnsi="Arial"/>
          <w:sz w:val="18"/>
          <w:szCs w:val="18"/>
          <w:u w:val="single" w:color="auto"/>
          <w:color w:val="auto"/>
        </w:rPr>
        <w:t>Transaction Document</w:t>
      </w:r>
      <w:r>
        <w:rPr>
          <w:rFonts w:ascii="Arial" w:cs="Arial" w:eastAsia="Arial" w:hAnsi="Arial"/>
          <w:sz w:val="18"/>
          <w:szCs w:val="18"/>
          <w:color w:val="auto"/>
        </w:rPr>
        <w:t>. This Amendment shall be a Transaction Document under the Agreement.</w:t>
      </w:r>
    </w:p>
    <w:p>
      <w:pPr>
        <w:sectPr>
          <w:pgSz w:w="11900" w:h="16838" w:orient="portrait"/>
          <w:cols w:equalWidth="0" w:num="1">
            <w:col w:w="11420"/>
          </w:cols>
          <w:pgMar w:left="240" w:top="131" w:right="239" w:bottom="1440" w:gutter="0" w:footer="0" w:header="0"/>
        </w:sectPr>
      </w:pPr>
    </w:p>
    <w:bookmarkStart w:id="105" w:name="page106"/>
    <w:bookmarkEnd w:id="105"/>
    <w:p>
      <w:pPr>
        <w:spacing w:after="0" w:line="55" w:lineRule="exact"/>
        <w:rPr>
          <w:sz w:val="20"/>
          <w:szCs w:val="20"/>
          <w:color w:val="auto"/>
        </w:rPr>
      </w:pPr>
    </w:p>
    <w:p>
      <w:pPr>
        <w:jc w:val="both"/>
        <w:ind w:right="240" w:firstLine="1250"/>
        <w:spacing w:after="0" w:line="264"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Each of the Seller and the Master Servicer makes, as to itself (except where specifically provided otherwise therein), each of the representations and warranties contained in Section 6.1 of the Agreement (after giving effect to this Amendment).</w:t>
      </w:r>
    </w:p>
    <w:p>
      <w:pPr>
        <w:spacing w:after="0" w:line="167" w:lineRule="exact"/>
        <w:rPr>
          <w:sz w:val="20"/>
          <w:szCs w:val="20"/>
          <w:color w:val="auto"/>
        </w:rPr>
      </w:pPr>
    </w:p>
    <w:p>
      <w:pPr>
        <w:ind w:right="80" w:firstLine="1250"/>
        <w:spacing w:after="0" w:line="255"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Confirmation of Agreements; No Other Modifications</w:t>
      </w:r>
      <w:r>
        <w:rPr>
          <w:rFonts w:ascii="Arial" w:cs="Arial" w:eastAsia="Arial" w:hAnsi="Arial"/>
          <w:sz w:val="21"/>
          <w:szCs w:val="21"/>
          <w:color w:val="auto"/>
        </w:rPr>
        <w:t>. Each reference in the Agreement to “this Agreement” or “the Agreement”, or “hereof,” “hereunder” or words of like import, and each reference in any other Transaction Document to the Agreement, shall mean the Agreement as amended by this Amendment, and as hereafter amended or restated. Except as herein expressly amended, the Agreement is ratified and confirmed in all respects and shall remain in full force and effect in accordance with its terms.</w:t>
      </w:r>
    </w:p>
    <w:p>
      <w:pPr>
        <w:spacing w:after="0" w:line="176" w:lineRule="exact"/>
        <w:rPr>
          <w:sz w:val="20"/>
          <w:szCs w:val="20"/>
          <w:color w:val="auto"/>
        </w:rPr>
      </w:pPr>
    </w:p>
    <w:p>
      <w:pPr>
        <w:ind w:right="180" w:firstLine="1250"/>
        <w:spacing w:after="0" w:line="27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Affirmation and Consent of Lennox International</w:t>
      </w:r>
      <w:r>
        <w:rPr>
          <w:rFonts w:ascii="Arial" w:cs="Arial" w:eastAsia="Arial" w:hAnsi="Arial"/>
          <w:sz w:val="20"/>
          <w:szCs w:val="20"/>
          <w:color w:val="auto"/>
        </w:rPr>
        <w:t>. Lennox International hereby consents to this Amendment and hereby affirms and agrees that the Assurance Agreement is, and shall continue to be, in full force and effect and is hereby ratified and affirmed in all respects. Upon the effectiveness of, and on and after the date of, the Amendment, each reference in the Assurance Agreement to the Agreement, “thereunder”, “thereof” or words of like import shall mean and be a reference to the Agreement as amended by this Amendment, and as hereafter amended or restated.</w:t>
      </w:r>
    </w:p>
    <w:p>
      <w:pPr>
        <w:spacing w:after="0" w:line="165" w:lineRule="exact"/>
        <w:rPr>
          <w:sz w:val="20"/>
          <w:szCs w:val="20"/>
          <w:color w:val="auto"/>
        </w:rPr>
      </w:pPr>
    </w:p>
    <w:p>
      <w:pPr>
        <w:ind w:right="20" w:firstLine="1250"/>
        <w:spacing w:after="0" w:line="264"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Costs and Expenses</w:t>
      </w:r>
      <w:r>
        <w:rPr>
          <w:rFonts w:ascii="Arial" w:cs="Arial" w:eastAsia="Arial" w:hAnsi="Arial"/>
          <w:sz w:val="21"/>
          <w:szCs w:val="21"/>
          <w:color w:val="auto"/>
        </w:rPr>
        <w:t>. The Seller agrees to pay on demand all reasonable costs and expenses in connection with the preparation, execution and delivery of this Amendment, including, without limitation, the reasonable fees and out-of-pocket expenses of counsel for the Administrative Agent with respect thereto.</w:t>
      </w:r>
    </w:p>
    <w:p>
      <w:pPr>
        <w:spacing w:after="0" w:line="161" w:lineRule="exact"/>
        <w:rPr>
          <w:sz w:val="20"/>
          <w:szCs w:val="20"/>
          <w:color w:val="auto"/>
        </w:rPr>
      </w:pPr>
    </w:p>
    <w:p>
      <w:pPr>
        <w:ind w:left="1260"/>
        <w:spacing w:after="0"/>
        <w:tabs>
          <w:tab w:leader="none" w:pos="2500" w:val="left"/>
        </w:tabs>
        <w:rPr>
          <w:sz w:val="20"/>
          <w:szCs w:val="20"/>
          <w:color w:val="auto"/>
        </w:rPr>
      </w:pPr>
      <w:r>
        <w:rPr>
          <w:rFonts w:ascii="Arial" w:cs="Arial" w:eastAsia="Arial" w:hAnsi="Arial"/>
          <w:sz w:val="21"/>
          <w:szCs w:val="21"/>
          <w:color w:val="auto"/>
        </w:rPr>
        <w:t>SECTION 8.</w:t>
      </w:r>
      <w:r>
        <w:rPr>
          <w:sz w:val="20"/>
          <w:szCs w:val="20"/>
          <w:color w:val="auto"/>
        </w:rPr>
        <w:tab/>
      </w: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THIS AMENDMENT, INCLUDING THE RIGHTS AND DUTIES OF THE</w:t>
      </w:r>
    </w:p>
    <w:p>
      <w:pPr>
        <w:spacing w:after="0" w:line="30"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b w:val="1"/>
          <w:bCs w:val="1"/>
          <w:color w:val="auto"/>
        </w:rPr>
        <w:t>PARTIES HERETO, SHALL BE GOVERNED BY, AND CONSTRUED IN ACCORDANCE WITH, THE INTERNAL LAWS OF THE STATE OF NEW YORK WITHOUT REFERENCE TO PRINCIPLES OF CONFLICTS OF LAW (OTHER THAN SECTION 5-1401 OF THE NEW YORK GENERAL OBLIGATIONS LAW).</w:t>
      </w:r>
    </w:p>
    <w:p>
      <w:pPr>
        <w:spacing w:after="0" w:line="176" w:lineRule="exact"/>
        <w:rPr>
          <w:sz w:val="20"/>
          <w:szCs w:val="20"/>
          <w:color w:val="auto"/>
        </w:rPr>
      </w:pPr>
    </w:p>
    <w:p>
      <w:pPr>
        <w:ind w:right="100" w:firstLine="1250"/>
        <w:spacing w:after="0" w:line="255"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Execution in Counterparts</w:t>
      </w:r>
      <w:r>
        <w:rPr>
          <w:rFonts w:ascii="Arial" w:cs="Arial" w:eastAsia="Arial" w:hAnsi="Arial"/>
          <w:sz w:val="21"/>
          <w:szCs w:val="21"/>
          <w:color w:val="auto"/>
        </w:rPr>
        <w:t>. This Amendment may be executed in any number of counterparts and by the different parties hereto in separate counterparts, each of which when so executed shall be deemed to be an original and all of which when taken together shall constitute one and the same Amendment. Delivery of an executed counterpart of a signature page to this Amendment by facsimile or by electronic mail in portable document format (.pdf) shall be as effective as delivery of a manually executed counterpart of a signature page of this Amendment.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1250"/>
        <w:spacing w:after="0" w:line="269" w:lineRule="auto"/>
        <w:rPr>
          <w:sz w:val="20"/>
          <w:szCs w:val="20"/>
          <w:color w:val="auto"/>
        </w:rPr>
      </w:pPr>
      <w:r>
        <w:rPr>
          <w:rFonts w:ascii="Arial" w:cs="Arial" w:eastAsia="Arial" w:hAnsi="Arial"/>
          <w:sz w:val="21"/>
          <w:szCs w:val="21"/>
          <w:color w:val="auto"/>
        </w:rPr>
        <w:t>IN WITNESS WHEREOF, the parties have caused this Amendment to be executed by their respective officers thereunto duly authorized, as of the date first above written.</w:t>
      </w:r>
    </w:p>
    <w:p>
      <w:pPr>
        <w:spacing w:after="0" w:line="370"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LPAC CORP., as Seller</w:t>
      </w:r>
    </w:p>
    <w:p>
      <w:pPr>
        <w:spacing w:after="0" w:line="200" w:lineRule="exact"/>
        <w:rPr>
          <w:sz w:val="20"/>
          <w:szCs w:val="20"/>
          <w:color w:val="auto"/>
        </w:rPr>
      </w:pPr>
    </w:p>
    <w:p>
      <w:pPr>
        <w:spacing w:after="0" w:line="262"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/s/Richard A. Pelini</w:t>
      </w:r>
    </w:p>
    <w:p>
      <w:pPr>
        <w:spacing w:after="0" w:line="2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 Richard A. Pelini</w:t>
      </w:r>
    </w:p>
    <w:p>
      <w:pPr>
        <w:spacing w:after="0" w:line="19"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Title: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LENNOX INDUSTRIES INC., as Master Servicer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/s/Richard A. Pelini</w:t>
      </w:r>
    </w:p>
    <w:p>
      <w:pPr>
        <w:spacing w:after="0" w:line="24" w:lineRule="exact"/>
        <w:rPr>
          <w:sz w:val="20"/>
          <w:szCs w:val="20"/>
          <w:color w:val="auto"/>
        </w:rPr>
      </w:pPr>
    </w:p>
    <w:p>
      <w:pPr>
        <w:ind w:left="3500"/>
        <w:spacing w:after="0"/>
        <w:rPr>
          <w:sz w:val="20"/>
          <w:szCs w:val="20"/>
          <w:color w:val="auto"/>
        </w:rPr>
      </w:pPr>
      <w:r>
        <w:rPr>
          <w:rFonts w:ascii="Arial" w:cs="Arial" w:eastAsia="Arial" w:hAnsi="Arial"/>
          <w:sz w:val="21"/>
          <w:szCs w:val="21"/>
          <w:color w:val="auto"/>
        </w:rPr>
        <w:t>Name: Richard A. Pelini</w:t>
      </w:r>
    </w:p>
    <w:p>
      <w:pPr>
        <w:spacing w:after="0" w:line="19" w:lineRule="exact"/>
        <w:rPr>
          <w:sz w:val="20"/>
          <w:szCs w:val="20"/>
          <w:color w:val="auto"/>
        </w:rPr>
      </w:pPr>
    </w:p>
    <w:p>
      <w:pPr>
        <w:ind w:left="3500"/>
        <w:spacing w:after="0"/>
        <w:rPr>
          <w:sz w:val="20"/>
          <w:szCs w:val="20"/>
          <w:color w:val="auto"/>
        </w:rPr>
      </w:pPr>
      <w:r>
        <w:rPr>
          <w:rFonts w:ascii="Arial" w:cs="Arial" w:eastAsia="Arial" w:hAnsi="Arial"/>
          <w:sz w:val="21"/>
          <w:szCs w:val="21"/>
          <w:color w:val="auto"/>
        </w:rPr>
        <w:t>Title: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LENNOX INTERNATIONAL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/s/Richard A. Pelini</w:t>
      </w:r>
    </w:p>
    <w:p>
      <w:pPr>
        <w:spacing w:after="0" w:line="2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 Richard A. Pelini</w:t>
      </w:r>
    </w:p>
    <w:p>
      <w:pPr>
        <w:sectPr>
          <w:pgSz w:w="11900" w:h="16894" w:orient="portrait"/>
          <w:cols w:equalWidth="0" w:num="1">
            <w:col w:w="11300"/>
          </w:cols>
          <w:pgMar w:left="240" w:top="339" w:right="359" w:bottom="0" w:gutter="0" w:footer="0" w:header="0"/>
        </w:sectPr>
      </w:pPr>
    </w:p>
    <w:bookmarkStart w:id="106" w:name="page107"/>
    <w:bookmarkEnd w:id="106"/>
    <w:p>
      <w:pPr>
        <w:ind w:left="2320"/>
        <w:spacing w:after="0"/>
        <w:rPr>
          <w:sz w:val="20"/>
          <w:szCs w:val="20"/>
          <w:color w:val="auto"/>
        </w:rPr>
      </w:pPr>
      <w:r>
        <w:rPr>
          <w:rFonts w:ascii="Arial" w:cs="Arial" w:eastAsia="Arial" w:hAnsi="Arial"/>
          <w:sz w:val="21"/>
          <w:szCs w:val="21"/>
          <w:color w:val="auto"/>
        </w:rPr>
        <w:t>Title: President, Treasurer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VICTORY RECEIVABLES CORPORATION, as a Purchaser</w:t>
      </w:r>
    </w:p>
    <w:p>
      <w:pPr>
        <w:spacing w:after="0" w:line="200" w:lineRule="exact"/>
        <w:rPr>
          <w:sz w:val="20"/>
          <w:szCs w:val="20"/>
          <w:color w:val="auto"/>
        </w:rPr>
      </w:pPr>
    </w:p>
    <w:p>
      <w:pPr>
        <w:spacing w:after="0" w:line="285"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/s/Kevin J. Corrigan</w:t>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21"/>
          <w:szCs w:val="21"/>
          <w:color w:val="auto"/>
        </w:rPr>
        <w:t>Name: Kevin J. Corrigan</w:t>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17"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MUFG BANK, LTD., as Administrative Agent</w:t>
      </w:r>
    </w:p>
    <w:p>
      <w:pPr>
        <w:spacing w:after="0" w:line="200" w:lineRule="exact"/>
        <w:rPr>
          <w:sz w:val="20"/>
          <w:szCs w:val="20"/>
          <w:color w:val="auto"/>
        </w:rPr>
      </w:pPr>
    </w:p>
    <w:p>
      <w:pPr>
        <w:spacing w:after="0" w:line="26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/s/Eric Williams</w:t>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21"/>
          <w:szCs w:val="21"/>
          <w:color w:val="auto"/>
        </w:rPr>
        <w:t>Name: Eric Williams</w:t>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17"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MUFG BANK, LTD., as BTMU Purchaser Agent</w:t>
      </w:r>
    </w:p>
    <w:p>
      <w:pPr>
        <w:spacing w:after="0" w:line="200" w:lineRule="exact"/>
        <w:rPr>
          <w:sz w:val="20"/>
          <w:szCs w:val="20"/>
          <w:color w:val="auto"/>
        </w:rPr>
      </w:pPr>
    </w:p>
    <w:p>
      <w:pPr>
        <w:spacing w:after="0" w:line="26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/s/Eric Williams</w:t>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21"/>
          <w:szCs w:val="21"/>
          <w:color w:val="auto"/>
        </w:rPr>
        <w:t>Name: Eric Williams</w:t>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MUFG BANK, LTD., as a Liquidity Bank</w:t>
      </w:r>
    </w:p>
    <w:p>
      <w:pPr>
        <w:spacing w:after="0" w:line="200" w:lineRule="exact"/>
        <w:rPr>
          <w:sz w:val="20"/>
          <w:szCs w:val="20"/>
          <w:color w:val="auto"/>
        </w:rPr>
      </w:pPr>
    </w:p>
    <w:p>
      <w:pPr>
        <w:spacing w:after="0" w:line="26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/s/Eric Williams</w:t>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21"/>
          <w:szCs w:val="21"/>
          <w:color w:val="auto"/>
        </w:rPr>
        <w:t>Name: Eric Williams</w:t>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17" w:lineRule="exact"/>
        <w:rPr>
          <w:sz w:val="20"/>
          <w:szCs w:val="20"/>
          <w:color w:val="auto"/>
        </w:rPr>
      </w:pPr>
    </w:p>
    <w:p>
      <w:pPr>
        <w:ind w:left="1920" w:right="2379"/>
        <w:spacing w:after="0" w:line="269" w:lineRule="auto"/>
        <w:rPr>
          <w:sz w:val="20"/>
          <w:szCs w:val="20"/>
          <w:color w:val="auto"/>
        </w:rPr>
      </w:pPr>
      <w:r>
        <w:rPr>
          <w:rFonts w:ascii="Arial" w:cs="Arial" w:eastAsia="Arial" w:hAnsi="Arial"/>
          <w:sz w:val="21"/>
          <w:szCs w:val="21"/>
          <w:color w:val="auto"/>
        </w:rPr>
        <w:t>WELLS FARGO BANK, NATIONAL ASSOCIATION, as WFB Purchaser Agent</w:t>
      </w:r>
    </w:p>
    <w:p>
      <w:pPr>
        <w:spacing w:after="0" w:line="370"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/s/Isaac Washington</w:t>
      </w:r>
    </w:p>
    <w:p>
      <w:pPr>
        <w:spacing w:after="0" w:line="24" w:lineRule="exact"/>
        <w:rPr>
          <w:sz w:val="20"/>
          <w:szCs w:val="20"/>
          <w:color w:val="auto"/>
        </w:rPr>
      </w:pPr>
    </w:p>
    <w:p>
      <w:pPr>
        <w:ind w:left="2140"/>
        <w:spacing w:after="0"/>
        <w:rPr>
          <w:sz w:val="20"/>
          <w:szCs w:val="20"/>
          <w:color w:val="auto"/>
        </w:rPr>
      </w:pPr>
      <w:r>
        <w:rPr>
          <w:rFonts w:ascii="Arial" w:cs="Arial" w:eastAsia="Arial" w:hAnsi="Arial"/>
          <w:sz w:val="21"/>
          <w:szCs w:val="21"/>
          <w:color w:val="auto"/>
        </w:rPr>
        <w:t>Name: Isaac Washington</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17" w:lineRule="exact"/>
        <w:rPr>
          <w:sz w:val="20"/>
          <w:szCs w:val="20"/>
          <w:color w:val="auto"/>
        </w:rPr>
      </w:pPr>
    </w:p>
    <w:p>
      <w:pPr>
        <w:ind w:left="1920" w:right="2379"/>
        <w:spacing w:after="0" w:line="269" w:lineRule="auto"/>
        <w:rPr>
          <w:sz w:val="20"/>
          <w:szCs w:val="20"/>
          <w:color w:val="auto"/>
        </w:rPr>
      </w:pPr>
      <w:r>
        <w:rPr>
          <w:rFonts w:ascii="Arial" w:cs="Arial" w:eastAsia="Arial" w:hAnsi="Arial"/>
          <w:sz w:val="21"/>
          <w:szCs w:val="21"/>
          <w:color w:val="auto"/>
        </w:rPr>
        <w:t>WELLS FARGO BANK, NATIONAL ASSOCIATION, as a Liquidity Bank</w:t>
      </w:r>
    </w:p>
    <w:p>
      <w:pPr>
        <w:spacing w:after="0" w:line="200" w:lineRule="exact"/>
        <w:rPr>
          <w:sz w:val="20"/>
          <w:szCs w:val="20"/>
          <w:color w:val="auto"/>
        </w:rPr>
      </w:pPr>
    </w:p>
    <w:p>
      <w:pPr>
        <w:spacing w:after="0" w:line="209"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/s/Isaac Washington</w:t>
      </w:r>
    </w:p>
    <w:p>
      <w:pPr>
        <w:spacing w:after="0" w:line="24" w:lineRule="exact"/>
        <w:rPr>
          <w:sz w:val="20"/>
          <w:szCs w:val="20"/>
          <w:color w:val="auto"/>
        </w:rPr>
      </w:pPr>
    </w:p>
    <w:p>
      <w:pPr>
        <w:ind w:left="2140"/>
        <w:spacing w:after="0"/>
        <w:rPr>
          <w:sz w:val="20"/>
          <w:szCs w:val="20"/>
          <w:color w:val="auto"/>
        </w:rPr>
      </w:pPr>
      <w:r>
        <w:rPr>
          <w:rFonts w:ascii="Arial" w:cs="Arial" w:eastAsia="Arial" w:hAnsi="Arial"/>
          <w:sz w:val="21"/>
          <w:szCs w:val="21"/>
          <w:color w:val="auto"/>
        </w:rPr>
        <w:t>Name: Isaac Washington</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PNC BANK, NATIONAL ASSOCIATION,</w:t>
      </w:r>
    </w:p>
    <w:p>
      <w:pPr>
        <w:spacing w:after="0" w:line="24"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as PNC Purchaser Agent</w:t>
      </w:r>
    </w:p>
    <w:p>
      <w:pPr>
        <w:spacing w:after="0" w:line="200" w:lineRule="exact"/>
        <w:rPr>
          <w:sz w:val="20"/>
          <w:szCs w:val="20"/>
          <w:color w:val="auto"/>
        </w:rPr>
      </w:pPr>
    </w:p>
    <w:p>
      <w:pPr>
        <w:spacing w:after="0" w:line="205"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/s/Michael Brown</w:t>
      </w:r>
    </w:p>
    <w:p>
      <w:pPr>
        <w:spacing w:after="0" w:line="24" w:lineRule="exact"/>
        <w:rPr>
          <w:sz w:val="20"/>
          <w:szCs w:val="20"/>
          <w:color w:val="auto"/>
        </w:rPr>
      </w:pPr>
    </w:p>
    <w:p>
      <w:pPr>
        <w:ind w:left="2140"/>
        <w:spacing w:after="0"/>
        <w:rPr>
          <w:sz w:val="20"/>
          <w:szCs w:val="20"/>
          <w:color w:val="auto"/>
        </w:rPr>
      </w:pPr>
      <w:r>
        <w:rPr>
          <w:rFonts w:ascii="Arial" w:cs="Arial" w:eastAsia="Arial" w:hAnsi="Arial"/>
          <w:sz w:val="21"/>
          <w:szCs w:val="21"/>
          <w:color w:val="auto"/>
        </w:rPr>
        <w:t>Name: Michael Brown</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21"/>
          <w:szCs w:val="21"/>
          <w:color w:val="auto"/>
        </w:rPr>
        <w:t>Title: Senior Vice President</w:t>
      </w:r>
    </w:p>
    <w:p>
      <w:pPr>
        <w:spacing w:after="0" w:line="200" w:lineRule="exact"/>
        <w:rPr>
          <w:sz w:val="20"/>
          <w:szCs w:val="20"/>
          <w:color w:val="auto"/>
        </w:rPr>
      </w:pPr>
    </w:p>
    <w:p>
      <w:pPr>
        <w:spacing w:after="0" w:line="217"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PNC BANK, NATIONAL ASSOCIATION,</w:t>
      </w:r>
    </w:p>
    <w:p>
      <w:pPr>
        <w:spacing w:after="0" w:line="24"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as a Liquidity Bank</w:t>
      </w:r>
    </w:p>
    <w:p>
      <w:pPr>
        <w:sectPr>
          <w:pgSz w:w="11900" w:h="16838" w:orient="portrait"/>
          <w:cols w:equalWidth="0" w:num="1">
            <w:col w:w="9019"/>
          </w:cols>
          <w:pgMar w:left="1440" w:top="131" w:right="1440" w:bottom="0" w:gutter="0" w:footer="0" w:header="0"/>
        </w:sectPr>
      </w:pPr>
    </w:p>
    <w:bookmarkStart w:id="107" w:name="page108"/>
    <w:bookmarkEnd w:id="107"/>
    <w:p>
      <w:pPr>
        <w:ind w:left="19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/s/Michael Brown</w:t>
      </w:r>
    </w:p>
    <w:p>
      <w:pPr>
        <w:spacing w:after="0" w:line="24" w:lineRule="exact"/>
        <w:rPr>
          <w:sz w:val="20"/>
          <w:szCs w:val="20"/>
          <w:color w:val="auto"/>
        </w:rPr>
      </w:pPr>
    </w:p>
    <w:p>
      <w:pPr>
        <w:ind w:left="2140"/>
        <w:spacing w:after="0"/>
        <w:rPr>
          <w:sz w:val="20"/>
          <w:szCs w:val="20"/>
          <w:color w:val="auto"/>
        </w:rPr>
      </w:pPr>
      <w:r>
        <w:rPr>
          <w:rFonts w:ascii="Arial" w:cs="Arial" w:eastAsia="Arial" w:hAnsi="Arial"/>
          <w:sz w:val="21"/>
          <w:szCs w:val="21"/>
          <w:color w:val="auto"/>
        </w:rPr>
        <w:t>Name: Michael Brown</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19"/>
          <w:szCs w:val="19"/>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418"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21"/>
          <w:szCs w:val="21"/>
          <w:color w:val="auto"/>
        </w:rPr>
        <w:t>Exhibit 10.18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LENNOX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Long-Term Incentive Award Agreement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U.S. Employees – Vice President and Above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THIS AGREEMENT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made as of __________, 20__ (the “</w:t>
      </w:r>
      <w:r>
        <w:rPr>
          <w:rFonts w:ascii="Arial" w:cs="Arial" w:eastAsia="Arial" w:hAnsi="Arial"/>
          <w:sz w:val="19"/>
          <w:szCs w:val="19"/>
          <w:b w:val="1"/>
          <w:bCs w:val="1"/>
          <w:u w:val="single" w:color="auto"/>
          <w:color w:val="auto"/>
        </w:rPr>
        <w:t>Date of Grant</w:t>
      </w:r>
      <w:r>
        <w:rPr>
          <w:rFonts w:ascii="Arial" w:cs="Arial" w:eastAsia="Arial" w:hAnsi="Arial"/>
          <w:sz w:val="19"/>
          <w:szCs w:val="19"/>
          <w:color w:val="auto"/>
        </w:rPr>
        <w:t>”), by and between Lennox</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International Inc., a Delaware corporation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and __________ (“</w:t>
      </w:r>
      <w:r>
        <w:rPr>
          <w:rFonts w:ascii="Arial" w:cs="Arial" w:eastAsia="Arial" w:hAnsi="Arial"/>
          <w:sz w:val="21"/>
          <w:szCs w:val="21"/>
          <w:b w:val="1"/>
          <w:bCs w:val="1"/>
          <w:u w:val="single" w:color="auto"/>
          <w:color w:val="auto"/>
        </w:rPr>
        <w:t>Participant</w:t>
      </w:r>
      <w:r>
        <w:rPr>
          <w:rFonts w:ascii="Arial" w:cs="Arial" w:eastAsia="Arial" w:hAnsi="Arial"/>
          <w:sz w:val="21"/>
          <w:szCs w:val="21"/>
          <w:color w:val="auto"/>
        </w:rPr>
        <w:t>”).</w:t>
      </w:r>
    </w:p>
    <w:p>
      <w:pPr>
        <w:spacing w:after="0" w:line="235" w:lineRule="exact"/>
        <w:rPr>
          <w:sz w:val="20"/>
          <w:szCs w:val="20"/>
          <w:color w:val="auto"/>
        </w:rPr>
      </w:pPr>
    </w:p>
    <w:p>
      <w:pPr>
        <w:jc w:val="both"/>
        <w:ind w:firstLine="1250"/>
        <w:spacing w:after="0" w:line="289" w:lineRule="auto"/>
        <w:rPr>
          <w:sz w:val="20"/>
          <w:szCs w:val="20"/>
          <w:color w:val="auto"/>
        </w:rPr>
      </w:pPr>
      <w:r>
        <w:rPr>
          <w:rFonts w:ascii="Arial" w:cs="Arial" w:eastAsia="Arial" w:hAnsi="Arial"/>
          <w:sz w:val="19"/>
          <w:szCs w:val="19"/>
          <w:color w:val="auto"/>
        </w:rPr>
        <w:t>The Company has adopted the Lennox International Inc. 2019 Equity and Incentive Compensation Plan (as amended and restated from time to time, the “</w:t>
      </w: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the terms of which are incorporated by reference and made a part of this Agreement, for the benefit of eligible employees, Directors, and certain other service providers of the Company and its Subsidiaries (together, “</w:t>
      </w:r>
      <w:r>
        <w:rPr>
          <w:rFonts w:ascii="Arial" w:cs="Arial" w:eastAsia="Arial" w:hAnsi="Arial"/>
          <w:sz w:val="19"/>
          <w:szCs w:val="19"/>
          <w:b w:val="1"/>
          <w:bCs w:val="1"/>
          <w:u w:val="single" w:color="auto"/>
          <w:color w:val="auto"/>
        </w:rPr>
        <w:t>LII</w:t>
      </w:r>
      <w:r>
        <w:rPr>
          <w:rFonts w:ascii="Arial" w:cs="Arial" w:eastAsia="Arial" w:hAnsi="Arial"/>
          <w:sz w:val="19"/>
          <w:szCs w:val="19"/>
          <w:color w:val="auto"/>
        </w:rPr>
        <w:t>”). Capitalized terms used and not otherwise defined in this Agreement have the meanings set forth in the Plan.</w:t>
      </w:r>
    </w:p>
    <w:p>
      <w:pPr>
        <w:spacing w:after="0" w:line="185" w:lineRule="exact"/>
        <w:rPr>
          <w:sz w:val="20"/>
          <w:szCs w:val="20"/>
          <w:color w:val="auto"/>
        </w:rPr>
      </w:pPr>
    </w:p>
    <w:p>
      <w:pPr>
        <w:jc w:val="both"/>
        <w:ind w:firstLine="1250"/>
        <w:spacing w:after="0" w:line="309" w:lineRule="auto"/>
        <w:rPr>
          <w:sz w:val="20"/>
          <w:szCs w:val="20"/>
          <w:color w:val="auto"/>
        </w:rPr>
      </w:pPr>
      <w:r>
        <w:rPr>
          <w:rFonts w:ascii="Arial" w:cs="Arial" w:eastAsia="Arial" w:hAnsi="Arial"/>
          <w:sz w:val="18"/>
          <w:szCs w:val="18"/>
          <w:color w:val="auto"/>
        </w:rPr>
        <w:t>Pursuant to the Plan, the Committee, which has responsibility for administering the Plan, has determined that it is in the interest of the Company and its Stockholders to make the awards described in this Agreement in order to increase Participant’s personal interest in the continued success and progress of the Company, to foster and enhance the long-term profitability of the Company for the benefit of its Stockholders by offering the incentive of long-term rewards, and to encourage Participant to remain in the employ of LII.</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The Company and Participant therefore agree as follows:</w:t>
      </w:r>
    </w:p>
    <w:p>
      <w:pPr>
        <w:spacing w:after="0" w:line="247" w:lineRule="exact"/>
        <w:rPr>
          <w:sz w:val="20"/>
          <w:szCs w:val="20"/>
          <w:color w:val="auto"/>
        </w:rPr>
      </w:pPr>
    </w:p>
    <w:p>
      <w:pPr>
        <w:ind w:firstLine="629"/>
        <w:spacing w:after="0" w:line="275" w:lineRule="auto"/>
        <w:tabs>
          <w:tab w:leader="none" w:pos="1016" w:val="left"/>
        </w:tabs>
        <w:numPr>
          <w:ilvl w:val="1"/>
          <w:numId w:val="42"/>
        </w:numPr>
        <w:rPr>
          <w:rFonts w:ascii="Arial" w:cs="Arial" w:eastAsia="Arial" w:hAnsi="Arial"/>
          <w:sz w:val="21"/>
          <w:szCs w:val="21"/>
          <w:color w:val="auto"/>
        </w:rPr>
      </w:pPr>
      <w:r>
        <w:rPr>
          <w:rFonts w:ascii="Arial" w:cs="Arial" w:eastAsia="Arial" w:hAnsi="Arial"/>
          <w:sz w:val="21"/>
          <w:szCs w:val="21"/>
          <w:b w:val="1"/>
          <w:bCs w:val="1"/>
          <w:color w:val="auto"/>
        </w:rPr>
        <w:t>Grant of Awards</w:t>
      </w:r>
      <w:r>
        <w:rPr>
          <w:rFonts w:ascii="Arial" w:cs="Arial" w:eastAsia="Arial" w:hAnsi="Arial"/>
          <w:sz w:val="21"/>
          <w:szCs w:val="21"/>
          <w:color w:val="auto"/>
        </w:rPr>
        <w:t>. Subject to and upon the terms of this Agreement and the Plan, the Company grants to Participant on the</w:t>
      </w:r>
      <w:r>
        <w:rPr>
          <w:rFonts w:ascii="Arial" w:cs="Arial" w:eastAsia="Arial" w:hAnsi="Arial"/>
          <w:sz w:val="21"/>
          <w:szCs w:val="21"/>
          <w:b w:val="1"/>
          <w:bCs w:val="1"/>
          <w:color w:val="auto"/>
        </w:rPr>
        <w:t xml:space="preserve"> </w:t>
      </w:r>
      <w:r>
        <w:rPr>
          <w:rFonts w:ascii="Arial" w:cs="Arial" w:eastAsia="Arial" w:hAnsi="Arial"/>
          <w:sz w:val="21"/>
          <w:szCs w:val="21"/>
          <w:color w:val="auto"/>
        </w:rPr>
        <w:t>Date of Grant:</w:t>
      </w:r>
    </w:p>
    <w:p>
      <w:pPr>
        <w:spacing w:after="0" w:line="194" w:lineRule="exact"/>
        <w:rPr>
          <w:rFonts w:ascii="Arial" w:cs="Arial" w:eastAsia="Arial" w:hAnsi="Arial"/>
          <w:sz w:val="21"/>
          <w:szCs w:val="21"/>
          <w:color w:val="auto"/>
        </w:rPr>
      </w:pPr>
    </w:p>
    <w:p>
      <w:pPr>
        <w:jc w:val="both"/>
        <w:ind w:left="620" w:firstLine="634"/>
        <w:spacing w:after="0" w:line="253" w:lineRule="auto"/>
        <w:tabs>
          <w:tab w:leader="none" w:pos="1776" w:val="left"/>
        </w:tabs>
        <w:numPr>
          <w:ilvl w:val="2"/>
          <w:numId w:val="42"/>
        </w:numPr>
        <w:rPr>
          <w:rFonts w:ascii="Arial" w:cs="Arial" w:eastAsia="Arial" w:hAnsi="Arial"/>
          <w:sz w:val="21"/>
          <w:szCs w:val="21"/>
          <w:color w:val="auto"/>
        </w:rPr>
      </w:pPr>
      <w:r>
        <w:rPr>
          <w:rFonts w:ascii="Arial" w:cs="Arial" w:eastAsia="Arial" w:hAnsi="Arial"/>
          <w:sz w:val="21"/>
          <w:szCs w:val="21"/>
          <w:u w:val="single" w:color="auto"/>
          <w:color w:val="auto"/>
        </w:rPr>
        <w:t>PSU Award</w:t>
      </w:r>
      <w:r>
        <w:rPr>
          <w:rFonts w:ascii="Arial" w:cs="Arial" w:eastAsia="Arial" w:hAnsi="Arial"/>
          <w:sz w:val="21"/>
          <w:szCs w:val="21"/>
          <w:color w:val="auto"/>
        </w:rPr>
        <w:t xml:space="preserve"> - for the performance period beginning on January 1, 20__ and ending on December 31, 20__ (the “</w:t>
      </w:r>
      <w:r>
        <w:rPr>
          <w:rFonts w:ascii="Arial" w:cs="Arial" w:eastAsia="Arial" w:hAnsi="Arial"/>
          <w:sz w:val="21"/>
          <w:szCs w:val="21"/>
          <w:b w:val="1"/>
          <w:bCs w:val="1"/>
          <w:u w:val="single" w:color="auto"/>
          <w:color w:val="auto"/>
        </w:rPr>
        <w:t>PSU Performance Period</w:t>
      </w:r>
      <w:r>
        <w:rPr>
          <w:rFonts w:ascii="Arial" w:cs="Arial" w:eastAsia="Arial" w:hAnsi="Arial"/>
          <w:sz w:val="21"/>
          <w:szCs w:val="21"/>
          <w:color w:val="auto"/>
        </w:rPr>
        <w:t>”), an award of _________ performance share units (“</w:t>
      </w:r>
      <w:r>
        <w:rPr>
          <w:rFonts w:ascii="Arial" w:cs="Arial" w:eastAsia="Arial" w:hAnsi="Arial"/>
          <w:sz w:val="21"/>
          <w:szCs w:val="21"/>
          <w:b w:val="1"/>
          <w:bCs w:val="1"/>
          <w:u w:val="single" w:color="auto"/>
          <w:color w:val="auto"/>
        </w:rPr>
        <w:t>PSUs</w:t>
      </w:r>
      <w:r>
        <w:rPr>
          <w:rFonts w:ascii="Arial" w:cs="Arial" w:eastAsia="Arial" w:hAnsi="Arial"/>
          <w:sz w:val="21"/>
          <w:szCs w:val="21"/>
          <w:color w:val="auto"/>
        </w:rPr>
        <w:t>,” and such award, the “</w:t>
      </w:r>
      <w:r>
        <w:rPr>
          <w:rFonts w:ascii="Arial" w:cs="Arial" w:eastAsia="Arial" w:hAnsi="Arial"/>
          <w:sz w:val="21"/>
          <w:szCs w:val="21"/>
          <w:b w:val="1"/>
          <w:bCs w:val="1"/>
          <w:u w:val="single" w:color="auto"/>
          <w:color w:val="auto"/>
        </w:rPr>
        <w:t>PSU Award</w:t>
      </w:r>
      <w:r>
        <w:rPr>
          <w:rFonts w:ascii="Arial" w:cs="Arial" w:eastAsia="Arial" w:hAnsi="Arial"/>
          <w:sz w:val="21"/>
          <w:szCs w:val="21"/>
          <w:color w:val="auto"/>
        </w:rPr>
        <w:t xml:space="preserve">”). Subject to the degree of attainment of the performance goals approved by the Committee and set forth on </w:t>
      </w:r>
      <w:r>
        <w:rPr>
          <w:rFonts w:ascii="Arial" w:cs="Arial" w:eastAsia="Arial" w:hAnsi="Arial"/>
          <w:sz w:val="21"/>
          <w:szCs w:val="21"/>
          <w:b w:val="1"/>
          <w:bCs w:val="1"/>
          <w:u w:val="single" w:color="auto"/>
          <w:color w:val="auto"/>
        </w:rPr>
        <w:t>Schedule A</w:t>
      </w:r>
      <w:r>
        <w:rPr>
          <w:rFonts w:ascii="Arial" w:cs="Arial" w:eastAsia="Arial" w:hAnsi="Arial"/>
          <w:sz w:val="21"/>
          <w:szCs w:val="21"/>
          <w:color w:val="auto"/>
        </w:rPr>
        <w:t xml:space="preserve"> hereto (the “</w:t>
      </w:r>
      <w:r>
        <w:rPr>
          <w:rFonts w:ascii="Arial" w:cs="Arial" w:eastAsia="Arial" w:hAnsi="Arial"/>
          <w:sz w:val="21"/>
          <w:szCs w:val="21"/>
          <w:b w:val="1"/>
          <w:bCs w:val="1"/>
          <w:u w:val="single" w:color="auto"/>
          <w:color w:val="auto"/>
        </w:rPr>
        <w:t>Performance Goals</w:t>
      </w:r>
      <w:r>
        <w:rPr>
          <w:rFonts w:ascii="Arial" w:cs="Arial" w:eastAsia="Arial" w:hAnsi="Arial"/>
          <w:sz w:val="21"/>
          <w:szCs w:val="21"/>
          <w:color w:val="auto"/>
        </w:rPr>
        <w:t>”), Participant may earn from 0% to 200% of the PSUs;</w:t>
      </w:r>
    </w:p>
    <w:p>
      <w:pPr>
        <w:spacing w:after="0" w:line="212" w:lineRule="exact"/>
        <w:rPr>
          <w:rFonts w:ascii="Arial" w:cs="Arial" w:eastAsia="Arial" w:hAnsi="Arial"/>
          <w:sz w:val="21"/>
          <w:szCs w:val="21"/>
          <w:color w:val="auto"/>
        </w:rPr>
      </w:pPr>
    </w:p>
    <w:p>
      <w:pPr>
        <w:ind w:left="620" w:firstLine="634"/>
        <w:spacing w:after="0" w:line="275" w:lineRule="auto"/>
        <w:tabs>
          <w:tab w:leader="none" w:pos="1735" w:val="left"/>
        </w:tabs>
        <w:numPr>
          <w:ilvl w:val="2"/>
          <w:numId w:val="42"/>
        </w:numPr>
        <w:rPr>
          <w:rFonts w:ascii="Arial" w:cs="Arial" w:eastAsia="Arial" w:hAnsi="Arial"/>
          <w:sz w:val="21"/>
          <w:szCs w:val="21"/>
          <w:color w:val="auto"/>
        </w:rPr>
      </w:pPr>
      <w:r>
        <w:rPr>
          <w:rFonts w:ascii="Arial" w:cs="Arial" w:eastAsia="Arial" w:hAnsi="Arial"/>
          <w:sz w:val="21"/>
          <w:szCs w:val="21"/>
          <w:u w:val="single" w:color="auto"/>
          <w:color w:val="auto"/>
        </w:rPr>
        <w:t>RSU Award</w:t>
      </w:r>
      <w:r>
        <w:rPr>
          <w:rFonts w:ascii="Arial" w:cs="Arial" w:eastAsia="Arial" w:hAnsi="Arial"/>
          <w:sz w:val="21"/>
          <w:szCs w:val="21"/>
          <w:color w:val="auto"/>
        </w:rPr>
        <w:t xml:space="preserve"> – an award of __________ service-based Restricted Stock Units (“</w:t>
      </w:r>
      <w:r>
        <w:rPr>
          <w:rFonts w:ascii="Arial" w:cs="Arial" w:eastAsia="Arial" w:hAnsi="Arial"/>
          <w:sz w:val="21"/>
          <w:szCs w:val="21"/>
          <w:b w:val="1"/>
          <w:bCs w:val="1"/>
          <w:u w:val="single" w:color="auto"/>
          <w:color w:val="auto"/>
        </w:rPr>
        <w:t>RSUs</w:t>
      </w:r>
      <w:r>
        <w:rPr>
          <w:rFonts w:ascii="Arial" w:cs="Arial" w:eastAsia="Arial" w:hAnsi="Arial"/>
          <w:sz w:val="21"/>
          <w:szCs w:val="21"/>
          <w:color w:val="auto"/>
        </w:rPr>
        <w:t>” and such award, the “</w:t>
      </w:r>
      <w:r>
        <w:rPr>
          <w:rFonts w:ascii="Arial" w:cs="Arial" w:eastAsia="Arial" w:hAnsi="Arial"/>
          <w:sz w:val="21"/>
          <w:szCs w:val="21"/>
          <w:b w:val="1"/>
          <w:bCs w:val="1"/>
          <w:u w:val="single" w:color="auto"/>
          <w:color w:val="auto"/>
        </w:rPr>
        <w:t>RSU</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Award</w:t>
      </w:r>
      <w:r>
        <w:rPr>
          <w:rFonts w:ascii="Arial" w:cs="Arial" w:eastAsia="Arial" w:hAnsi="Arial"/>
          <w:sz w:val="21"/>
          <w:szCs w:val="21"/>
          <w:color w:val="auto"/>
        </w:rPr>
        <w:t>”); and</w:t>
      </w:r>
    </w:p>
    <w:p>
      <w:pPr>
        <w:spacing w:after="0" w:line="194" w:lineRule="exact"/>
        <w:rPr>
          <w:rFonts w:ascii="Arial" w:cs="Arial" w:eastAsia="Arial" w:hAnsi="Arial"/>
          <w:sz w:val="21"/>
          <w:szCs w:val="21"/>
          <w:color w:val="auto"/>
        </w:rPr>
      </w:pPr>
    </w:p>
    <w:p>
      <w:pPr>
        <w:jc w:val="both"/>
        <w:ind w:left="620" w:firstLine="634"/>
        <w:spacing w:after="0" w:line="297" w:lineRule="auto"/>
        <w:tabs>
          <w:tab w:leader="none" w:pos="1698" w:val="left"/>
        </w:tabs>
        <w:numPr>
          <w:ilvl w:val="2"/>
          <w:numId w:val="42"/>
        </w:numPr>
        <w:rPr>
          <w:rFonts w:ascii="Arial" w:cs="Arial" w:eastAsia="Arial" w:hAnsi="Arial"/>
          <w:sz w:val="19"/>
          <w:szCs w:val="19"/>
          <w:color w:val="auto"/>
        </w:rPr>
      </w:pPr>
      <w:r>
        <w:rPr>
          <w:rFonts w:ascii="Arial" w:cs="Arial" w:eastAsia="Arial" w:hAnsi="Arial"/>
          <w:sz w:val="19"/>
          <w:szCs w:val="19"/>
          <w:u w:val="single" w:color="auto"/>
          <w:color w:val="auto"/>
        </w:rPr>
        <w:t>SAR Award</w:t>
      </w:r>
      <w:r>
        <w:rPr>
          <w:rFonts w:ascii="Arial" w:cs="Arial" w:eastAsia="Arial" w:hAnsi="Arial"/>
          <w:sz w:val="19"/>
          <w:szCs w:val="19"/>
          <w:color w:val="auto"/>
        </w:rPr>
        <w:t xml:space="preserve"> – for the period beginning on the Date of Grant and ending on </w:t>
      </w:r>
      <w:r>
        <w:rPr>
          <w:rFonts w:ascii="Arial" w:cs="Arial" w:eastAsia="Arial" w:hAnsi="Arial"/>
          <w:sz w:val="19"/>
          <w:szCs w:val="19"/>
          <w:u w:val="single" w:color="auto"/>
          <w:color w:val="auto"/>
        </w:rPr>
        <w:t>____________</w:t>
      </w:r>
      <w:r>
        <w:rPr>
          <w:rFonts w:ascii="Arial" w:cs="Arial" w:eastAsia="Arial" w:hAnsi="Arial"/>
          <w:sz w:val="19"/>
          <w:szCs w:val="19"/>
          <w:color w:val="auto"/>
        </w:rPr>
        <w:t>, the seventh anniversary of the Date of Grant (the “</w:t>
      </w:r>
      <w:r>
        <w:rPr>
          <w:rFonts w:ascii="Arial" w:cs="Arial" w:eastAsia="Arial" w:hAnsi="Arial"/>
          <w:sz w:val="19"/>
          <w:szCs w:val="19"/>
          <w:b w:val="1"/>
          <w:bCs w:val="1"/>
          <w:u w:val="single" w:color="auto"/>
          <w:color w:val="auto"/>
        </w:rPr>
        <w:t>SAR Exercise Period</w:t>
      </w:r>
      <w:r>
        <w:rPr>
          <w:rFonts w:ascii="Arial" w:cs="Arial" w:eastAsia="Arial" w:hAnsi="Arial"/>
          <w:sz w:val="19"/>
          <w:szCs w:val="19"/>
          <w:color w:val="auto"/>
        </w:rPr>
        <w:t>”), an award of ___________ Appreciation Rights (“</w:t>
      </w:r>
      <w:r>
        <w:rPr>
          <w:rFonts w:ascii="Arial" w:cs="Arial" w:eastAsia="Arial" w:hAnsi="Arial"/>
          <w:sz w:val="19"/>
          <w:szCs w:val="19"/>
          <w:b w:val="1"/>
          <w:bCs w:val="1"/>
          <w:u w:val="single" w:color="auto"/>
          <w:color w:val="auto"/>
        </w:rPr>
        <w:t>SARs</w:t>
      </w:r>
      <w:r>
        <w:rPr>
          <w:rFonts w:ascii="Arial" w:cs="Arial" w:eastAsia="Arial" w:hAnsi="Arial"/>
          <w:sz w:val="19"/>
          <w:szCs w:val="19"/>
          <w:color w:val="auto"/>
        </w:rPr>
        <w:t>,” and such award, the “</w:t>
      </w:r>
      <w:r>
        <w:rPr>
          <w:rFonts w:ascii="Arial" w:cs="Arial" w:eastAsia="Arial" w:hAnsi="Arial"/>
          <w:sz w:val="19"/>
          <w:szCs w:val="19"/>
          <w:b w:val="1"/>
          <w:bCs w:val="1"/>
          <w:u w:val="single" w:color="auto"/>
          <w:color w:val="auto"/>
        </w:rPr>
        <w:t>SAR Award</w:t>
      </w:r>
      <w:r>
        <w:rPr>
          <w:rFonts w:ascii="Arial" w:cs="Arial" w:eastAsia="Arial" w:hAnsi="Arial"/>
          <w:sz w:val="19"/>
          <w:szCs w:val="19"/>
          <w:color w:val="auto"/>
        </w:rPr>
        <w:t>”) with a Base Price of $__________ per SAR (the fair market value of a Common Share on the Date of Grant).</w:t>
      </w:r>
    </w:p>
    <w:p>
      <w:pPr>
        <w:spacing w:after="0" w:line="172" w:lineRule="exact"/>
        <w:rPr>
          <w:rFonts w:ascii="Arial" w:cs="Arial" w:eastAsia="Arial" w:hAnsi="Arial"/>
          <w:sz w:val="19"/>
          <w:szCs w:val="19"/>
          <w:color w:val="auto"/>
        </w:rPr>
      </w:pPr>
    </w:p>
    <w:p>
      <w:pPr>
        <w:jc w:val="both"/>
        <w:ind w:firstLine="603"/>
        <w:spacing w:after="0" w:line="260" w:lineRule="auto"/>
        <w:tabs>
          <w:tab w:leader="none" w:pos="977" w:val="left"/>
        </w:tabs>
        <w:numPr>
          <w:ilvl w:val="0"/>
          <w:numId w:val="43"/>
        </w:numPr>
        <w:rPr>
          <w:rFonts w:ascii="Arial" w:cs="Arial" w:eastAsia="Arial" w:hAnsi="Arial"/>
          <w:sz w:val="21"/>
          <w:szCs w:val="21"/>
          <w:color w:val="auto"/>
        </w:rPr>
      </w:pPr>
      <w:r>
        <w:rPr>
          <w:rFonts w:ascii="Arial" w:cs="Arial" w:eastAsia="Arial" w:hAnsi="Arial"/>
          <w:sz w:val="21"/>
          <w:szCs w:val="21"/>
          <w:b w:val="1"/>
          <w:bCs w:val="1"/>
          <w:color w:val="auto"/>
        </w:rPr>
        <w:t>Restrictions on Transfer</w:t>
      </w:r>
      <w:r>
        <w:rPr>
          <w:rFonts w:ascii="Arial" w:cs="Arial" w:eastAsia="Arial" w:hAnsi="Arial"/>
          <w:sz w:val="21"/>
          <w:szCs w:val="21"/>
          <w:color w:val="auto"/>
        </w:rPr>
        <w:t>. Subject to Section 15 of the Plan, neither the awards evidenced hereby nor any interest therein or</w:t>
      </w:r>
      <w:r>
        <w:rPr>
          <w:rFonts w:ascii="Arial" w:cs="Arial" w:eastAsia="Arial" w:hAnsi="Arial"/>
          <w:sz w:val="21"/>
          <w:szCs w:val="21"/>
          <w:b w:val="1"/>
          <w:bCs w:val="1"/>
          <w:color w:val="auto"/>
        </w:rPr>
        <w:t xml:space="preserve"> </w:t>
      </w:r>
      <w:r>
        <w:rPr>
          <w:rFonts w:ascii="Arial" w:cs="Arial" w:eastAsia="Arial" w:hAnsi="Arial"/>
          <w:sz w:val="21"/>
          <w:szCs w:val="21"/>
          <w:color w:val="auto"/>
        </w:rPr>
        <w:t>in the Common Shares underlying such awards shall be transferable prior to settlement other than by will or pursuant to the laws of descent and distribution.</w:t>
      </w:r>
    </w:p>
    <w:p>
      <w:pPr>
        <w:spacing w:after="0" w:line="368" w:lineRule="exact"/>
        <w:rPr>
          <w:sz w:val="20"/>
          <w:szCs w:val="20"/>
          <w:color w:val="auto"/>
        </w:rPr>
      </w:pPr>
    </w:p>
    <w:p>
      <w:pPr>
        <w:ind w:left="4300" w:hanging="546"/>
        <w:spacing w:after="0"/>
        <w:tabs>
          <w:tab w:leader="none" w:pos="4300" w:val="left"/>
        </w:tabs>
        <w:numPr>
          <w:ilvl w:val="0"/>
          <w:numId w:val="44"/>
        </w:numPr>
        <w:rPr>
          <w:rFonts w:ascii="Arial" w:cs="Arial" w:eastAsia="Arial" w:hAnsi="Arial"/>
          <w:sz w:val="21"/>
          <w:szCs w:val="21"/>
          <w:color w:val="auto"/>
        </w:rPr>
      </w:pPr>
      <w:r>
        <w:rPr>
          <w:rFonts w:ascii="Arial" w:cs="Arial" w:eastAsia="Arial" w:hAnsi="Arial"/>
          <w:sz w:val="17"/>
          <w:szCs w:val="17"/>
          <w:b w:val="1"/>
          <w:bCs w:val="1"/>
          <w:color w:val="auto"/>
        </w:rPr>
        <w:t>Approved Form December 12, 2019</w:t>
      </w:r>
    </w:p>
    <w:p>
      <w:pPr>
        <w:sectPr>
          <w:pgSz w:w="11900" w:h="16838" w:orient="portrait"/>
          <w:cols w:equalWidth="0" w:num="1">
            <w:col w:w="11420"/>
          </w:cols>
          <w:pgMar w:left="240" w:top="355" w:right="239" w:bottom="1440" w:gutter="0" w:footer="0" w:header="0"/>
        </w:sectPr>
      </w:pPr>
    </w:p>
    <w:bookmarkStart w:id="109" w:name="page110"/>
    <w:bookmarkEnd w:id="109"/>
    <w:p>
      <w:pPr>
        <w:ind w:left="357" w:hanging="357"/>
        <w:spacing w:after="0"/>
        <w:tabs>
          <w:tab w:leader="none" w:pos="357" w:val="left"/>
        </w:tabs>
        <w:numPr>
          <w:ilvl w:val="0"/>
          <w:numId w:val="45"/>
        </w:numPr>
        <w:rPr>
          <w:rFonts w:ascii="Arial" w:cs="Arial" w:eastAsia="Arial" w:hAnsi="Arial"/>
          <w:sz w:val="21"/>
          <w:szCs w:val="21"/>
          <w:color w:val="auto"/>
        </w:rPr>
      </w:pPr>
      <w:r>
        <w:rPr>
          <w:rFonts w:ascii="Arial" w:cs="Arial" w:eastAsia="Arial" w:hAnsi="Arial"/>
          <w:sz w:val="21"/>
          <w:szCs w:val="21"/>
          <w:b w:val="1"/>
          <w:bCs w:val="1"/>
          <w:color w:val="auto"/>
        </w:rPr>
        <w:t>Conditions for Vesting</w:t>
      </w:r>
      <w:r>
        <w:rPr>
          <w:rFonts w:ascii="Arial" w:cs="Arial" w:eastAsia="Arial" w:hAnsi="Arial"/>
          <w:sz w:val="21"/>
          <w:szCs w:val="21"/>
          <w:color w:val="auto"/>
        </w:rPr>
        <w:t>.</w:t>
      </w:r>
    </w:p>
    <w:p>
      <w:pPr>
        <w:spacing w:after="0" w:line="259" w:lineRule="exact"/>
        <w:rPr>
          <w:sz w:val="20"/>
          <w:szCs w:val="20"/>
          <w:color w:val="auto"/>
        </w:rPr>
      </w:pPr>
    </w:p>
    <w:p>
      <w:pPr>
        <w:ind w:left="17"/>
        <w:spacing w:after="0"/>
        <w:rPr>
          <w:sz w:val="20"/>
          <w:szCs w:val="20"/>
          <w:color w:val="auto"/>
        </w:rPr>
      </w:pPr>
      <w:r>
        <w:rPr>
          <w:rFonts w:ascii="Arial" w:cs="Arial" w:eastAsia="Arial" w:hAnsi="Arial"/>
          <w:sz w:val="21"/>
          <w:szCs w:val="21"/>
          <w:color w:val="auto"/>
        </w:rPr>
        <w:t>Subject to Participant’s compliance with the terms of this Agreement:</w:t>
      </w:r>
    </w:p>
    <w:p>
      <w:pPr>
        <w:spacing w:after="0" w:line="253" w:lineRule="exact"/>
        <w:rPr>
          <w:sz w:val="20"/>
          <w:szCs w:val="20"/>
          <w:color w:val="auto"/>
        </w:rPr>
      </w:pPr>
    </w:p>
    <w:p>
      <w:pPr>
        <w:ind w:left="17" w:firstLine="634"/>
        <w:spacing w:after="0" w:line="269" w:lineRule="auto"/>
        <w:tabs>
          <w:tab w:leader="none" w:pos="1094"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PSU Award</w:t>
      </w:r>
      <w:r>
        <w:rPr>
          <w:rFonts w:ascii="Arial" w:cs="Arial" w:eastAsia="Arial" w:hAnsi="Arial"/>
          <w:sz w:val="21"/>
          <w:szCs w:val="21"/>
          <w:color w:val="auto"/>
        </w:rPr>
        <w:t xml:space="preserve"> – The PSU Award will vest on the last day of the PSU Performance Period based on the extent that the Performance Goals for the PSUs are achieved for the PSU Performance Period.</w:t>
      </w:r>
    </w:p>
    <w:p>
      <w:pPr>
        <w:spacing w:after="0" w:line="194" w:lineRule="exact"/>
        <w:rPr>
          <w:rFonts w:ascii="Arial" w:cs="Arial" w:eastAsia="Arial" w:hAnsi="Arial"/>
          <w:sz w:val="21"/>
          <w:szCs w:val="21"/>
          <w:color w:val="auto"/>
        </w:rPr>
      </w:pPr>
    </w:p>
    <w:p>
      <w:pPr>
        <w:jc w:val="both"/>
        <w:ind w:left="17" w:firstLine="634"/>
        <w:spacing w:after="0" w:line="272" w:lineRule="auto"/>
        <w:tabs>
          <w:tab w:leader="none" w:pos="1119"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RSU Award</w:t>
      </w:r>
      <w:r>
        <w:rPr>
          <w:rFonts w:ascii="Arial" w:cs="Arial" w:eastAsia="Arial" w:hAnsi="Arial"/>
          <w:sz w:val="20"/>
          <w:szCs w:val="20"/>
          <w:color w:val="auto"/>
        </w:rPr>
        <w:t xml:space="preserve"> – The RSU Award will vest on __________, 20__ (the “</w:t>
      </w:r>
      <w:r>
        <w:rPr>
          <w:rFonts w:ascii="Arial" w:cs="Arial" w:eastAsia="Arial" w:hAnsi="Arial"/>
          <w:sz w:val="20"/>
          <w:szCs w:val="20"/>
          <w:b w:val="1"/>
          <w:bCs w:val="1"/>
          <w:u w:val="single" w:color="auto"/>
          <w:color w:val="auto"/>
        </w:rPr>
        <w:t>RSU Vesting Date</w:t>
      </w:r>
      <w:r>
        <w:rPr>
          <w:rFonts w:ascii="Arial" w:cs="Arial" w:eastAsia="Arial" w:hAnsi="Arial"/>
          <w:sz w:val="20"/>
          <w:szCs w:val="20"/>
          <w:color w:val="auto"/>
        </w:rPr>
        <w:t>,” and the period from the Date of Grant until the RSU Vesting Date, the “</w:t>
      </w:r>
      <w:r>
        <w:rPr>
          <w:rFonts w:ascii="Arial" w:cs="Arial" w:eastAsia="Arial" w:hAnsi="Arial"/>
          <w:sz w:val="20"/>
          <w:szCs w:val="20"/>
          <w:b w:val="1"/>
          <w:bCs w:val="1"/>
          <w:u w:val="single" w:color="auto"/>
          <w:color w:val="auto"/>
        </w:rPr>
        <w:t>RSU Restriction Period</w:t>
      </w:r>
      <w:r>
        <w:rPr>
          <w:rFonts w:ascii="Arial" w:cs="Arial" w:eastAsia="Arial" w:hAnsi="Arial"/>
          <w:sz w:val="20"/>
          <w:szCs w:val="20"/>
          <w:color w:val="auto"/>
        </w:rPr>
        <w:t>”). If the RSU Vesting Date is not a day on which Common Shares are traded on a U.S. national securities exchange or quoted in an inter-dealer quotation system, then the RSU Vesting Date will be the preceding day on which sales of Common Shares were reported.</w:t>
      </w:r>
    </w:p>
    <w:p>
      <w:pPr>
        <w:spacing w:after="0" w:line="200" w:lineRule="exact"/>
        <w:rPr>
          <w:rFonts w:ascii="Arial" w:cs="Arial" w:eastAsia="Arial" w:hAnsi="Arial"/>
          <w:sz w:val="20"/>
          <w:szCs w:val="20"/>
          <w:color w:val="auto"/>
        </w:rPr>
      </w:pPr>
    </w:p>
    <w:p>
      <w:pPr>
        <w:ind w:left="17" w:firstLine="634"/>
        <w:spacing w:after="0" w:line="269" w:lineRule="auto"/>
        <w:tabs>
          <w:tab w:leader="none" w:pos="112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SAR Award</w:t>
      </w:r>
      <w:r>
        <w:rPr>
          <w:rFonts w:ascii="Arial" w:cs="Arial" w:eastAsia="Arial" w:hAnsi="Arial"/>
          <w:sz w:val="21"/>
          <w:szCs w:val="21"/>
          <w:color w:val="auto"/>
        </w:rPr>
        <w:t xml:space="preserve"> –The SAR Award will vest in accordance with the schedule below (the period from the Date of Grant until the final vesting date, the “</w:t>
      </w:r>
      <w:r>
        <w:rPr>
          <w:rFonts w:ascii="Arial" w:cs="Arial" w:eastAsia="Arial" w:hAnsi="Arial"/>
          <w:sz w:val="21"/>
          <w:szCs w:val="21"/>
          <w:b w:val="1"/>
          <w:bCs w:val="1"/>
          <w:u w:val="single" w:color="auto"/>
          <w:color w:val="auto"/>
        </w:rPr>
        <w:t>SAR Vesting Period</w:t>
      </w:r>
      <w:r>
        <w:rPr>
          <w:rFonts w:ascii="Arial" w:cs="Arial" w:eastAsia="Arial" w:hAnsi="Arial"/>
          <w:sz w:val="21"/>
          <w:szCs w:val="21"/>
          <w:color w:val="auto"/>
        </w:rPr>
        <w:t>”).</w:t>
      </w:r>
    </w:p>
    <w:p>
      <w:pPr>
        <w:spacing w:after="0" w:line="176" w:lineRule="exact"/>
        <w:rPr>
          <w:sz w:val="20"/>
          <w:szCs w:val="20"/>
          <w:color w:val="auto"/>
        </w:rPr>
      </w:pPr>
    </w:p>
    <w:tbl>
      <w:tblPr>
        <w:tblLayout w:type="fixed"/>
        <w:tblInd w:w="1277"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r>
              <w:rPr>
                <w:rFonts w:ascii="Arial" w:cs="Arial" w:eastAsia="Arial" w:hAnsi="Arial"/>
                <w:sz w:val="21"/>
                <w:szCs w:val="21"/>
                <w:b w:val="1"/>
                <w:bCs w:val="1"/>
                <w:color w:val="auto"/>
                <w:w w:val="87"/>
              </w:rPr>
              <w:t>Date</w:t>
            </w:r>
          </w:p>
        </w:tc>
        <w:tc>
          <w:tcPr>
            <w:tcW w:w="2060" w:type="dxa"/>
            <w:vAlign w:val="bottom"/>
            <w:gridSpan w:val="4"/>
          </w:tcPr>
          <w:p>
            <w:pPr>
              <w:ind w:left="680"/>
              <w:spacing w:after="0"/>
              <w:rPr>
                <w:sz w:val="20"/>
                <w:szCs w:val="20"/>
                <w:color w:val="auto"/>
              </w:rPr>
            </w:pPr>
            <w:r>
              <w:rPr>
                <w:rFonts w:ascii="Arial" w:cs="Arial" w:eastAsia="Arial" w:hAnsi="Arial"/>
                <w:sz w:val="21"/>
                <w:szCs w:val="21"/>
                <w:b w:val="1"/>
                <w:bCs w:val="1"/>
                <w:color w:val="auto"/>
              </w:rPr>
              <w:t>SARs Vested</w:t>
            </w:r>
          </w:p>
        </w:tc>
      </w:tr>
      <w:tr>
        <w:trPr>
          <w:trHeight w:val="20"/>
        </w:trPr>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8"/>
        </w:trPr>
        <w:tc>
          <w:tcPr>
            <w:tcW w:w="1660" w:type="dxa"/>
            <w:vAlign w:val="bottom"/>
            <w:gridSpan w:val="3"/>
          </w:tcPr>
          <w:p>
            <w:pPr>
              <w:spacing w:after="0"/>
              <w:rPr>
                <w:sz w:val="20"/>
                <w:szCs w:val="20"/>
                <w:color w:val="auto"/>
              </w:rPr>
            </w:pPr>
            <w:r>
              <w:rPr>
                <w:rFonts w:ascii="Arial" w:cs="Arial" w:eastAsia="Arial" w:hAnsi="Arial"/>
                <w:sz w:val="21"/>
                <w:szCs w:val="21"/>
                <w:color w:val="auto"/>
                <w:w w:val="93"/>
              </w:rPr>
              <w:t>__________, 20__</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8"/>
              </w:rPr>
              <w:t>33 1/3%</w:t>
            </w:r>
          </w:p>
        </w:tc>
      </w:tr>
      <w:tr>
        <w:trPr>
          <w:trHeight w:val="247"/>
        </w:trPr>
        <w:tc>
          <w:tcPr>
            <w:tcW w:w="1660" w:type="dxa"/>
            <w:vAlign w:val="bottom"/>
            <w:gridSpan w:val="3"/>
          </w:tcPr>
          <w:p>
            <w:pPr>
              <w:spacing w:after="0"/>
              <w:rPr>
                <w:sz w:val="20"/>
                <w:szCs w:val="20"/>
                <w:color w:val="auto"/>
              </w:rPr>
            </w:pPr>
            <w:r>
              <w:rPr>
                <w:rFonts w:ascii="Arial" w:cs="Arial" w:eastAsia="Arial" w:hAnsi="Arial"/>
                <w:sz w:val="21"/>
                <w:szCs w:val="21"/>
                <w:color w:val="auto"/>
                <w:w w:val="93"/>
              </w:rPr>
              <w:t>__________, 20__</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8"/>
              </w:rPr>
              <w:t>66 2/3%</w:t>
            </w:r>
          </w:p>
        </w:tc>
      </w:tr>
      <w:tr>
        <w:trPr>
          <w:trHeight w:val="266"/>
        </w:trPr>
        <w:tc>
          <w:tcPr>
            <w:tcW w:w="1660" w:type="dxa"/>
            <w:vAlign w:val="bottom"/>
            <w:gridSpan w:val="3"/>
          </w:tcPr>
          <w:p>
            <w:pPr>
              <w:spacing w:after="0"/>
              <w:rPr>
                <w:sz w:val="20"/>
                <w:szCs w:val="20"/>
                <w:color w:val="auto"/>
              </w:rPr>
            </w:pPr>
            <w:r>
              <w:rPr>
                <w:rFonts w:ascii="Arial" w:cs="Arial" w:eastAsia="Arial" w:hAnsi="Arial"/>
                <w:sz w:val="21"/>
                <w:szCs w:val="21"/>
                <w:color w:val="auto"/>
                <w:w w:val="93"/>
              </w:rPr>
              <w:t>__________, 20__</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rPr>
              <w:t>100%</w:t>
            </w:r>
          </w:p>
        </w:tc>
      </w:tr>
    </w:tbl>
    <w:p>
      <w:pPr>
        <w:spacing w:after="0" w:line="229" w:lineRule="exact"/>
        <w:rPr>
          <w:sz w:val="20"/>
          <w:szCs w:val="20"/>
          <w:color w:val="auto"/>
        </w:rPr>
      </w:pPr>
    </w:p>
    <w:p>
      <w:pPr>
        <w:jc w:val="both"/>
        <w:ind w:left="-3" w:firstLine="602"/>
        <w:spacing w:after="0" w:line="276" w:lineRule="auto"/>
        <w:tabs>
          <w:tab w:leader="none" w:pos="1060" w:val="left"/>
        </w:tabs>
        <w:numPr>
          <w:ilvl w:val="1"/>
          <w:numId w:val="47"/>
        </w:numPr>
        <w:rPr>
          <w:rFonts w:ascii="Arial" w:cs="Arial" w:eastAsia="Arial" w:hAnsi="Arial"/>
          <w:sz w:val="20"/>
          <w:szCs w:val="20"/>
          <w:color w:val="auto"/>
        </w:rPr>
      </w:pPr>
      <w:r>
        <w:rPr>
          <w:rFonts w:ascii="Arial" w:cs="Arial" w:eastAsia="Arial" w:hAnsi="Arial"/>
          <w:sz w:val="20"/>
          <w:szCs w:val="20"/>
          <w:u w:val="single" w:color="auto"/>
          <w:color w:val="auto"/>
        </w:rPr>
        <w:t>Forfeiture</w:t>
      </w:r>
      <w:r>
        <w:rPr>
          <w:rFonts w:ascii="Arial" w:cs="Arial" w:eastAsia="Arial" w:hAnsi="Arial"/>
          <w:sz w:val="20"/>
          <w:szCs w:val="20"/>
          <w:color w:val="auto"/>
        </w:rPr>
        <w:t>. Any PSU Award, RSU Award, or SAR Award that does not become vested as described in this Section 3 will be forfeited, including, except as provided in Section 4, if Participant ceases to be continuously employed with LII prior to the end of the PSU Performance Period, RSU Restriction Period, or SAR Vesting Period, respectively.</w:t>
      </w:r>
    </w:p>
    <w:p>
      <w:pPr>
        <w:spacing w:after="0" w:line="190" w:lineRule="exact"/>
        <w:rPr>
          <w:rFonts w:ascii="Arial" w:cs="Arial" w:eastAsia="Arial" w:hAnsi="Arial"/>
          <w:sz w:val="20"/>
          <w:szCs w:val="20"/>
          <w:color w:val="auto"/>
        </w:rPr>
      </w:pPr>
    </w:p>
    <w:p>
      <w:pPr>
        <w:jc w:val="both"/>
        <w:ind w:left="-603" w:firstLine="629"/>
        <w:spacing w:after="0" w:line="260" w:lineRule="auto"/>
        <w:tabs>
          <w:tab w:leader="none" w:pos="438" w:val="left"/>
        </w:tabs>
        <w:numPr>
          <w:ilvl w:val="0"/>
          <w:numId w:val="48"/>
        </w:numPr>
        <w:rPr>
          <w:rFonts w:ascii="Arial" w:cs="Arial" w:eastAsia="Arial" w:hAnsi="Arial"/>
          <w:sz w:val="21"/>
          <w:szCs w:val="21"/>
          <w:color w:val="auto"/>
        </w:rPr>
      </w:pPr>
      <w:r>
        <w:rPr>
          <w:rFonts w:ascii="Arial" w:cs="Arial" w:eastAsia="Arial" w:hAnsi="Arial"/>
          <w:sz w:val="21"/>
          <w:szCs w:val="21"/>
          <w:b w:val="1"/>
          <w:bCs w:val="1"/>
          <w:color w:val="auto"/>
        </w:rPr>
        <w:t>Termination of Employment; Change in Control</w:t>
      </w:r>
      <w:r>
        <w:rPr>
          <w:rFonts w:ascii="Arial" w:cs="Arial" w:eastAsia="Arial" w:hAnsi="Arial"/>
          <w:sz w:val="21"/>
          <w:szCs w:val="21"/>
          <w:color w:val="auto"/>
        </w:rPr>
        <w:t>. Unless otherwise determined by the Committee in its sole discretion,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notwithstanding anything herein to the contrary, the PSU Award, the RSU Award and the SAR Award will be subject to vesting or cancellation in connection with the events specified below:</w:t>
      </w:r>
    </w:p>
    <w:p>
      <w:pPr>
        <w:spacing w:after="0" w:line="210" w:lineRule="exact"/>
        <w:rPr>
          <w:rFonts w:ascii="Arial" w:cs="Arial" w:eastAsia="Arial" w:hAnsi="Arial"/>
          <w:sz w:val="21"/>
          <w:szCs w:val="21"/>
          <w:color w:val="auto"/>
        </w:rPr>
      </w:pPr>
    </w:p>
    <w:p>
      <w:pPr>
        <w:jc w:val="both"/>
        <w:ind w:left="17" w:firstLine="634"/>
        <w:spacing w:after="0" w:line="284" w:lineRule="auto"/>
        <w:tabs>
          <w:tab w:leader="none" w:pos="1122" w:val="left"/>
        </w:tabs>
        <w:numPr>
          <w:ilvl w:val="2"/>
          <w:numId w:val="48"/>
        </w:numPr>
        <w:rPr>
          <w:rFonts w:ascii="Arial" w:cs="Arial" w:eastAsia="Arial" w:hAnsi="Arial"/>
          <w:sz w:val="19"/>
          <w:szCs w:val="19"/>
          <w:color w:val="auto"/>
        </w:rPr>
      </w:pPr>
      <w:r>
        <w:rPr>
          <w:rFonts w:ascii="Arial" w:cs="Arial" w:eastAsia="Arial" w:hAnsi="Arial"/>
          <w:sz w:val="19"/>
          <w:szCs w:val="19"/>
          <w:color w:val="auto"/>
        </w:rPr>
        <w:t>Except as otherwise provided in Section 4(c), if, prior to the end of the PSU Performance Period, RSU Restriction Period or SAR Exercise Period (as applicable), Participant violates Section 10 of this Agreement or is terminated by LII for Cause (as defined in any applicable employment agreement between LII and Participant or as determined by the Committee in its sole discretion in the absence of any such employment agreement), then, immediately after LII becomes aware of a violation of Section 10 or Participant’s termination, the PSU Award, RSU Award or SAR Award will be cancelled.</w:t>
      </w:r>
    </w:p>
    <w:p>
      <w:pPr>
        <w:spacing w:after="0" w:line="191" w:lineRule="exact"/>
        <w:rPr>
          <w:rFonts w:ascii="Arial" w:cs="Arial" w:eastAsia="Arial" w:hAnsi="Arial"/>
          <w:sz w:val="19"/>
          <w:szCs w:val="19"/>
          <w:color w:val="auto"/>
        </w:rPr>
      </w:pPr>
    </w:p>
    <w:p>
      <w:pPr>
        <w:ind w:left="17" w:firstLine="634"/>
        <w:spacing w:after="0" w:line="269" w:lineRule="auto"/>
        <w:tabs>
          <w:tab w:leader="none" w:pos="1105" w:val="left"/>
        </w:tabs>
        <w:numPr>
          <w:ilvl w:val="2"/>
          <w:numId w:val="48"/>
        </w:numPr>
        <w:rPr>
          <w:rFonts w:ascii="Arial" w:cs="Arial" w:eastAsia="Arial" w:hAnsi="Arial"/>
          <w:sz w:val="21"/>
          <w:szCs w:val="21"/>
          <w:color w:val="auto"/>
        </w:rPr>
      </w:pPr>
      <w:r>
        <w:rPr>
          <w:rFonts w:ascii="Arial" w:cs="Arial" w:eastAsia="Arial" w:hAnsi="Arial"/>
          <w:sz w:val="21"/>
          <w:szCs w:val="21"/>
          <w:color w:val="auto"/>
        </w:rPr>
        <w:t>If, prior to the end of the PSU Performance Period, RSU Restriction Period or SAR Exercise Period (as applicable), Participant terminates employment</w:t>
      </w:r>
    </w:p>
    <w:p>
      <w:pPr>
        <w:spacing w:after="0" w:line="358" w:lineRule="exact"/>
        <w:rPr>
          <w:sz w:val="20"/>
          <w:szCs w:val="20"/>
          <w:color w:val="auto"/>
        </w:rPr>
      </w:pPr>
    </w:p>
    <w:p>
      <w:pPr>
        <w:ind w:left="3697" w:hanging="546"/>
        <w:spacing w:after="0"/>
        <w:tabs>
          <w:tab w:leader="none" w:pos="3697" w:val="left"/>
        </w:tabs>
        <w:numPr>
          <w:ilvl w:val="0"/>
          <w:numId w:val="49"/>
        </w:numPr>
        <w:rPr>
          <w:rFonts w:ascii="Arial" w:cs="Arial" w:eastAsia="Arial" w:hAnsi="Arial"/>
          <w:sz w:val="21"/>
          <w:szCs w:val="21"/>
          <w:color w:val="auto"/>
        </w:rPr>
      </w:pPr>
      <w:r>
        <w:rPr>
          <w:rFonts w:ascii="Arial" w:cs="Arial" w:eastAsia="Arial" w:hAnsi="Arial"/>
          <w:sz w:val="17"/>
          <w:szCs w:val="17"/>
          <w:b w:val="1"/>
          <w:bCs w:val="1"/>
          <w:color w:val="auto"/>
        </w:rPr>
        <w:t>Approved Form December 12, 2019</w:t>
      </w:r>
    </w:p>
    <w:p>
      <w:pPr>
        <w:sectPr>
          <w:pgSz w:w="11900" w:h="16838" w:orient="portrait"/>
          <w:cols w:equalWidth="0" w:num="1">
            <w:col w:w="10817"/>
          </w:cols>
          <w:pgMar w:left="843" w:top="581" w:right="239" w:bottom="1440" w:gutter="0" w:footer="0" w:header="0"/>
        </w:sectPr>
      </w:pPr>
    </w:p>
    <w:bookmarkStart w:id="110" w:name="page111"/>
    <w:bookmarkEnd w:id="110"/>
    <w:p>
      <w:pPr>
        <w:jc w:val="both"/>
        <w:spacing w:after="0" w:line="289" w:lineRule="auto"/>
        <w:rPr>
          <w:sz w:val="20"/>
          <w:szCs w:val="20"/>
          <w:color w:val="auto"/>
        </w:rPr>
      </w:pPr>
      <w:r>
        <w:rPr>
          <w:rFonts w:ascii="Arial" w:cs="Arial" w:eastAsia="Arial" w:hAnsi="Arial"/>
          <w:sz w:val="19"/>
          <w:szCs w:val="19"/>
          <w:color w:val="auto"/>
        </w:rPr>
        <w:t>with LII voluntarily or Participant’s employment with LII is terminated by LII not for Cause, then, (i) immediately after Participant’s termination, the PSU Award, RSU Award and any unvested SAR Award will be cancelled, and (ii) immediately after Participant’s termination, the vested SARs will continue to be exercisable until the earlier of the end of the SAR Exercise Period and 90 days following Participant’s termination, and the remainder of the SAR Award will be cancelled.</w:t>
      </w:r>
    </w:p>
    <w:p>
      <w:pPr>
        <w:spacing w:after="0" w:line="185" w:lineRule="exact"/>
        <w:rPr>
          <w:sz w:val="20"/>
          <w:szCs w:val="20"/>
          <w:color w:val="auto"/>
        </w:rPr>
      </w:pPr>
    </w:p>
    <w:p>
      <w:pPr>
        <w:jc w:val="both"/>
        <w:ind w:firstLine="634"/>
        <w:spacing w:after="0" w:line="253" w:lineRule="auto"/>
        <w:tabs>
          <w:tab w:leader="none" w:pos="1153" w:val="left"/>
        </w:tabs>
        <w:numPr>
          <w:ilvl w:val="1"/>
          <w:numId w:val="50"/>
        </w:numPr>
        <w:rPr>
          <w:rFonts w:ascii="Arial" w:cs="Arial" w:eastAsia="Arial" w:hAnsi="Arial"/>
          <w:sz w:val="21"/>
          <w:szCs w:val="21"/>
          <w:color w:val="auto"/>
        </w:rPr>
      </w:pPr>
      <w:r>
        <w:rPr>
          <w:rFonts w:ascii="Arial" w:cs="Arial" w:eastAsia="Arial" w:hAnsi="Arial"/>
          <w:sz w:val="21"/>
          <w:szCs w:val="21"/>
          <w:color w:val="auto"/>
        </w:rPr>
        <w:t>If, prior to the end of the SAR Exercise Period, Participant’s employment with LII is terminated by LII for any reason within one year following a Change in Control, then the vested SARs will continue to be exercisable until the earlier of the end of the SAR Exercise Period and 90 days following Participant’s termination, and the remainder of the SAR Award will be cancelled.</w:t>
      </w:r>
    </w:p>
    <w:p>
      <w:pPr>
        <w:spacing w:after="0" w:line="218" w:lineRule="exact"/>
        <w:rPr>
          <w:rFonts w:ascii="Arial" w:cs="Arial" w:eastAsia="Arial" w:hAnsi="Arial"/>
          <w:sz w:val="21"/>
          <w:szCs w:val="21"/>
          <w:color w:val="auto"/>
        </w:rPr>
      </w:pPr>
    </w:p>
    <w:p>
      <w:pPr>
        <w:jc w:val="both"/>
        <w:ind w:firstLine="634"/>
        <w:spacing w:after="0" w:line="276" w:lineRule="auto"/>
        <w:tabs>
          <w:tab w:leader="none" w:pos="1088" w:val="left"/>
        </w:tabs>
        <w:numPr>
          <w:ilvl w:val="1"/>
          <w:numId w:val="50"/>
        </w:numPr>
        <w:rPr>
          <w:rFonts w:ascii="Arial" w:cs="Arial" w:eastAsia="Arial" w:hAnsi="Arial"/>
          <w:sz w:val="19"/>
          <w:szCs w:val="19"/>
          <w:color w:val="auto"/>
        </w:rPr>
      </w:pPr>
      <w:r>
        <w:rPr>
          <w:rFonts w:ascii="Arial" w:cs="Arial" w:eastAsia="Arial" w:hAnsi="Arial"/>
          <w:sz w:val="19"/>
          <w:szCs w:val="19"/>
          <w:color w:val="auto"/>
        </w:rPr>
        <w:t>If, prior to the end of the PSU Performance Period, RSU Restriction Period or SAR Exercise Period (as applicable), Participant’s employment with LII terminates by reason of Participant’s retirement, and in connection with such termination of employment (i) Participant is at least 65 years of age, (ii) Participant is at least 62 years of age and has achieved at least 10 years of service with LII or (iii) the number of years of service Participant has achieved with LII plus Participant’s age equals at least 80, then (x) Participant will vest in a pro rata amount of the PSU Award based upon the portion of the PSU Performance Period during which Participant served as an employee of LII and the Company’s attainment of its performance goals in accordance with the Performance Goals, determined at the end of the PSU Performance Period, and the remainder of the PSU Award will be cancelled, (y) Participant will vest in a pro rata amount of the RSU Award based upon the portion of the RSU Restriction Period during which Participant served as an employee of LII, determined as of the date of such retirement, and the remainder of the RSU Award will be cancelled, and (z) any vested SARs will continue to be exercisable for the remainder of the SAR Exercise Period, and the remainder of the SAR Award will be cancelled.</w:t>
      </w:r>
    </w:p>
    <w:p>
      <w:pPr>
        <w:spacing w:after="0" w:line="204" w:lineRule="exact"/>
        <w:rPr>
          <w:rFonts w:ascii="Arial" w:cs="Arial" w:eastAsia="Arial" w:hAnsi="Arial"/>
          <w:sz w:val="19"/>
          <w:szCs w:val="19"/>
          <w:color w:val="auto"/>
        </w:rPr>
      </w:pPr>
    </w:p>
    <w:p>
      <w:pPr>
        <w:jc w:val="both"/>
        <w:ind w:firstLine="634"/>
        <w:spacing w:after="0" w:line="274" w:lineRule="auto"/>
        <w:tabs>
          <w:tab w:leader="none" w:pos="1079" w:val="left"/>
        </w:tabs>
        <w:numPr>
          <w:ilvl w:val="1"/>
          <w:numId w:val="50"/>
        </w:numPr>
        <w:rPr>
          <w:rFonts w:ascii="Arial" w:cs="Arial" w:eastAsia="Arial" w:hAnsi="Arial"/>
          <w:sz w:val="19"/>
          <w:szCs w:val="19"/>
          <w:color w:val="auto"/>
        </w:rPr>
      </w:pPr>
      <w:r>
        <w:rPr>
          <w:rFonts w:ascii="Arial" w:cs="Arial" w:eastAsia="Arial" w:hAnsi="Arial"/>
          <w:sz w:val="19"/>
          <w:szCs w:val="19"/>
          <w:color w:val="auto"/>
        </w:rPr>
        <w:t>If, prior to the end of the PSU Performance Period, RSU Restriction Period or SAR Exercise Period (as applicable), Participant dies or incurs a Disability, then (i) Participant, or in the event of Participant’s death, Participant’s beneficiary, will vest in a pro rata amount of the PSU Award based upon the portion of the PSU Performance Period during which Participant served as an employee of LII and the Company’s attainment of its performance goals in accordance with the Performance Goals (as determined in the sole discretion of the Committee), determined as of the date of death or Disability, and the remainder of the PSU Award will be cancelled, (ii) Participant, or in the event of Participant’s death, Participant’s beneficiary, will vest in a pro rata amount of the RSU Award based upon the portion of the RSU Restriction Period during which Participant served as an employee of LII, determined as of the date of death or Disability, and the remainder of the RSU Award will be cancelled, and</w:t>
      </w:r>
    </w:p>
    <w:p>
      <w:pPr>
        <w:spacing w:after="0" w:line="1" w:lineRule="exact"/>
        <w:rPr>
          <w:rFonts w:ascii="Arial" w:cs="Arial" w:eastAsia="Arial" w:hAnsi="Arial"/>
          <w:sz w:val="19"/>
          <w:szCs w:val="19"/>
          <w:color w:val="auto"/>
        </w:rPr>
      </w:pPr>
    </w:p>
    <w:p>
      <w:pPr>
        <w:ind w:firstLine="9"/>
        <w:spacing w:after="0" w:line="251" w:lineRule="auto"/>
        <w:tabs>
          <w:tab w:leader="none" w:pos="41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SAR Award will become fully vested and exercisable (to the extent not already vested) and will continue to be exercisable for the remainder of the SAR Exercise Period. For purposes of this Agreement, “Disability” means</w:t>
      </w:r>
    </w:p>
    <w:p>
      <w:pPr>
        <w:spacing w:after="0" w:line="376" w:lineRule="exact"/>
        <w:rPr>
          <w:sz w:val="20"/>
          <w:szCs w:val="20"/>
          <w:color w:val="auto"/>
        </w:rPr>
      </w:pPr>
    </w:p>
    <w:p>
      <w:pPr>
        <w:ind w:left="3680" w:hanging="546"/>
        <w:spacing w:after="0"/>
        <w:tabs>
          <w:tab w:leader="none" w:pos="3680" w:val="left"/>
        </w:tabs>
        <w:numPr>
          <w:ilvl w:val="0"/>
          <w:numId w:val="52"/>
        </w:numPr>
        <w:rPr>
          <w:rFonts w:ascii="Arial" w:cs="Arial" w:eastAsia="Arial" w:hAnsi="Arial"/>
          <w:sz w:val="21"/>
          <w:szCs w:val="21"/>
          <w:color w:val="auto"/>
        </w:rPr>
      </w:pPr>
      <w:r>
        <w:rPr>
          <w:rFonts w:ascii="Arial" w:cs="Arial" w:eastAsia="Arial" w:hAnsi="Arial"/>
          <w:sz w:val="17"/>
          <w:szCs w:val="17"/>
          <w:b w:val="1"/>
          <w:bCs w:val="1"/>
          <w:color w:val="auto"/>
        </w:rPr>
        <w:t>Approved Form December 12, 2019</w:t>
      </w:r>
    </w:p>
    <w:p>
      <w:pPr>
        <w:sectPr>
          <w:pgSz w:w="11900" w:h="16838" w:orient="portrait"/>
          <w:cols w:equalWidth="0" w:num="1">
            <w:col w:w="10800"/>
          </w:cols>
          <w:pgMar w:left="860" w:top="339" w:right="2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permanently disabled (completely unable to perform Participant’s duties as defined in the benefit plans of the Company).</w:t>
      </w:r>
    </w:p>
    <w:p>
      <w:pPr>
        <w:spacing w:after="0" w:line="265" w:lineRule="exact"/>
        <w:rPr>
          <w:sz w:val="20"/>
          <w:szCs w:val="20"/>
          <w:color w:val="auto"/>
        </w:rPr>
      </w:pPr>
    </w:p>
    <w:p>
      <w:pPr>
        <w:jc w:val="both"/>
        <w:ind w:firstLine="634"/>
        <w:spacing w:after="0" w:line="297" w:lineRule="auto"/>
        <w:tabs>
          <w:tab w:leader="none" w:pos="1130" w:val="left"/>
        </w:tabs>
        <w:numPr>
          <w:ilvl w:val="1"/>
          <w:numId w:val="53"/>
        </w:numPr>
        <w:rPr>
          <w:rFonts w:ascii="Arial" w:cs="Arial" w:eastAsia="Arial" w:hAnsi="Arial"/>
          <w:sz w:val="19"/>
          <w:szCs w:val="19"/>
          <w:color w:val="auto"/>
        </w:rPr>
      </w:pPr>
      <w:r>
        <w:rPr>
          <w:rFonts w:ascii="Arial" w:cs="Arial" w:eastAsia="Arial" w:hAnsi="Arial"/>
          <w:sz w:val="19"/>
          <w:szCs w:val="19"/>
          <w:color w:val="auto"/>
        </w:rPr>
        <w:t>If a Change in Control occurs prior to the end of the PSU Performance Period, RSU Restriction Period or SAR Vesting Period (as applicable), Section 12(b) of the Plan shall apply. If a Change in Control occurs after the end of the PSU Performance Period, RSU Restriction Period or SAR Vesting Period (as applicable), Section 12(b) of the Plan shall not apply.</w:t>
      </w:r>
    </w:p>
    <w:p>
      <w:pPr>
        <w:spacing w:after="0" w:line="172" w:lineRule="exact"/>
        <w:rPr>
          <w:rFonts w:ascii="Arial" w:cs="Arial" w:eastAsia="Arial" w:hAnsi="Arial"/>
          <w:sz w:val="19"/>
          <w:szCs w:val="19"/>
          <w:color w:val="auto"/>
        </w:rPr>
      </w:pPr>
    </w:p>
    <w:p>
      <w:pPr>
        <w:ind w:left="380" w:hanging="371"/>
        <w:spacing w:after="0"/>
        <w:tabs>
          <w:tab w:leader="none" w:pos="380" w:val="left"/>
        </w:tabs>
        <w:numPr>
          <w:ilvl w:val="0"/>
          <w:numId w:val="54"/>
        </w:numPr>
        <w:rPr>
          <w:rFonts w:ascii="Arial" w:cs="Arial" w:eastAsia="Arial" w:hAnsi="Arial"/>
          <w:sz w:val="21"/>
          <w:szCs w:val="21"/>
          <w:color w:val="auto"/>
        </w:rPr>
      </w:pPr>
      <w:r>
        <w:rPr>
          <w:rFonts w:ascii="Arial" w:cs="Arial" w:eastAsia="Arial" w:hAnsi="Arial"/>
          <w:sz w:val="21"/>
          <w:szCs w:val="21"/>
          <w:b w:val="1"/>
          <w:bCs w:val="1"/>
          <w:color w:val="auto"/>
        </w:rPr>
        <w:t>PSU Payment Timing</w:t>
      </w:r>
      <w:r>
        <w:rPr>
          <w:rFonts w:ascii="Arial" w:cs="Arial" w:eastAsia="Arial" w:hAnsi="Arial"/>
          <w:sz w:val="21"/>
          <w:szCs w:val="21"/>
          <w:color w:val="auto"/>
        </w:rPr>
        <w:t>.</w:t>
      </w:r>
    </w:p>
    <w:p>
      <w:pPr>
        <w:spacing w:after="0" w:line="259" w:lineRule="exact"/>
        <w:rPr>
          <w:rFonts w:ascii="Arial" w:cs="Arial" w:eastAsia="Arial" w:hAnsi="Arial"/>
          <w:sz w:val="21"/>
          <w:szCs w:val="21"/>
          <w:color w:val="auto"/>
        </w:rPr>
      </w:pPr>
    </w:p>
    <w:p>
      <w:pPr>
        <w:jc w:val="both"/>
        <w:ind w:left="-20" w:firstLine="628"/>
        <w:spacing w:after="0" w:line="263" w:lineRule="auto"/>
        <w:tabs>
          <w:tab w:leader="none" w:pos="1084"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Following the end of the PSU Performance Period the Committee will determine and certify achievement of the Performance Goals. To the extent Performance Goals are achieved and certified by the Committee, and except as otherwise provided in Section 5(b), vested PSUs will be paid no later than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third month following the end of the PSU Performance Period. Vested PSUs will be paid in the form of one Common Share for each vested PSU.</w:t>
      </w:r>
    </w:p>
    <w:p>
      <w:pPr>
        <w:spacing w:after="0" w:line="203" w:lineRule="exact"/>
        <w:rPr>
          <w:rFonts w:ascii="Arial" w:cs="Arial" w:eastAsia="Arial" w:hAnsi="Arial"/>
          <w:sz w:val="19"/>
          <w:szCs w:val="19"/>
          <w:color w:val="auto"/>
        </w:rPr>
      </w:pPr>
    </w:p>
    <w:p>
      <w:pPr>
        <w:jc w:val="both"/>
        <w:ind w:left="-20" w:firstLine="628"/>
        <w:spacing w:after="0" w:line="289" w:lineRule="auto"/>
        <w:tabs>
          <w:tab w:leader="none" w:pos="1121"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Other Payment Events</w:t>
      </w:r>
      <w:r>
        <w:rPr>
          <w:rFonts w:ascii="Arial" w:cs="Arial" w:eastAsia="Arial" w:hAnsi="Arial"/>
          <w:sz w:val="19"/>
          <w:szCs w:val="19"/>
          <w:color w:val="auto"/>
        </w:rPr>
        <w:t>. Notwithstanding Section 5(a), to the extent the PSUs are vested (and have not previously been settled) as a result of Section 4(e) in connection with Participant’s death or Disability, or as a result of Section 4(f) in connection with a Change in Control, such vested PSUs will be settled by issuing to Participant (or the Participant’s beneficiary) one Common Share for each such vested PSU no later than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third month after the date of such vesting event.</w:t>
      </w:r>
    </w:p>
    <w:p>
      <w:pPr>
        <w:spacing w:after="0" w:line="95" w:lineRule="exact"/>
        <w:rPr>
          <w:rFonts w:ascii="Arial" w:cs="Arial" w:eastAsia="Arial" w:hAnsi="Arial"/>
          <w:sz w:val="19"/>
          <w:szCs w:val="19"/>
          <w:color w:val="auto"/>
        </w:rPr>
      </w:pPr>
    </w:p>
    <w:p>
      <w:pPr>
        <w:ind w:left="380" w:hanging="371"/>
        <w:spacing w:after="0"/>
        <w:tabs>
          <w:tab w:leader="none" w:pos="380" w:val="left"/>
        </w:tabs>
        <w:numPr>
          <w:ilvl w:val="0"/>
          <w:numId w:val="54"/>
        </w:numPr>
        <w:rPr>
          <w:rFonts w:ascii="Arial" w:cs="Arial" w:eastAsia="Arial" w:hAnsi="Arial"/>
          <w:sz w:val="21"/>
          <w:szCs w:val="21"/>
          <w:color w:val="auto"/>
        </w:rPr>
      </w:pPr>
      <w:r>
        <w:rPr>
          <w:rFonts w:ascii="Arial" w:cs="Arial" w:eastAsia="Arial" w:hAnsi="Arial"/>
          <w:sz w:val="21"/>
          <w:szCs w:val="21"/>
          <w:b w:val="1"/>
          <w:bCs w:val="1"/>
          <w:color w:val="auto"/>
        </w:rPr>
        <w:t>RSU Payment Timing</w:t>
      </w:r>
      <w:r>
        <w:rPr>
          <w:rFonts w:ascii="Arial" w:cs="Arial" w:eastAsia="Arial" w:hAnsi="Arial"/>
          <w:sz w:val="21"/>
          <w:szCs w:val="21"/>
          <w:color w:val="auto"/>
        </w:rPr>
        <w:t>.</w:t>
      </w:r>
    </w:p>
    <w:p>
      <w:pPr>
        <w:spacing w:after="0" w:line="259" w:lineRule="exact"/>
        <w:rPr>
          <w:rFonts w:ascii="Arial" w:cs="Arial" w:eastAsia="Arial" w:hAnsi="Arial"/>
          <w:sz w:val="21"/>
          <w:szCs w:val="21"/>
          <w:color w:val="auto"/>
        </w:rPr>
      </w:pPr>
    </w:p>
    <w:p>
      <w:pPr>
        <w:ind w:left="-20" w:firstLine="628"/>
        <w:spacing w:after="0" w:line="269" w:lineRule="auto"/>
        <w:tabs>
          <w:tab w:leader="none" w:pos="1057"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Except as otherwise provided in Section 6(b), vested RSUs will be paid within 30 days following the RSU Vesting Date. Vested RSUs will be paid in the form of one Common Share for each vested RSU.</w:t>
      </w:r>
    </w:p>
    <w:p>
      <w:pPr>
        <w:spacing w:after="0" w:line="200" w:lineRule="exact"/>
        <w:rPr>
          <w:rFonts w:ascii="Arial" w:cs="Arial" w:eastAsia="Arial" w:hAnsi="Arial"/>
          <w:sz w:val="21"/>
          <w:szCs w:val="21"/>
          <w:color w:val="auto"/>
        </w:rPr>
      </w:pPr>
    </w:p>
    <w:p>
      <w:pPr>
        <w:ind w:left="-20" w:firstLine="628"/>
        <w:spacing w:after="0" w:line="269" w:lineRule="auto"/>
        <w:tabs>
          <w:tab w:leader="none" w:pos="1108"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Other Payment Events</w:t>
      </w:r>
      <w:r>
        <w:rPr>
          <w:rFonts w:ascii="Arial" w:cs="Arial" w:eastAsia="Arial" w:hAnsi="Arial"/>
          <w:sz w:val="21"/>
          <w:szCs w:val="21"/>
          <w:color w:val="auto"/>
        </w:rPr>
        <w:t>. Notwithstanding Section 6(a), to the extent that the RSUs are vested on the dates set forth below, payment with respect to the RSUs will be made as follows:</w:t>
      </w:r>
    </w:p>
    <w:p>
      <w:pPr>
        <w:spacing w:after="0" w:line="200" w:lineRule="exact"/>
        <w:rPr>
          <w:rFonts w:ascii="Arial" w:cs="Arial" w:eastAsia="Arial" w:hAnsi="Arial"/>
          <w:sz w:val="21"/>
          <w:szCs w:val="21"/>
          <w:color w:val="auto"/>
        </w:rPr>
      </w:pPr>
    </w:p>
    <w:p>
      <w:pPr>
        <w:jc w:val="both"/>
        <w:ind w:left="600" w:firstLine="490"/>
        <w:spacing w:after="0" w:line="253" w:lineRule="auto"/>
        <w:tabs>
          <w:tab w:leader="none" w:pos="1685" w:val="left"/>
        </w:tabs>
        <w:numPr>
          <w:ilvl w:val="2"/>
          <w:numId w:val="54"/>
        </w:numPr>
        <w:rPr>
          <w:rFonts w:ascii="Arial" w:cs="Arial" w:eastAsia="Arial" w:hAnsi="Arial"/>
          <w:sz w:val="21"/>
          <w:szCs w:val="21"/>
          <w:color w:val="auto"/>
        </w:rPr>
      </w:pPr>
      <w:r>
        <w:rPr>
          <w:rFonts w:ascii="Arial" w:cs="Arial" w:eastAsia="Arial" w:hAnsi="Arial"/>
          <w:sz w:val="21"/>
          <w:szCs w:val="21"/>
          <w:color w:val="auto"/>
        </w:rPr>
        <w:t>to the extent the RSUs are vested (and have not previously been settled) as a result of Section 4(e) in connection with Participant’s death or Disability, or as a result of Section 4(f) in connection with a Change in Control, such vested RSUs will be settled by issuing to Participant (or Participant’s beneficiary) one Common Share for each such vested RSU within 60 days after the date of such vesting event; but</w:t>
      </w:r>
    </w:p>
    <w:p>
      <w:pPr>
        <w:spacing w:after="0" w:line="218" w:lineRule="exact"/>
        <w:rPr>
          <w:rFonts w:ascii="Arial" w:cs="Arial" w:eastAsia="Arial" w:hAnsi="Arial"/>
          <w:sz w:val="21"/>
          <w:szCs w:val="21"/>
          <w:color w:val="auto"/>
        </w:rPr>
      </w:pPr>
    </w:p>
    <w:p>
      <w:pPr>
        <w:jc w:val="both"/>
        <w:ind w:left="600" w:firstLine="490"/>
        <w:spacing w:after="0" w:line="253" w:lineRule="auto"/>
        <w:tabs>
          <w:tab w:leader="none" w:pos="1627" w:val="left"/>
        </w:tabs>
        <w:numPr>
          <w:ilvl w:val="2"/>
          <w:numId w:val="54"/>
        </w:numPr>
        <w:rPr>
          <w:rFonts w:ascii="Arial" w:cs="Arial" w:eastAsia="Arial" w:hAnsi="Arial"/>
          <w:sz w:val="21"/>
          <w:szCs w:val="21"/>
          <w:color w:val="auto"/>
        </w:rPr>
      </w:pPr>
      <w:r>
        <w:rPr>
          <w:rFonts w:ascii="Arial" w:cs="Arial" w:eastAsia="Arial" w:hAnsi="Arial"/>
          <w:sz w:val="21"/>
          <w:szCs w:val="21"/>
          <w:color w:val="auto"/>
        </w:rPr>
        <w:t>notwithstanding Section 6(b)(1), if Section 409A of the Code applies to the RSU Award and settlement is triggered (A) by Disability and such Disability does not constitute “disability” for purposes of Section 409A(a)(2)(C) of the Code or (B) by a Change in Control and such Change in Control does not constitute a “change in control” for purposes of Section</w:t>
      </w:r>
    </w:p>
    <w:p>
      <w:pPr>
        <w:spacing w:after="0" w:line="376" w:lineRule="exact"/>
        <w:rPr>
          <w:sz w:val="20"/>
          <w:szCs w:val="20"/>
          <w:color w:val="auto"/>
        </w:rPr>
      </w:pPr>
    </w:p>
    <w:p>
      <w:pPr>
        <w:ind w:left="3680" w:hanging="546"/>
        <w:spacing w:after="0"/>
        <w:tabs>
          <w:tab w:leader="none" w:pos="3680" w:val="left"/>
        </w:tabs>
        <w:numPr>
          <w:ilvl w:val="0"/>
          <w:numId w:val="55"/>
        </w:numPr>
        <w:rPr>
          <w:rFonts w:ascii="Arial" w:cs="Arial" w:eastAsia="Arial" w:hAnsi="Arial"/>
          <w:sz w:val="21"/>
          <w:szCs w:val="21"/>
          <w:color w:val="auto"/>
        </w:rPr>
      </w:pPr>
      <w:r>
        <w:rPr>
          <w:rFonts w:ascii="Arial" w:cs="Arial" w:eastAsia="Arial" w:hAnsi="Arial"/>
          <w:sz w:val="17"/>
          <w:szCs w:val="17"/>
          <w:b w:val="1"/>
          <w:bCs w:val="1"/>
          <w:color w:val="auto"/>
        </w:rPr>
        <w:t>Approved Form December 12, 2019</w:t>
      </w:r>
    </w:p>
    <w:p>
      <w:pPr>
        <w:sectPr>
          <w:pgSz w:w="11900" w:h="16838" w:orient="portrait"/>
          <w:cols w:equalWidth="0" w:num="1">
            <w:col w:w="10800"/>
          </w:cols>
          <w:pgMar w:left="860" w:top="339" w:right="239" w:bottom="1440" w:gutter="0" w:footer="0" w:header="0"/>
        </w:sectPr>
      </w:pPr>
    </w:p>
    <w:bookmarkStart w:id="112" w:name="page113"/>
    <w:bookmarkEnd w:id="112"/>
    <w:p>
      <w:pPr>
        <w:jc w:val="both"/>
        <w:ind w:left="617"/>
        <w:spacing w:after="0" w:line="253" w:lineRule="auto"/>
        <w:rPr>
          <w:sz w:val="20"/>
          <w:szCs w:val="20"/>
          <w:color w:val="auto"/>
        </w:rPr>
      </w:pPr>
      <w:r>
        <w:rPr>
          <w:rFonts w:ascii="Arial" w:cs="Arial" w:eastAsia="Arial" w:hAnsi="Arial"/>
          <w:sz w:val="21"/>
          <w:szCs w:val="21"/>
          <w:color w:val="auto"/>
        </w:rPr>
        <w:t>409A(a)(A)(v) of the Code, then payment of the RSUs will be made within 60 days after the earliest to occur of (w) the RSU Vesting Date, (x) Participant’s death, (y) Participant’s “disability” for purposes of Section 409A(a)(2)(C) of the Code (“</w:t>
      </w:r>
      <w:r>
        <w:rPr>
          <w:rFonts w:ascii="Arial" w:cs="Arial" w:eastAsia="Arial" w:hAnsi="Arial"/>
          <w:sz w:val="21"/>
          <w:szCs w:val="21"/>
          <w:b w:val="1"/>
          <w:bCs w:val="1"/>
          <w:u w:val="single" w:color="auto"/>
          <w:color w:val="auto"/>
        </w:rPr>
        <w:t>409A Disability</w:t>
      </w:r>
      <w:r>
        <w:rPr>
          <w:rFonts w:ascii="Arial" w:cs="Arial" w:eastAsia="Arial" w:hAnsi="Arial"/>
          <w:sz w:val="21"/>
          <w:szCs w:val="21"/>
          <w:color w:val="auto"/>
        </w:rPr>
        <w:t>”), or (z) the occurrence of a Change in Control that constitutes a “change in control” for purposes of Section 409A(a)(2)(A)(v) of the Code (a “</w:t>
      </w:r>
      <w:r>
        <w:rPr>
          <w:rFonts w:ascii="Arial" w:cs="Arial" w:eastAsia="Arial" w:hAnsi="Arial"/>
          <w:sz w:val="21"/>
          <w:szCs w:val="21"/>
          <w:b w:val="1"/>
          <w:bCs w:val="1"/>
          <w:u w:val="single" w:color="auto"/>
          <w:color w:val="auto"/>
        </w:rPr>
        <w:t>409A Change in Control</w:t>
      </w:r>
      <w:r>
        <w:rPr>
          <w:rFonts w:ascii="Arial" w:cs="Arial" w:eastAsia="Arial" w:hAnsi="Arial"/>
          <w:sz w:val="21"/>
          <w:szCs w:val="21"/>
          <w:color w:val="auto"/>
        </w:rPr>
        <w:t>”);</w:t>
      </w:r>
    </w:p>
    <w:p>
      <w:pPr>
        <w:spacing w:after="0" w:line="219" w:lineRule="exact"/>
        <w:rPr>
          <w:sz w:val="20"/>
          <w:szCs w:val="20"/>
          <w:color w:val="auto"/>
        </w:rPr>
      </w:pPr>
    </w:p>
    <w:p>
      <w:pPr>
        <w:jc w:val="both"/>
        <w:ind w:left="617" w:firstLine="490"/>
        <w:spacing w:after="0" w:line="251" w:lineRule="auto"/>
        <w:tabs>
          <w:tab w:leader="none" w:pos="1699" w:val="left"/>
        </w:tabs>
        <w:numPr>
          <w:ilvl w:val="2"/>
          <w:numId w:val="56"/>
        </w:numPr>
        <w:rPr>
          <w:rFonts w:ascii="Arial" w:cs="Arial" w:eastAsia="Arial" w:hAnsi="Arial"/>
          <w:sz w:val="21"/>
          <w:szCs w:val="21"/>
          <w:color w:val="auto"/>
        </w:rPr>
      </w:pPr>
      <w:r>
        <w:rPr>
          <w:rFonts w:ascii="Arial" w:cs="Arial" w:eastAsia="Arial" w:hAnsi="Arial"/>
          <w:sz w:val="21"/>
          <w:szCs w:val="21"/>
          <w:color w:val="auto"/>
        </w:rPr>
        <w:t>to the extent the RSUs are vested (and have not previously been settled) as a result of Section 4(d) in connection with Participant’s retirement, and following such retirement (A) Participant dies or experiences a 409A Disability or (B) a 409A Change in Control occurs, such vested RSUs will be settled by issuing to Participant (or Participant’s beneficiary) one Common Share for each such vested RSU within 60 days after the date of such death, 409A Disability or 409A Change in Control, as applicable; and</w:t>
      </w:r>
    </w:p>
    <w:p>
      <w:pPr>
        <w:spacing w:after="0" w:line="221" w:lineRule="exact"/>
        <w:rPr>
          <w:rFonts w:ascii="Arial" w:cs="Arial" w:eastAsia="Arial" w:hAnsi="Arial"/>
          <w:sz w:val="21"/>
          <w:szCs w:val="21"/>
          <w:color w:val="auto"/>
        </w:rPr>
      </w:pPr>
    </w:p>
    <w:p>
      <w:pPr>
        <w:ind w:left="1557" w:hanging="450"/>
        <w:spacing w:after="0"/>
        <w:tabs>
          <w:tab w:leader="none" w:pos="1557" w:val="left"/>
        </w:tabs>
        <w:numPr>
          <w:ilvl w:val="2"/>
          <w:numId w:val="56"/>
        </w:numPr>
        <w:rPr>
          <w:rFonts w:ascii="Arial" w:cs="Arial" w:eastAsia="Arial" w:hAnsi="Arial"/>
          <w:sz w:val="21"/>
          <w:szCs w:val="21"/>
          <w:color w:val="auto"/>
        </w:rPr>
      </w:pPr>
      <w:r>
        <w:rPr>
          <w:rFonts w:ascii="Arial" w:cs="Arial" w:eastAsia="Arial" w:hAnsi="Arial"/>
          <w:sz w:val="21"/>
          <w:szCs w:val="21"/>
          <w:color w:val="auto"/>
        </w:rPr>
        <w:t>in no event shall Participant be permitted to designate the taxable year of payment for the RSUs.</w:t>
      </w:r>
    </w:p>
    <w:p>
      <w:pPr>
        <w:spacing w:after="0" w:line="247" w:lineRule="exact"/>
        <w:rPr>
          <w:rFonts w:ascii="Arial" w:cs="Arial" w:eastAsia="Arial" w:hAnsi="Arial"/>
          <w:sz w:val="21"/>
          <w:szCs w:val="21"/>
          <w:color w:val="auto"/>
        </w:rPr>
      </w:pPr>
    </w:p>
    <w:p>
      <w:pPr>
        <w:jc w:val="both"/>
        <w:ind w:left="-603" w:firstLine="603"/>
        <w:spacing w:after="0" w:line="263" w:lineRule="auto"/>
        <w:tabs>
          <w:tab w:leader="none" w:pos="360"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Exercise of SARs and SARs Payment Timing</w:t>
      </w:r>
      <w:r>
        <w:rPr>
          <w:rFonts w:ascii="Arial" w:cs="Arial" w:eastAsia="Arial" w:hAnsi="Arial"/>
          <w:sz w:val="20"/>
          <w:szCs w:val="20"/>
          <w:color w:val="auto"/>
        </w:rPr>
        <w:t>. Vested SARs may be exercised in whole or part at any time until expiration,</w:t>
      </w:r>
      <w:r>
        <w:rPr>
          <w:rFonts w:ascii="Arial" w:cs="Arial" w:eastAsia="Arial" w:hAnsi="Arial"/>
          <w:sz w:val="20"/>
          <w:szCs w:val="20"/>
          <w:b w:val="1"/>
          <w:bCs w:val="1"/>
          <w:color w:val="auto"/>
        </w:rPr>
        <w:t xml:space="preserve"> </w:t>
      </w:r>
      <w:r>
        <w:rPr>
          <w:rFonts w:ascii="Arial" w:cs="Arial" w:eastAsia="Arial" w:hAnsi="Arial"/>
          <w:sz w:val="20"/>
          <w:szCs w:val="20"/>
          <w:color w:val="auto"/>
        </w:rPr>
        <w:t>unless terminated earlier pursuant to this Agreement. Within 30 days of the date of exercise, the Company will deliver to Participant for each vested SAR that is being exercised (“</w:t>
      </w:r>
      <w:r>
        <w:rPr>
          <w:rFonts w:ascii="Arial" w:cs="Arial" w:eastAsia="Arial" w:hAnsi="Arial"/>
          <w:sz w:val="20"/>
          <w:szCs w:val="20"/>
          <w:b w:val="1"/>
          <w:bCs w:val="1"/>
          <w:u w:val="single" w:color="auto"/>
          <w:color w:val="auto"/>
        </w:rPr>
        <w:t>Exercised SAR</w:t>
      </w:r>
      <w:r>
        <w:rPr>
          <w:rFonts w:ascii="Arial" w:cs="Arial" w:eastAsia="Arial" w:hAnsi="Arial"/>
          <w:sz w:val="20"/>
          <w:szCs w:val="20"/>
          <w:color w:val="auto"/>
        </w:rPr>
        <w:t>”) a number of Common Shares equal in value to the excess (if any) of the Exercise Date Value over the Base Price of the SAR; provided that the aggregate number of Common Shares so determined for all Exercised SARs covered by such exercise will be rounded to the nearest whole Common Share. If on the last day of the SAR Exercise Period (or, if earlier, the last day of the 90-day period following termination, if Section 4(b) applies) (i) the fair market value of a Common Share exceeds the Base Price of the SAR, (ii) Participant has not exercised the vested SARs, and (iii) the SAR Award has not otherwise been cancelled, then the vested SARs will be deemed to have been exercised by Participant as of such day, and the Company will settle the Exercised SARs in accordance with this Section 7.</w:t>
      </w:r>
    </w:p>
    <w:p>
      <w:pPr>
        <w:spacing w:after="0" w:line="205" w:lineRule="exact"/>
        <w:rPr>
          <w:rFonts w:ascii="Arial" w:cs="Arial" w:eastAsia="Arial" w:hAnsi="Arial"/>
          <w:sz w:val="20"/>
          <w:szCs w:val="20"/>
          <w:color w:val="auto"/>
        </w:rPr>
      </w:pPr>
    </w:p>
    <w:p>
      <w:pPr>
        <w:jc w:val="both"/>
        <w:ind w:left="-603" w:firstLine="629"/>
        <w:spacing w:after="0" w:line="263" w:lineRule="auto"/>
        <w:tabs>
          <w:tab w:leader="none" w:pos="399" w:val="left"/>
        </w:tabs>
        <w:numPr>
          <w:ilvl w:val="1"/>
          <w:numId w:val="57"/>
        </w:numPr>
        <w:rPr>
          <w:rFonts w:ascii="Arial" w:cs="Arial" w:eastAsia="Arial" w:hAnsi="Arial"/>
          <w:sz w:val="20"/>
          <w:szCs w:val="20"/>
          <w:color w:val="auto"/>
        </w:rPr>
      </w:pPr>
      <w:r>
        <w:rPr>
          <w:rFonts w:ascii="Arial" w:cs="Arial" w:eastAsia="Arial" w:hAnsi="Arial"/>
          <w:sz w:val="20"/>
          <w:szCs w:val="20"/>
          <w:b w:val="1"/>
          <w:bCs w:val="1"/>
          <w:color w:val="auto"/>
        </w:rPr>
        <w:t>Withholding for Taxes</w:t>
      </w:r>
      <w:r>
        <w:rPr>
          <w:rFonts w:ascii="Arial" w:cs="Arial" w:eastAsia="Arial" w:hAnsi="Arial"/>
          <w:sz w:val="20"/>
          <w:szCs w:val="20"/>
          <w:color w:val="auto"/>
        </w:rPr>
        <w:t>. To the extent that the Company is required to withhold federal, state, local or foreign taxes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in connection with the delivery to Participant of Common Shares or any other payment to Participant or any other payment or vesting event under this Agreement, and the amounts available to the Company for such withholding are insufficient, it shall be a condition to the obligation of the Company to make any such delivery or payment that Participant make arrangements satisfactory to the Company for payment of the balance of such taxes or other amounts required to be withheld. Unless otherwise determined by the Committee, such withholding requirement shall be satisfied by retention by the Company of a portion of the Common Shares to be delivered to Participant. The shares so retained shall be credited against such withholding requirement at the fair market value of such Common Shares on the date the applicable benefit is to be included in Participant’s income. In no event will the fair market value of the Common Shares to be withheld and/or delivered pursuant to this Section 8 to satisfy applicable withholding taxes exceed the minimum amount of taxes required to be withheld.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97" w:hanging="546"/>
        <w:spacing w:after="0"/>
        <w:tabs>
          <w:tab w:leader="none" w:pos="3697" w:val="left"/>
        </w:tabs>
        <w:numPr>
          <w:ilvl w:val="0"/>
          <w:numId w:val="58"/>
        </w:numPr>
        <w:rPr>
          <w:rFonts w:ascii="Arial" w:cs="Arial" w:eastAsia="Arial" w:hAnsi="Arial"/>
          <w:sz w:val="21"/>
          <w:szCs w:val="21"/>
          <w:color w:val="auto"/>
        </w:rPr>
      </w:pPr>
      <w:r>
        <w:rPr>
          <w:rFonts w:ascii="Arial" w:cs="Arial" w:eastAsia="Arial" w:hAnsi="Arial"/>
          <w:sz w:val="17"/>
          <w:szCs w:val="17"/>
          <w:b w:val="1"/>
          <w:bCs w:val="1"/>
          <w:color w:val="auto"/>
        </w:rPr>
        <w:t>Approved Form December 12, 2019</w:t>
      </w:r>
    </w:p>
    <w:p>
      <w:pPr>
        <w:sectPr>
          <w:pgSz w:w="11900" w:h="16838" w:orient="portrait"/>
          <w:cols w:equalWidth="0" w:num="1">
            <w:col w:w="10817"/>
          </w:cols>
          <w:pgMar w:left="843" w:top="339" w:right="239" w:bottom="1440" w:gutter="0" w:footer="0" w:header="0"/>
        </w:sectPr>
      </w:pPr>
    </w:p>
    <w:bookmarkStart w:id="113" w:name="page114"/>
    <w:bookmarkEnd w:id="113"/>
    <w:p>
      <w:pPr>
        <w:ind w:firstLine="629"/>
        <w:spacing w:after="0" w:line="275" w:lineRule="auto"/>
        <w:tabs>
          <w:tab w:leader="none" w:pos="1016"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Adjustments</w:t>
      </w:r>
      <w:r>
        <w:rPr>
          <w:rFonts w:ascii="Arial" w:cs="Arial" w:eastAsia="Arial" w:hAnsi="Arial"/>
          <w:sz w:val="21"/>
          <w:szCs w:val="21"/>
          <w:color w:val="auto"/>
        </w:rPr>
        <w:t>. The number of Common Shares subject to each award granted hereunder and the other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grants evidenced by this Agreement are subject to adjustment as provided in Section 11 of the Plan.</w:t>
      </w:r>
    </w:p>
    <w:p>
      <w:pPr>
        <w:spacing w:after="0" w:line="188" w:lineRule="exact"/>
        <w:rPr>
          <w:rFonts w:ascii="Arial" w:cs="Arial" w:eastAsia="Arial" w:hAnsi="Arial"/>
          <w:sz w:val="21"/>
          <w:szCs w:val="21"/>
          <w:color w:val="auto"/>
        </w:rPr>
      </w:pPr>
    </w:p>
    <w:p>
      <w:pPr>
        <w:ind w:left="1100" w:hanging="471"/>
        <w:spacing w:after="0"/>
        <w:tabs>
          <w:tab w:leader="none" w:pos="1100"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Protective Covenants</w:t>
      </w:r>
      <w:r>
        <w:rPr>
          <w:rFonts w:ascii="Arial" w:cs="Arial" w:eastAsia="Arial" w:hAnsi="Arial"/>
          <w:sz w:val="21"/>
          <w:szCs w:val="21"/>
          <w:color w:val="auto"/>
        </w:rPr>
        <w:t>.</w:t>
      </w:r>
    </w:p>
    <w:p>
      <w:pPr>
        <w:spacing w:after="0" w:line="233" w:lineRule="exact"/>
        <w:rPr>
          <w:sz w:val="20"/>
          <w:szCs w:val="20"/>
          <w:color w:val="auto"/>
        </w:rPr>
      </w:pPr>
    </w:p>
    <w:p>
      <w:pPr>
        <w:jc w:val="both"/>
        <w:ind w:firstLine="629"/>
        <w:spacing w:after="0" w:line="246" w:lineRule="auto"/>
        <w:tabs>
          <w:tab w:leader="none" w:pos="1481"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Noncompete Obligations</w:t>
      </w:r>
      <w:r>
        <w:rPr>
          <w:rFonts w:ascii="Arial" w:cs="Arial" w:eastAsia="Arial" w:hAnsi="Arial"/>
          <w:sz w:val="19"/>
          <w:szCs w:val="19"/>
          <w:color w:val="auto"/>
        </w:rPr>
        <w:t>. For one year following the effective date of Participant’s termination of employment with LII (the “</w:t>
      </w:r>
      <w:r>
        <w:rPr>
          <w:rFonts w:ascii="Arial" w:cs="Arial" w:eastAsia="Arial" w:hAnsi="Arial"/>
          <w:sz w:val="19"/>
          <w:szCs w:val="19"/>
          <w:b w:val="1"/>
          <w:bCs w:val="1"/>
          <w:u w:val="single" w:color="auto"/>
          <w:color w:val="auto"/>
        </w:rPr>
        <w:t>Termination Date</w:t>
      </w:r>
      <w:r>
        <w:rPr>
          <w:rFonts w:ascii="Arial" w:cs="Arial" w:eastAsia="Arial" w:hAnsi="Arial"/>
          <w:sz w:val="19"/>
          <w:szCs w:val="19"/>
          <w:color w:val="auto"/>
        </w:rPr>
        <w:t>”), Participant will not participate in any way in any activities within the same geographic area where Participant had responsibility to conduct business activity prior to the Termination Date, on behalf of a business that provides products or services that are the same or similar to products or services offered or planned by LII as of the Termination Date.</w:t>
      </w:r>
    </w:p>
    <w:p>
      <w:pPr>
        <w:spacing w:after="0" w:line="211" w:lineRule="exact"/>
        <w:rPr>
          <w:sz w:val="20"/>
          <w:szCs w:val="20"/>
          <w:color w:val="auto"/>
        </w:rPr>
      </w:pPr>
    </w:p>
    <w:p>
      <w:pPr>
        <w:jc w:val="both"/>
        <w:ind w:firstLine="625"/>
        <w:spacing w:after="0" w:line="250" w:lineRule="auto"/>
        <w:rPr>
          <w:sz w:val="20"/>
          <w:szCs w:val="20"/>
          <w:color w:val="auto"/>
        </w:rPr>
      </w:pPr>
      <w:r>
        <w:rPr>
          <w:rFonts w:ascii="Arial" w:cs="Arial" w:eastAsia="Arial" w:hAnsi="Arial"/>
          <w:sz w:val="21"/>
          <w:szCs w:val="21"/>
          <w:color w:val="auto"/>
        </w:rPr>
        <w:t>If Participant violates Section 10(a), Participant must pay LII on demand an amount equal to the sum of the pre-tax gains received from: (1) PSU Awards and RSU Awards that vested under this Agreement in the one year period prior to the Termination Date; and (2) SAR Awards exercised under this Agreement in the period beginning one year prior to the Termination Date and ending 90 days after the Termination Date, up to a maximum amount of the following multiple of Participant’s annual base salary in effect on the Termination Date: .75 if Participant is a Vice President; 1.5 if Participant is an Executive Vice President; or 3.0 if Participant is the Chief Executive Officer.</w:t>
      </w:r>
    </w:p>
    <w:p>
      <w:pPr>
        <w:spacing w:after="0" w:line="223" w:lineRule="exact"/>
        <w:rPr>
          <w:sz w:val="20"/>
          <w:szCs w:val="20"/>
          <w:color w:val="auto"/>
        </w:rPr>
      </w:pPr>
    </w:p>
    <w:p>
      <w:pPr>
        <w:jc w:val="both"/>
        <w:ind w:firstLine="629"/>
        <w:spacing w:after="0" w:line="276" w:lineRule="auto"/>
        <w:tabs>
          <w:tab w:leader="none" w:pos="1141"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Nonsolicitation Obligations</w:t>
      </w:r>
      <w:r>
        <w:rPr>
          <w:rFonts w:ascii="Arial" w:cs="Arial" w:eastAsia="Arial" w:hAnsi="Arial"/>
          <w:sz w:val="20"/>
          <w:szCs w:val="20"/>
          <w:color w:val="auto"/>
        </w:rPr>
        <w:t>. For one year following the Termination Date, Participant will not, directly or indirectly: (1) solicit, recruit or hire any person who is an LII employee as of the Termination Date; or (2) solicit or induce any customer, supplier or distributor as of the Termination Date to cease or reduce doing business with LII, or divert an LII business opportunity.</w:t>
      </w:r>
    </w:p>
    <w:p>
      <w:pPr>
        <w:spacing w:after="0" w:line="196" w:lineRule="exact"/>
        <w:rPr>
          <w:sz w:val="20"/>
          <w:szCs w:val="20"/>
          <w:color w:val="auto"/>
        </w:rPr>
      </w:pPr>
    </w:p>
    <w:p>
      <w:pPr>
        <w:ind w:firstLine="625"/>
        <w:spacing w:after="0" w:line="269" w:lineRule="auto"/>
        <w:rPr>
          <w:sz w:val="20"/>
          <w:szCs w:val="20"/>
          <w:color w:val="auto"/>
        </w:rPr>
      </w:pPr>
      <w:r>
        <w:rPr>
          <w:rFonts w:ascii="Arial" w:cs="Arial" w:eastAsia="Arial" w:hAnsi="Arial"/>
          <w:sz w:val="21"/>
          <w:szCs w:val="21"/>
          <w:color w:val="auto"/>
        </w:rPr>
        <w:t>If Participant violates Section 10(b), LII will be irreparably harmed and entitled to specific performance, injunctive relief, attorneys’ fees and costs incurred in obtaining relief, and any other remedy available at law or equity.</w:t>
      </w:r>
    </w:p>
    <w:p>
      <w:pPr>
        <w:spacing w:after="0" w:line="201" w:lineRule="exact"/>
        <w:rPr>
          <w:sz w:val="20"/>
          <w:szCs w:val="20"/>
          <w:color w:val="auto"/>
        </w:rPr>
      </w:pPr>
    </w:p>
    <w:p>
      <w:pPr>
        <w:jc w:val="both"/>
        <w:ind w:firstLine="629"/>
        <w:spacing w:after="0" w:line="257" w:lineRule="auto"/>
        <w:tabs>
          <w:tab w:leader="none" w:pos="1077"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Consent</w:t>
      </w:r>
      <w:r>
        <w:rPr>
          <w:rFonts w:ascii="Arial" w:cs="Arial" w:eastAsia="Arial" w:hAnsi="Arial"/>
          <w:sz w:val="21"/>
          <w:szCs w:val="21"/>
          <w:color w:val="auto"/>
        </w:rPr>
        <w:t>. Participant may engage in activities otherwise restricted by this Section 10 with the written consent of LII’s Chief Executive Officer if Participant is a Vice President or Executive Vice President, or with the written consent of the independent members of the Board of Directors if Participant is the Chief Executive Officer.</w:t>
      </w:r>
    </w:p>
    <w:p>
      <w:pPr>
        <w:spacing w:after="0" w:line="208" w:lineRule="exact"/>
        <w:rPr>
          <w:sz w:val="20"/>
          <w:szCs w:val="20"/>
          <w:color w:val="auto"/>
        </w:rPr>
      </w:pPr>
    </w:p>
    <w:p>
      <w:pPr>
        <w:jc w:val="both"/>
        <w:ind w:firstLine="629"/>
        <w:spacing w:after="0" w:line="272" w:lineRule="auto"/>
        <w:tabs>
          <w:tab w:leader="none" w:pos="1099" w:val="left"/>
        </w:tabs>
        <w:numPr>
          <w:ilvl w:val="0"/>
          <w:numId w:val="63"/>
        </w:numPr>
        <w:rPr>
          <w:rFonts w:ascii="Arial" w:cs="Arial" w:eastAsia="Arial" w:hAnsi="Arial"/>
          <w:sz w:val="20"/>
          <w:szCs w:val="20"/>
          <w:color w:val="auto"/>
        </w:rPr>
      </w:pPr>
      <w:r>
        <w:rPr>
          <w:rFonts w:ascii="Arial" w:cs="Arial" w:eastAsia="Arial" w:hAnsi="Arial"/>
          <w:sz w:val="20"/>
          <w:szCs w:val="20"/>
          <w:b w:val="1"/>
          <w:bCs w:val="1"/>
          <w:color w:val="auto"/>
        </w:rPr>
        <w:t>No Stockholder Rights</w:t>
      </w:r>
      <w:r>
        <w:rPr>
          <w:rFonts w:ascii="Arial" w:cs="Arial" w:eastAsia="Arial" w:hAnsi="Arial"/>
          <w:sz w:val="20"/>
          <w:szCs w:val="20"/>
          <w:color w:val="auto"/>
        </w:rPr>
        <w:t>. Participant will not be deemed for any purpose, including voting rights and dividends or dividend</w:t>
      </w:r>
      <w:r>
        <w:rPr>
          <w:rFonts w:ascii="Arial" w:cs="Arial" w:eastAsia="Arial" w:hAnsi="Arial"/>
          <w:sz w:val="20"/>
          <w:szCs w:val="20"/>
          <w:b w:val="1"/>
          <w:bCs w:val="1"/>
          <w:color w:val="auto"/>
        </w:rPr>
        <w:t xml:space="preserve"> </w:t>
      </w:r>
      <w:r>
        <w:rPr>
          <w:rFonts w:ascii="Arial" w:cs="Arial" w:eastAsia="Arial" w:hAnsi="Arial"/>
          <w:sz w:val="20"/>
          <w:szCs w:val="20"/>
          <w:color w:val="auto"/>
        </w:rPr>
        <w:t>equivalents, to be, or to have any of the rights of, a Stockholder with respect to any Common Shares as to which the PSU Award, the RSU Award or the SAR Award relate until such shares are issued or transferred to Participant by the Company. The existence of this Agreement will not affect the right or power of LII or its Stockholders to accomplish any corporate 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hanging="546"/>
        <w:spacing w:after="0"/>
        <w:tabs>
          <w:tab w:leader="none" w:pos="4300" w:val="left"/>
        </w:tabs>
        <w:numPr>
          <w:ilvl w:val="0"/>
          <w:numId w:val="64"/>
        </w:numPr>
        <w:rPr>
          <w:rFonts w:ascii="Arial" w:cs="Arial" w:eastAsia="Arial" w:hAnsi="Arial"/>
          <w:sz w:val="21"/>
          <w:szCs w:val="21"/>
          <w:color w:val="auto"/>
        </w:rPr>
      </w:pPr>
      <w:r>
        <w:rPr>
          <w:rFonts w:ascii="Arial" w:cs="Arial" w:eastAsia="Arial" w:hAnsi="Arial"/>
          <w:sz w:val="17"/>
          <w:szCs w:val="17"/>
          <w:b w:val="1"/>
          <w:bCs w:val="1"/>
          <w:color w:val="auto"/>
        </w:rPr>
        <w:t>Approved Form December 12, 2019</w:t>
      </w:r>
    </w:p>
    <w:p>
      <w:pPr>
        <w:sectPr>
          <w:pgSz w:w="11900" w:h="16838" w:orient="portrait"/>
          <w:cols w:equalWidth="0" w:num="1">
            <w:col w:w="11420"/>
          </w:cols>
          <w:pgMar w:left="240" w:top="334" w:right="239" w:bottom="1440" w:gutter="0" w:footer="0" w:header="0"/>
        </w:sectPr>
      </w:pPr>
    </w:p>
    <w:bookmarkStart w:id="114" w:name="page115"/>
    <w:bookmarkEnd w:id="114"/>
    <w:p>
      <w:pPr>
        <w:jc w:val="both"/>
        <w:ind w:firstLine="629"/>
        <w:spacing w:after="0" w:line="253" w:lineRule="auto"/>
        <w:tabs>
          <w:tab w:leader="none" w:pos="1185" w:val="left"/>
        </w:tabs>
        <w:numPr>
          <w:ilvl w:val="0"/>
          <w:numId w:val="65"/>
        </w:numPr>
        <w:rPr>
          <w:rFonts w:ascii="Arial" w:cs="Arial" w:eastAsia="Arial" w:hAnsi="Arial"/>
          <w:sz w:val="21"/>
          <w:szCs w:val="21"/>
          <w:color w:val="auto"/>
        </w:rPr>
      </w:pPr>
      <w:r>
        <w:rPr>
          <w:rFonts w:ascii="Arial" w:cs="Arial" w:eastAsia="Arial" w:hAnsi="Arial"/>
          <w:sz w:val="21"/>
          <w:szCs w:val="21"/>
          <w:b w:val="1"/>
          <w:bCs w:val="1"/>
          <w:color w:val="auto"/>
        </w:rPr>
        <w:t>Restrictions Imposed by Law</w:t>
      </w:r>
      <w:r>
        <w:rPr>
          <w:rFonts w:ascii="Arial" w:cs="Arial" w:eastAsia="Arial" w:hAnsi="Arial"/>
          <w:sz w:val="21"/>
          <w:szCs w:val="21"/>
          <w:color w:val="auto"/>
        </w:rPr>
        <w:t>. Participant agrees that LII will not be obligated to deliver any Common Shares if LII</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determines that such delivery would violate any applicable law or any rule or regulation of any governmental authority or any rule or regulation of, or agreement of the Company with, any securities exchange or association upon which the Common Shares may be listed or quoted. LII will not be obligated to take any affirmative action to cause the delivery of Common Shares to comply with any such law, rule, regulation or agreement.</w:t>
      </w:r>
    </w:p>
    <w:p>
      <w:pPr>
        <w:spacing w:after="0" w:line="211" w:lineRule="exact"/>
        <w:rPr>
          <w:rFonts w:ascii="Arial" w:cs="Arial" w:eastAsia="Arial" w:hAnsi="Arial"/>
          <w:sz w:val="21"/>
          <w:szCs w:val="21"/>
          <w:color w:val="auto"/>
        </w:rPr>
      </w:pPr>
    </w:p>
    <w:p>
      <w:pPr>
        <w:jc w:val="both"/>
        <w:ind w:firstLine="629"/>
        <w:spacing w:after="0" w:line="251" w:lineRule="auto"/>
        <w:tabs>
          <w:tab w:leader="none" w:pos="1172" w:val="left"/>
        </w:tabs>
        <w:numPr>
          <w:ilvl w:val="0"/>
          <w:numId w:val="65"/>
        </w:numPr>
        <w:rPr>
          <w:rFonts w:ascii="Arial" w:cs="Arial" w:eastAsia="Arial" w:hAnsi="Arial"/>
          <w:sz w:val="21"/>
          <w:szCs w:val="21"/>
          <w:color w:val="auto"/>
        </w:rPr>
      </w:pPr>
      <w:r>
        <w:rPr>
          <w:rFonts w:ascii="Arial" w:cs="Arial" w:eastAsia="Arial" w:hAnsi="Arial"/>
          <w:sz w:val="21"/>
          <w:szCs w:val="21"/>
          <w:b w:val="1"/>
          <w:bCs w:val="1"/>
          <w:color w:val="auto"/>
        </w:rPr>
        <w:t>Compliance with Section 409A of the Code</w:t>
      </w:r>
      <w:r>
        <w:rPr>
          <w:rFonts w:ascii="Arial" w:cs="Arial" w:eastAsia="Arial" w:hAnsi="Arial"/>
          <w:sz w:val="21"/>
          <w:szCs w:val="21"/>
          <w:color w:val="auto"/>
        </w:rPr>
        <w:t>. To the extent applicable, it is intended that this Agreement and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Participant).</w:t>
      </w:r>
    </w:p>
    <w:p>
      <w:pPr>
        <w:spacing w:after="0" w:line="216" w:lineRule="exact"/>
        <w:rPr>
          <w:rFonts w:ascii="Arial" w:cs="Arial" w:eastAsia="Arial" w:hAnsi="Arial"/>
          <w:sz w:val="21"/>
          <w:szCs w:val="21"/>
          <w:color w:val="auto"/>
        </w:rPr>
      </w:pPr>
    </w:p>
    <w:p>
      <w:pPr>
        <w:jc w:val="both"/>
        <w:ind w:firstLine="629"/>
        <w:spacing w:after="0" w:line="255" w:lineRule="auto"/>
        <w:tabs>
          <w:tab w:leader="none" w:pos="1159" w:val="left"/>
        </w:tabs>
        <w:numPr>
          <w:ilvl w:val="0"/>
          <w:numId w:val="65"/>
        </w:numPr>
        <w:rPr>
          <w:rFonts w:ascii="Arial" w:cs="Arial" w:eastAsia="Arial" w:hAnsi="Arial"/>
          <w:sz w:val="21"/>
          <w:szCs w:val="21"/>
          <w:color w:val="auto"/>
        </w:rPr>
      </w:pPr>
      <w:r>
        <w:rPr>
          <w:rFonts w:ascii="Arial" w:cs="Arial" w:eastAsia="Arial" w:hAnsi="Arial"/>
          <w:sz w:val="21"/>
          <w:szCs w:val="21"/>
          <w:b w:val="1"/>
          <w:bCs w:val="1"/>
          <w:color w:val="auto"/>
        </w:rPr>
        <w:t>No Right to Future Awards</w:t>
      </w:r>
      <w:r>
        <w:rPr>
          <w:rFonts w:ascii="Arial" w:cs="Arial" w:eastAsia="Arial" w:hAnsi="Arial"/>
          <w:sz w:val="21"/>
          <w:szCs w:val="21"/>
          <w:color w:val="auto"/>
        </w:rPr>
        <w:t>. The grants of the awards under this Agreement to Participant are voluntary, discretionary</w:t>
      </w:r>
      <w:r>
        <w:rPr>
          <w:rFonts w:ascii="Arial" w:cs="Arial" w:eastAsia="Arial" w:hAnsi="Arial"/>
          <w:sz w:val="21"/>
          <w:szCs w:val="21"/>
          <w:b w:val="1"/>
          <w:bCs w:val="1"/>
          <w:color w:val="auto"/>
        </w:rPr>
        <w:t xml:space="preserve"> </w:t>
      </w:r>
      <w:r>
        <w:rPr>
          <w:rFonts w:ascii="Arial" w:cs="Arial" w:eastAsia="Arial" w:hAnsi="Arial"/>
          <w:sz w:val="21"/>
          <w:szCs w:val="21"/>
          <w:color w:val="auto"/>
        </w:rPr>
        <w:t>awards being made on a one-time basis and they do not constitute commitments to make any future awards. The grants of the awards and any payments made hereunder will not be considered salary or other compensation for purposes of any severance pay or similar allowance, except as otherwise required by law.</w:t>
      </w:r>
    </w:p>
    <w:p>
      <w:pPr>
        <w:spacing w:after="0" w:line="210" w:lineRule="exact"/>
        <w:rPr>
          <w:rFonts w:ascii="Arial" w:cs="Arial" w:eastAsia="Arial" w:hAnsi="Arial"/>
          <w:sz w:val="21"/>
          <w:szCs w:val="21"/>
          <w:color w:val="auto"/>
        </w:rPr>
      </w:pPr>
    </w:p>
    <w:p>
      <w:pPr>
        <w:ind w:firstLine="629"/>
        <w:spacing w:after="0" w:line="330" w:lineRule="auto"/>
        <w:tabs>
          <w:tab w:leader="none" w:pos="1133" w:val="left"/>
        </w:tabs>
        <w:numPr>
          <w:ilvl w:val="0"/>
          <w:numId w:val="65"/>
        </w:numPr>
        <w:rPr>
          <w:rFonts w:ascii="Arial" w:cs="Arial" w:eastAsia="Arial" w:hAnsi="Arial"/>
          <w:sz w:val="19"/>
          <w:szCs w:val="19"/>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Unless LII notifies Participant in writing of a different procedure, any notice or other communication to LII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this Agreement must be in writing and delivered personally or by first class mail, postage prepaid, to the following address:</w:t>
      </w:r>
    </w:p>
    <w:p>
      <w:pPr>
        <w:spacing w:after="0" w:line="395"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Lennox International Inc.</w:t>
      </w:r>
    </w:p>
    <w:p>
      <w:pPr>
        <w:spacing w:after="0" w:line="24"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c/o Corporate Secretary</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2140 Lake Park Boulevard</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Richardson, Texas 75080</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Any notice or other communication to Participant with respect to this Agreement must be in writing and delivered personally, or sent electronically to Participant or by first class mail, postage prepaid, to Participant’s address as listed in the records of the Company on the Date of Grant, unless LII has received written notification from Participant of a change of address.</w:t>
      </w:r>
    </w:p>
    <w:p>
      <w:pPr>
        <w:spacing w:after="0" w:line="190" w:lineRule="exact"/>
        <w:rPr>
          <w:sz w:val="20"/>
          <w:szCs w:val="20"/>
          <w:color w:val="auto"/>
        </w:rPr>
      </w:pPr>
    </w:p>
    <w:p>
      <w:pPr>
        <w:jc w:val="both"/>
        <w:ind w:firstLine="629"/>
        <w:spacing w:after="0" w:line="260" w:lineRule="auto"/>
        <w:tabs>
          <w:tab w:leader="none" w:pos="1185" w:val="left"/>
        </w:tabs>
        <w:numPr>
          <w:ilvl w:val="0"/>
          <w:numId w:val="66"/>
        </w:numPr>
        <w:rPr>
          <w:rFonts w:ascii="Arial" w:cs="Arial" w:eastAsia="Arial" w:hAnsi="Arial"/>
          <w:sz w:val="21"/>
          <w:szCs w:val="21"/>
          <w:color w:val="auto"/>
        </w:rPr>
      </w:pPr>
      <w:r>
        <w:rPr>
          <w:rFonts w:ascii="Arial" w:cs="Arial" w:eastAsia="Arial" w:hAnsi="Arial"/>
          <w:sz w:val="21"/>
          <w:szCs w:val="21"/>
          <w:b w:val="1"/>
          <w:bCs w:val="1"/>
          <w:color w:val="auto"/>
        </w:rPr>
        <w:t>Amendment</w:t>
      </w:r>
      <w:r>
        <w:rPr>
          <w:rFonts w:ascii="Arial" w:cs="Arial" w:eastAsia="Arial" w:hAnsi="Arial"/>
          <w:sz w:val="21"/>
          <w:szCs w:val="21"/>
          <w:color w:val="auto"/>
        </w:rPr>
        <w:t>. This Agreement may be supplemented or amended from time to time as approved by the Committee as</w:t>
      </w:r>
      <w:r>
        <w:rPr>
          <w:rFonts w:ascii="Arial" w:cs="Arial" w:eastAsia="Arial" w:hAnsi="Arial"/>
          <w:sz w:val="21"/>
          <w:szCs w:val="21"/>
          <w:b w:val="1"/>
          <w:bCs w:val="1"/>
          <w:color w:val="auto"/>
        </w:rPr>
        <w:t xml:space="preserve"> </w:t>
      </w:r>
      <w:r>
        <w:rPr>
          <w:rFonts w:ascii="Arial" w:cs="Arial" w:eastAsia="Arial" w:hAnsi="Arial"/>
          <w:sz w:val="21"/>
          <w:szCs w:val="21"/>
          <w:color w:val="auto"/>
        </w:rPr>
        <w:t>contemplated by the Plan. Participant’s consent shall not be required to an amendment that is deemed necessary by the Company to ensure compliance with Section 409A of the Code or Section 10D of the Exchange Act.</w:t>
      </w:r>
    </w:p>
    <w:p>
      <w:pPr>
        <w:spacing w:after="0" w:line="204" w:lineRule="exact"/>
        <w:rPr>
          <w:rFonts w:ascii="Arial" w:cs="Arial" w:eastAsia="Arial" w:hAnsi="Arial"/>
          <w:sz w:val="21"/>
          <w:szCs w:val="21"/>
          <w:color w:val="auto"/>
        </w:rPr>
      </w:pPr>
    </w:p>
    <w:p>
      <w:pPr>
        <w:jc w:val="both"/>
        <w:ind w:firstLine="629"/>
        <w:spacing w:after="0" w:line="255" w:lineRule="auto"/>
        <w:tabs>
          <w:tab w:leader="none" w:pos="1120" w:val="left"/>
        </w:tabs>
        <w:numPr>
          <w:ilvl w:val="0"/>
          <w:numId w:val="66"/>
        </w:numPr>
        <w:rPr>
          <w:rFonts w:ascii="Arial" w:cs="Arial" w:eastAsia="Arial" w:hAnsi="Arial"/>
          <w:sz w:val="21"/>
          <w:szCs w:val="21"/>
          <w:color w:val="auto"/>
        </w:rPr>
      </w:pPr>
      <w:r>
        <w:rPr>
          <w:rFonts w:ascii="Arial" w:cs="Arial" w:eastAsia="Arial" w:hAnsi="Arial"/>
          <w:sz w:val="21"/>
          <w:szCs w:val="21"/>
          <w:b w:val="1"/>
          <w:bCs w:val="1"/>
          <w:color w:val="auto"/>
        </w:rPr>
        <w:t>Participant Employment</w:t>
      </w:r>
      <w:r>
        <w:rPr>
          <w:rFonts w:ascii="Arial" w:cs="Arial" w:eastAsia="Arial" w:hAnsi="Arial"/>
          <w:sz w:val="21"/>
          <w:szCs w:val="21"/>
          <w:color w:val="auto"/>
        </w:rPr>
        <w:t>. Nothing contained in this Agreement, and no action of LII or the Committee, will confer or be</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to confer on Participant any right to continue in the employ of LII or interfere in any way with the right of LII to terminate Participant’s employment at any time, with or without cause, subject, however, to the provisions of any employment agreement between Participant and LII.</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300" w:hanging="546"/>
        <w:spacing w:after="0"/>
        <w:tabs>
          <w:tab w:leader="none" w:pos="4300" w:val="left"/>
        </w:tabs>
        <w:numPr>
          <w:ilvl w:val="0"/>
          <w:numId w:val="67"/>
        </w:numPr>
        <w:rPr>
          <w:rFonts w:ascii="Arial" w:cs="Arial" w:eastAsia="Arial" w:hAnsi="Arial"/>
          <w:sz w:val="21"/>
          <w:szCs w:val="21"/>
          <w:color w:val="auto"/>
        </w:rPr>
      </w:pPr>
      <w:r>
        <w:rPr>
          <w:rFonts w:ascii="Arial" w:cs="Arial" w:eastAsia="Arial" w:hAnsi="Arial"/>
          <w:sz w:val="17"/>
          <w:szCs w:val="17"/>
          <w:b w:val="1"/>
          <w:bCs w:val="1"/>
          <w:color w:val="auto"/>
        </w:rPr>
        <w:t>Approved Form December 12, 2019</w:t>
      </w:r>
    </w:p>
    <w:p>
      <w:pPr>
        <w:sectPr>
          <w:pgSz w:w="11900" w:h="16838" w:orient="portrait"/>
          <w:cols w:equalWidth="0" w:num="1">
            <w:col w:w="11420"/>
          </w:cols>
          <w:pgMar w:left="240" w:top="334" w:right="239" w:bottom="1440" w:gutter="0" w:footer="0" w:header="0"/>
        </w:sectPr>
      </w:pPr>
    </w:p>
    <w:bookmarkStart w:id="115" w:name="page116"/>
    <w:bookmarkEnd w:id="115"/>
    <w:p>
      <w:pPr>
        <w:jc w:val="both"/>
        <w:ind w:left="-629" w:firstLine="629"/>
        <w:spacing w:after="0" w:line="266" w:lineRule="auto"/>
        <w:tabs>
          <w:tab w:leader="none" w:pos="465"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 This Agreement is governed by Delaware law. Any dispute arising out of or related to this Agreement, or</w:t>
      </w:r>
      <w:r>
        <w:rPr>
          <w:rFonts w:ascii="Arial" w:cs="Arial" w:eastAsia="Arial" w:hAnsi="Arial"/>
          <w:sz w:val="20"/>
          <w:szCs w:val="20"/>
          <w:b w:val="1"/>
          <w:bCs w:val="1"/>
          <w:color w:val="auto"/>
        </w:rPr>
        <w:t xml:space="preserve"> </w:t>
      </w:r>
      <w:r>
        <w:rPr>
          <w:rFonts w:ascii="Arial" w:cs="Arial" w:eastAsia="Arial" w:hAnsi="Arial"/>
          <w:sz w:val="20"/>
          <w:szCs w:val="20"/>
          <w:color w:val="auto"/>
        </w:rPr>
        <w:t>any breach or alleged breach hereof, will be exclusively decided by a state or federal court in the State of Texas in the County of Dallas. Participant irrevocably waives Participant’s right, if any, to have any disputes between Participant and the Company arising out of or related to this Agreement decided in any jurisdiction or venue other than a state or federal court in the State of Texas in the County of Dallas. Participant hereby irrevocably consents to the personal jurisdiction of the state courts in the State of Texas in the County of Dallas for the purposes of any action arising out of or related to this Agreement.</w:t>
      </w:r>
    </w:p>
    <w:p>
      <w:pPr>
        <w:spacing w:after="0" w:line="202" w:lineRule="exact"/>
        <w:rPr>
          <w:rFonts w:ascii="Arial" w:cs="Arial" w:eastAsia="Arial" w:hAnsi="Arial"/>
          <w:sz w:val="20"/>
          <w:szCs w:val="20"/>
          <w:color w:val="auto"/>
        </w:rPr>
      </w:pPr>
    </w:p>
    <w:p>
      <w:pPr>
        <w:jc w:val="both"/>
        <w:ind w:left="-629" w:firstLine="629"/>
        <w:spacing w:after="0" w:line="286" w:lineRule="auto"/>
        <w:tabs>
          <w:tab w:leader="none" w:pos="491"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Construction</w:t>
      </w:r>
      <w:r>
        <w:rPr>
          <w:rFonts w:ascii="Arial" w:cs="Arial" w:eastAsia="Arial" w:hAnsi="Arial"/>
          <w:sz w:val="19"/>
          <w:szCs w:val="19"/>
          <w:color w:val="auto"/>
        </w:rPr>
        <w:t>. This Agreement is entered into, and the PSU Award, RSU Award and SAR Award are granted,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and are governed by and construed in accordance with the Plan and the administrative interpretations adopted under the Plan. In the event of any inconsistency between the terms of the Plan and this Agreement, the terms of the Plan will control. Notwithstanding anything in this Agreement to the contrary, Participant acknowledges and agrees that this Agreement and the awards described herein are subject to the terms and conditions of the Company’s clawback policy as may be in effect from time to time (if any).</w:t>
      </w:r>
    </w:p>
    <w:p>
      <w:pPr>
        <w:spacing w:after="0" w:line="182" w:lineRule="exact"/>
        <w:rPr>
          <w:rFonts w:ascii="Arial" w:cs="Arial" w:eastAsia="Arial" w:hAnsi="Arial"/>
          <w:sz w:val="19"/>
          <w:szCs w:val="19"/>
          <w:color w:val="auto"/>
        </w:rPr>
      </w:pPr>
    </w:p>
    <w:p>
      <w:pPr>
        <w:jc w:val="both"/>
        <w:ind w:left="-629" w:firstLine="629"/>
        <w:spacing w:after="0" w:line="253" w:lineRule="auto"/>
        <w:tabs>
          <w:tab w:leader="none" w:pos="595" w:val="left"/>
        </w:tabs>
        <w:numPr>
          <w:ilvl w:val="0"/>
          <w:numId w:val="68"/>
        </w:numPr>
        <w:rPr>
          <w:rFonts w:ascii="Arial" w:cs="Arial" w:eastAsia="Arial" w:hAnsi="Arial"/>
          <w:sz w:val="21"/>
          <w:szCs w:val="21"/>
          <w:color w:val="auto"/>
        </w:rPr>
      </w:pPr>
      <w:r>
        <w:rPr>
          <w:rFonts w:ascii="Arial" w:cs="Arial" w:eastAsia="Arial" w:hAnsi="Arial"/>
          <w:sz w:val="21"/>
          <w:szCs w:val="21"/>
          <w:b w:val="1"/>
          <w:bCs w:val="1"/>
          <w:color w:val="auto"/>
        </w:rPr>
        <w:t>Severability and Reformation</w:t>
      </w:r>
      <w:r>
        <w:rPr>
          <w:rFonts w:ascii="Arial" w:cs="Arial" w:eastAsia="Arial" w:hAnsi="Arial"/>
          <w:sz w:val="21"/>
          <w:szCs w:val="21"/>
          <w:color w:val="auto"/>
        </w:rPr>
        <w:t>. If any restriction or covenant in this Agreement is deemed by a court of competent</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 to be unreasonable or unenforceable as written, the court may modify any unreasonable or unenforceable element of the restriction or covenant to make it reasonable and enforceable or enforce it only to the extent it is reasonable and enforceable. If the court determines that any restriction or covenant in this Agreement is wholly or partially invalid or unenforceable, the remainder of the restrictions or covenants will be given full effect.</w:t>
      </w:r>
    </w:p>
    <w:p>
      <w:pPr>
        <w:spacing w:after="0" w:line="211" w:lineRule="exact"/>
        <w:rPr>
          <w:rFonts w:ascii="Arial" w:cs="Arial" w:eastAsia="Arial" w:hAnsi="Arial"/>
          <w:sz w:val="21"/>
          <w:szCs w:val="21"/>
          <w:color w:val="auto"/>
        </w:rPr>
      </w:pPr>
    </w:p>
    <w:p>
      <w:pPr>
        <w:jc w:val="both"/>
        <w:ind w:left="-629" w:firstLine="629"/>
        <w:spacing w:after="0" w:line="300" w:lineRule="auto"/>
        <w:tabs>
          <w:tab w:leader="none" w:pos="491"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contains the entire agreement between the parties with respect to the PSU Award, the</w:t>
      </w:r>
      <w:r>
        <w:rPr>
          <w:rFonts w:ascii="Arial" w:cs="Arial" w:eastAsia="Arial" w:hAnsi="Arial"/>
          <w:sz w:val="19"/>
          <w:szCs w:val="19"/>
          <w:b w:val="1"/>
          <w:bCs w:val="1"/>
          <w:color w:val="auto"/>
        </w:rPr>
        <w:t xml:space="preserve"> </w:t>
      </w:r>
      <w:r>
        <w:rPr>
          <w:rFonts w:ascii="Arial" w:cs="Arial" w:eastAsia="Arial" w:hAnsi="Arial"/>
          <w:sz w:val="19"/>
          <w:szCs w:val="19"/>
          <w:color w:val="auto"/>
        </w:rPr>
        <w:t>RSU Award and the SAR Award. If Participant has a written employment agreement or change in control agreement which contains provisions that conflict with this Agreement, the terms of the employment agreement or change in control agreement will control.</w:t>
      </w:r>
    </w:p>
    <w:p>
      <w:pPr>
        <w:spacing w:after="0" w:line="170" w:lineRule="exact"/>
        <w:rPr>
          <w:rFonts w:ascii="Arial" w:cs="Arial" w:eastAsia="Arial" w:hAnsi="Arial"/>
          <w:sz w:val="19"/>
          <w:szCs w:val="19"/>
          <w:color w:val="auto"/>
        </w:rPr>
      </w:pPr>
    </w:p>
    <w:p>
      <w:pPr>
        <w:jc w:val="both"/>
        <w:ind w:left="-629" w:firstLine="629"/>
        <w:spacing w:after="0" w:line="260" w:lineRule="auto"/>
        <w:tabs>
          <w:tab w:leader="none" w:pos="465" w:val="left"/>
        </w:tabs>
        <w:numPr>
          <w:ilvl w:val="0"/>
          <w:numId w:val="68"/>
        </w:numPr>
        <w:rPr>
          <w:rFonts w:ascii="Arial" w:cs="Arial" w:eastAsia="Arial" w:hAnsi="Arial"/>
          <w:sz w:val="21"/>
          <w:szCs w:val="21"/>
          <w:color w:val="auto"/>
        </w:rPr>
      </w:pPr>
      <w:r>
        <w:rPr>
          <w:rFonts w:ascii="Arial" w:cs="Arial" w:eastAsia="Arial" w:hAnsi="Arial"/>
          <w:sz w:val="21"/>
          <w:szCs w:val="21"/>
          <w:b w:val="1"/>
          <w:bCs w:val="1"/>
          <w:color w:val="auto"/>
        </w:rPr>
        <w:t>Electronic Delivery</w:t>
      </w:r>
      <w:r>
        <w:rPr>
          <w:rFonts w:ascii="Arial" w:cs="Arial" w:eastAsia="Arial" w:hAnsi="Arial"/>
          <w:sz w:val="21"/>
          <w:szCs w:val="21"/>
          <w:color w:val="auto"/>
        </w:rPr>
        <w:t>. The Participant consents to the delivery of any documents related to the awards granted hereunder by</w:t>
      </w:r>
      <w:r>
        <w:rPr>
          <w:rFonts w:ascii="Arial" w:cs="Arial" w:eastAsia="Arial" w:hAnsi="Arial"/>
          <w:sz w:val="21"/>
          <w:szCs w:val="21"/>
          <w:b w:val="1"/>
          <w:bCs w:val="1"/>
          <w:color w:val="auto"/>
        </w:rPr>
        <w:t xml:space="preserve"> </w:t>
      </w:r>
      <w:r>
        <w:rPr>
          <w:rFonts w:ascii="Arial" w:cs="Arial" w:eastAsia="Arial" w:hAnsi="Arial"/>
          <w:sz w:val="21"/>
          <w:szCs w:val="21"/>
          <w:color w:val="auto"/>
        </w:rPr>
        <w:t>electronic means and agrees to participate in the Plan through an on-line or electronic system established and maintained by the Company or another third party designated by the Company.</w:t>
      </w:r>
    </w:p>
    <w:p>
      <w:pPr>
        <w:spacing w:after="0" w:line="204" w:lineRule="exact"/>
        <w:rPr>
          <w:rFonts w:ascii="Arial" w:cs="Arial" w:eastAsia="Arial" w:hAnsi="Arial"/>
          <w:sz w:val="21"/>
          <w:szCs w:val="21"/>
          <w:color w:val="auto"/>
        </w:rPr>
      </w:pPr>
    </w:p>
    <w:p>
      <w:pPr>
        <w:ind w:left="-629" w:firstLine="629"/>
        <w:spacing w:after="0" w:line="275" w:lineRule="auto"/>
        <w:tabs>
          <w:tab w:leader="none" w:pos="478" w:val="left"/>
        </w:tabs>
        <w:numPr>
          <w:ilvl w:val="0"/>
          <w:numId w:val="68"/>
        </w:numPr>
        <w:rPr>
          <w:rFonts w:ascii="Arial" w:cs="Arial" w:eastAsia="Arial" w:hAnsi="Arial"/>
          <w:sz w:val="21"/>
          <w:szCs w:val="21"/>
          <w:color w:val="auto"/>
        </w:rPr>
      </w:pPr>
      <w:r>
        <w:rPr>
          <w:rFonts w:ascii="Arial" w:cs="Arial" w:eastAsia="Arial" w:hAnsi="Arial"/>
          <w:sz w:val="21"/>
          <w:szCs w:val="21"/>
          <w:b w:val="1"/>
          <w:bCs w:val="1"/>
          <w:color w:val="auto"/>
        </w:rPr>
        <w:t>Participant Acceptance</w:t>
      </w:r>
      <w:r>
        <w:rPr>
          <w:rFonts w:ascii="Arial" w:cs="Arial" w:eastAsia="Arial" w:hAnsi="Arial"/>
          <w:sz w:val="21"/>
          <w:szCs w:val="21"/>
          <w:color w:val="auto"/>
        </w:rPr>
        <w:t>. Participant must accept the terms and conditions of this Agreement by electronic signature or by</w:t>
      </w:r>
      <w:r>
        <w:rPr>
          <w:rFonts w:ascii="Arial" w:cs="Arial" w:eastAsia="Arial" w:hAnsi="Arial"/>
          <w:sz w:val="21"/>
          <w:szCs w:val="21"/>
          <w:b w:val="1"/>
          <w:bCs w:val="1"/>
          <w:color w:val="auto"/>
        </w:rPr>
        <w:t xml:space="preserve"> </w:t>
      </w:r>
      <w:r>
        <w:rPr>
          <w:rFonts w:ascii="Arial" w:cs="Arial" w:eastAsia="Arial" w:hAnsi="Arial"/>
          <w:sz w:val="21"/>
          <w:szCs w:val="21"/>
          <w:color w:val="auto"/>
        </w:rPr>
        <w:t>signing in the space below and returning a signed copy to the Company.</w:t>
      </w:r>
    </w:p>
    <w:p>
      <w:pPr>
        <w:spacing w:after="0" w:line="188" w:lineRule="exact"/>
        <w:rPr>
          <w:rFonts w:ascii="Arial" w:cs="Arial" w:eastAsia="Arial" w:hAnsi="Arial"/>
          <w:sz w:val="21"/>
          <w:szCs w:val="21"/>
          <w:color w:val="auto"/>
        </w:rPr>
      </w:pPr>
    </w:p>
    <w:p>
      <w:pPr>
        <w:ind w:left="-629" w:firstLine="629"/>
        <w:spacing w:after="0" w:line="275" w:lineRule="auto"/>
        <w:tabs>
          <w:tab w:leader="none" w:pos="491" w:val="left"/>
        </w:tabs>
        <w:numPr>
          <w:ilvl w:val="0"/>
          <w:numId w:val="68"/>
        </w:numPr>
        <w:rPr>
          <w:rFonts w:ascii="Arial" w:cs="Arial" w:eastAsia="Arial" w:hAnsi="Arial"/>
          <w:sz w:val="21"/>
          <w:szCs w:val="21"/>
          <w:color w:val="auto"/>
        </w:rPr>
      </w:pPr>
      <w:r>
        <w:rPr>
          <w:rFonts w:ascii="Arial" w:cs="Arial" w:eastAsia="Arial" w:hAnsi="Arial"/>
          <w:sz w:val="21"/>
          <w:szCs w:val="21"/>
          <w:b w:val="1"/>
          <w:bCs w:val="1"/>
          <w:color w:val="auto"/>
        </w:rPr>
        <w:t xml:space="preserve">No-Waiver. </w:t>
      </w:r>
      <w:r>
        <w:rPr>
          <w:rFonts w:ascii="Arial" w:cs="Arial" w:eastAsia="Arial" w:hAnsi="Arial"/>
          <w:sz w:val="21"/>
          <w:szCs w:val="21"/>
          <w:color w:val="auto"/>
        </w:rPr>
        <w:t>Any waiver by the Company of a breach of any provision of this Agreement will not operate or be construed</w:t>
      </w:r>
      <w:r>
        <w:rPr>
          <w:rFonts w:ascii="Arial" w:cs="Arial" w:eastAsia="Arial" w:hAnsi="Arial"/>
          <w:sz w:val="21"/>
          <w:szCs w:val="21"/>
          <w:b w:val="1"/>
          <w:bCs w:val="1"/>
          <w:color w:val="auto"/>
        </w:rPr>
        <w:t xml:space="preserve"> </w:t>
      </w:r>
      <w:r>
        <w:rPr>
          <w:rFonts w:ascii="Arial" w:cs="Arial" w:eastAsia="Arial" w:hAnsi="Arial"/>
          <w:sz w:val="21"/>
          <w:szCs w:val="21"/>
          <w:color w:val="auto"/>
        </w:rPr>
        <w:t>as waiver of any subsequent breach.</w:t>
      </w:r>
    </w:p>
    <w:p>
      <w:pPr>
        <w:spacing w:after="0" w:line="188" w:lineRule="exact"/>
        <w:rPr>
          <w:rFonts w:ascii="Arial" w:cs="Arial" w:eastAsia="Arial" w:hAnsi="Arial"/>
          <w:sz w:val="21"/>
          <w:szCs w:val="21"/>
          <w:color w:val="auto"/>
        </w:rPr>
      </w:pPr>
    </w:p>
    <w:p>
      <w:pPr>
        <w:jc w:val="both"/>
        <w:ind w:left="-629" w:firstLine="629"/>
        <w:spacing w:after="0" w:line="255" w:lineRule="auto"/>
        <w:tabs>
          <w:tab w:leader="none" w:pos="530" w:val="left"/>
        </w:tabs>
        <w:numPr>
          <w:ilvl w:val="0"/>
          <w:numId w:val="68"/>
        </w:numPr>
        <w:rPr>
          <w:rFonts w:ascii="Arial" w:cs="Arial" w:eastAsia="Arial" w:hAnsi="Arial"/>
          <w:sz w:val="21"/>
          <w:szCs w:val="21"/>
          <w:color w:val="auto"/>
        </w:rPr>
      </w:pPr>
      <w:r>
        <w:rPr>
          <w:rFonts w:ascii="Arial" w:cs="Arial" w:eastAsia="Arial" w:hAnsi="Arial"/>
          <w:sz w:val="21"/>
          <w:szCs w:val="21"/>
          <w:b w:val="1"/>
          <w:bCs w:val="1"/>
          <w:color w:val="auto"/>
        </w:rPr>
        <w:t>Other Entities Protected</w:t>
      </w:r>
      <w:r>
        <w:rPr>
          <w:rFonts w:ascii="Arial" w:cs="Arial" w:eastAsia="Arial" w:hAnsi="Arial"/>
          <w:sz w:val="21"/>
          <w:szCs w:val="21"/>
          <w:color w:val="auto"/>
        </w:rPr>
        <w:t>. This Agreement, including the restrictions on Participant’s activities apply to any subsidiary,</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 successor and assign of LII to which Participant provides services or about which Participant receives Confidential Information. LII has the right to assign this Agreement at its sole election without the need for further notice to or consent by Participant. Accordingly, this Agreement will inure to the benefit of, and may be enforced by,</w:t>
      </w:r>
    </w:p>
    <w:p>
      <w:pPr>
        <w:spacing w:after="0" w:line="374" w:lineRule="exact"/>
        <w:rPr>
          <w:sz w:val="20"/>
          <w:szCs w:val="20"/>
          <w:color w:val="auto"/>
        </w:rPr>
      </w:pPr>
    </w:p>
    <w:p>
      <w:pPr>
        <w:ind w:left="3671" w:hanging="546"/>
        <w:spacing w:after="0"/>
        <w:tabs>
          <w:tab w:leader="none" w:pos="3671" w:val="left"/>
        </w:tabs>
        <w:numPr>
          <w:ilvl w:val="0"/>
          <w:numId w:val="69"/>
        </w:numPr>
        <w:rPr>
          <w:rFonts w:ascii="Arial" w:cs="Arial" w:eastAsia="Arial" w:hAnsi="Arial"/>
          <w:sz w:val="21"/>
          <w:szCs w:val="21"/>
          <w:color w:val="auto"/>
        </w:rPr>
      </w:pPr>
      <w:r>
        <w:rPr>
          <w:rFonts w:ascii="Arial" w:cs="Arial" w:eastAsia="Arial" w:hAnsi="Arial"/>
          <w:sz w:val="17"/>
          <w:szCs w:val="17"/>
          <w:b w:val="1"/>
          <w:bCs w:val="1"/>
          <w:color w:val="auto"/>
        </w:rPr>
        <w:t>Approved Form December 12, 2019</w:t>
      </w:r>
    </w:p>
    <w:p>
      <w:pPr>
        <w:sectPr>
          <w:pgSz w:w="11900" w:h="16838" w:orient="portrait"/>
          <w:cols w:equalWidth="0" w:num="1">
            <w:col w:w="10791"/>
          </w:cols>
          <w:pgMar w:left="869" w:top="333" w:right="239" w:bottom="1440" w:gutter="0" w:footer="0" w:header="0"/>
        </w:sectPr>
      </w:pPr>
    </w:p>
    <w:bookmarkStart w:id="116" w:name="page117"/>
    <w:bookmarkEnd w:id="116"/>
    <w:p>
      <w:pPr>
        <w:jc w:val="both"/>
        <w:ind w:right="20"/>
        <w:spacing w:after="0" w:line="297" w:lineRule="auto"/>
        <w:rPr>
          <w:sz w:val="20"/>
          <w:szCs w:val="20"/>
          <w:color w:val="auto"/>
        </w:rPr>
      </w:pPr>
      <w:r>
        <w:rPr>
          <w:rFonts w:ascii="Arial" w:cs="Arial" w:eastAsia="Arial" w:hAnsi="Arial"/>
          <w:sz w:val="19"/>
          <w:szCs w:val="19"/>
          <w:color w:val="auto"/>
        </w:rPr>
        <w:t>any and all successors and assigns of LII, including without limitation by asset assignment, stock sale, merger, consolidation or other corporate reorganization, and will be binding on Participant, Participant’s executors, administrators, personal representatives or other successors in interest. Participant further agrees that Participant’s rights are personal and may not be assigned or transferred.</w:t>
      </w:r>
    </w:p>
    <w:p>
      <w:pPr>
        <w:spacing w:after="0" w:line="172" w:lineRule="exact"/>
        <w:rPr>
          <w:sz w:val="20"/>
          <w:szCs w:val="20"/>
          <w:color w:val="auto"/>
        </w:rPr>
      </w:pPr>
    </w:p>
    <w:p>
      <w:pPr>
        <w:jc w:val="both"/>
        <w:ind w:right="20" w:firstLine="629"/>
        <w:spacing w:after="0" w:line="260" w:lineRule="auto"/>
        <w:tabs>
          <w:tab w:leader="none" w:pos="1276" w:val="left"/>
        </w:tabs>
        <w:numPr>
          <w:ilvl w:val="0"/>
          <w:numId w:val="70"/>
        </w:numPr>
        <w:rPr>
          <w:rFonts w:ascii="Arial" w:cs="Arial" w:eastAsia="Arial" w:hAnsi="Arial"/>
          <w:sz w:val="21"/>
          <w:szCs w:val="21"/>
          <w:color w:val="auto"/>
        </w:rPr>
      </w:pPr>
      <w:r>
        <w:rPr>
          <w:rFonts w:ascii="Arial" w:cs="Arial" w:eastAsia="Arial" w:hAnsi="Arial"/>
          <w:sz w:val="21"/>
          <w:szCs w:val="21"/>
          <w:b w:val="1"/>
          <w:bCs w:val="1"/>
          <w:color w:val="auto"/>
        </w:rPr>
        <w:t>Acknowledgement</w:t>
      </w:r>
      <w:r>
        <w:rPr>
          <w:rFonts w:ascii="Arial" w:cs="Arial" w:eastAsia="Arial" w:hAnsi="Arial"/>
          <w:sz w:val="21"/>
          <w:szCs w:val="21"/>
          <w:color w:val="auto"/>
        </w:rPr>
        <w:t>. Participant acknowledges that Participant (a) has received a copy of the Plan, (b) has had an</w:t>
      </w:r>
      <w:r>
        <w:rPr>
          <w:rFonts w:ascii="Arial" w:cs="Arial" w:eastAsia="Arial" w:hAnsi="Arial"/>
          <w:sz w:val="21"/>
          <w:szCs w:val="21"/>
          <w:b w:val="1"/>
          <w:bCs w:val="1"/>
          <w:color w:val="auto"/>
        </w:rPr>
        <w:t xml:space="preserve"> </w:t>
      </w:r>
      <w:r>
        <w:rPr>
          <w:rFonts w:ascii="Arial" w:cs="Arial" w:eastAsia="Arial" w:hAnsi="Arial"/>
          <w:sz w:val="21"/>
          <w:szCs w:val="21"/>
          <w:color w:val="auto"/>
        </w:rPr>
        <w:t>opportunity to review the terms of this Agreement and the Plan, (c) understands the terms and conditions of this Agreement and the Plan and (d) agrees to such terms and conditions.</w:t>
      </w:r>
    </w:p>
    <w:p>
      <w:pPr>
        <w:spacing w:after="0" w:line="204" w:lineRule="exact"/>
        <w:rPr>
          <w:rFonts w:ascii="Arial" w:cs="Arial" w:eastAsia="Arial" w:hAnsi="Arial"/>
          <w:sz w:val="21"/>
          <w:szCs w:val="21"/>
          <w:color w:val="auto"/>
        </w:rPr>
      </w:pPr>
    </w:p>
    <w:p>
      <w:pPr>
        <w:ind w:right="20" w:firstLine="629"/>
        <w:spacing w:after="0" w:line="275" w:lineRule="auto"/>
        <w:tabs>
          <w:tab w:leader="none" w:pos="1172" w:val="left"/>
        </w:tabs>
        <w:numPr>
          <w:ilvl w:val="0"/>
          <w:numId w:val="70"/>
        </w:numPr>
        <w:rPr>
          <w:rFonts w:ascii="Arial" w:cs="Arial" w:eastAsia="Arial" w:hAnsi="Arial"/>
          <w:sz w:val="21"/>
          <w:szCs w:val="21"/>
          <w:color w:val="auto"/>
        </w:rPr>
      </w:pPr>
      <w:r>
        <w:rPr>
          <w:rFonts w:ascii="Arial" w:cs="Arial" w:eastAsia="Arial" w:hAnsi="Arial"/>
          <w:sz w:val="21"/>
          <w:szCs w:val="21"/>
          <w:b w:val="1"/>
          <w:bCs w:val="1"/>
          <w:color w:val="auto"/>
        </w:rPr>
        <w:t>Counterparts</w:t>
      </w:r>
      <w:r>
        <w:rPr>
          <w:rFonts w:ascii="Arial" w:cs="Arial" w:eastAsia="Arial" w:hAnsi="Arial"/>
          <w:sz w:val="21"/>
          <w:szCs w:val="21"/>
          <w:color w:val="auto"/>
        </w:rPr>
        <w:t>. This Agreement may be executed in one or more counterparts, each of which shall be deemed to be an</w:t>
      </w:r>
      <w:r>
        <w:rPr>
          <w:rFonts w:ascii="Arial" w:cs="Arial" w:eastAsia="Arial" w:hAnsi="Arial"/>
          <w:sz w:val="21"/>
          <w:szCs w:val="21"/>
          <w:b w:val="1"/>
          <w:bCs w:val="1"/>
          <w:color w:val="auto"/>
        </w:rPr>
        <w:t xml:space="preserve"> </w:t>
      </w:r>
      <w:r>
        <w:rPr>
          <w:rFonts w:ascii="Arial" w:cs="Arial" w:eastAsia="Arial" w:hAnsi="Arial"/>
          <w:sz w:val="21"/>
          <w:szCs w:val="21"/>
          <w:color w:val="auto"/>
        </w:rPr>
        <w:t>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ACCEPTED:</w:t>
      </w:r>
    </w:p>
    <w:p>
      <w:pPr>
        <w:spacing w:after="0" w:line="253"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Signed: _________________________________________</w:t>
      </w:r>
    </w:p>
    <w:p>
      <w:pPr>
        <w:spacing w:after="0" w:line="24"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«First» «Last»</w:t>
      </w:r>
    </w:p>
    <w:p>
      <w:pPr>
        <w:spacing w:after="0" w:line="200" w:lineRule="exact"/>
        <w:rPr>
          <w:sz w:val="20"/>
          <w:szCs w:val="20"/>
          <w:color w:val="auto"/>
        </w:rPr>
      </w:pPr>
    </w:p>
    <w:p>
      <w:pPr>
        <w:spacing w:after="0" w:line="283"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Date: «Date»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SCHEDULE A</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Goals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PSU Performance Period: January 1, 20__ – December 31, 20__</w:t>
      </w:r>
    </w:p>
    <w:p>
      <w:pPr>
        <w:spacing w:after="0" w:line="235" w:lineRule="exact"/>
        <w:rPr>
          <w:sz w:val="20"/>
          <w:szCs w:val="20"/>
          <w:color w:val="auto"/>
        </w:rPr>
      </w:pPr>
    </w:p>
    <w:p>
      <w:pPr>
        <w:jc w:val="both"/>
        <w:ind w:right="20" w:firstLine="4"/>
        <w:spacing w:after="0" w:line="250" w:lineRule="auto"/>
        <w:tabs>
          <w:tab w:leader="none" w:pos="43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Overview</w:t>
      </w:r>
      <w:r>
        <w:rPr>
          <w:rFonts w:ascii="Arial" w:cs="Arial" w:eastAsia="Arial" w:hAnsi="Arial"/>
          <w:sz w:val="21"/>
          <w:szCs w:val="21"/>
          <w:color w:val="auto"/>
        </w:rPr>
        <w:t>. The actual number of Common Shares delivered to the Participant in settlement of the PSUs earned under the Long-Term Incentive Award Agreement between the Company and Participant (the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will be determined by the Committee in its reasonable discretion following the end of the PSU Performance Period based on actual performance results against the performance goals described below, subject to Section 4 of the Agreement. Any PSUs not earned will be canceled and forfeited. Capitalized terms used in this Statement of Performance Goals that are not specifically defined in this Statement of Performance Goals have the meanings assigned to them in the Agreement.</w:t>
      </w:r>
    </w:p>
    <w:p>
      <w:pPr>
        <w:spacing w:after="0" w:line="222" w:lineRule="exact"/>
        <w:rPr>
          <w:rFonts w:ascii="Arial" w:cs="Arial" w:eastAsia="Arial" w:hAnsi="Arial"/>
          <w:sz w:val="21"/>
          <w:szCs w:val="21"/>
          <w:color w:val="auto"/>
        </w:rPr>
      </w:pPr>
    </w:p>
    <w:p>
      <w:pPr>
        <w:jc w:val="both"/>
        <w:ind w:right="20" w:firstLine="4"/>
        <w:spacing w:after="0" w:line="270" w:lineRule="auto"/>
        <w:tabs>
          <w:tab w:leader="none" w:pos="365"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Metrics</w:t>
      </w:r>
      <w:r>
        <w:rPr>
          <w:rFonts w:ascii="Arial" w:cs="Arial" w:eastAsia="Arial" w:hAnsi="Arial"/>
          <w:sz w:val="20"/>
          <w:szCs w:val="20"/>
          <w:color w:val="auto"/>
        </w:rPr>
        <w:t>. 50% of the PSU Award will be earned based upon achievement of Company core net income compound annual growth rate (CAGR) over the three year PSU Performance Period (“Core Net Income”), and 50% of the PSU Award will be earned based upon achievement of Company weighted average return on invested capital over the three year PSU Performance Period with the lowest year return on invested capital weighted 20% and the remaining years each weighted 40% (“</w:t>
      </w:r>
      <w:r>
        <w:rPr>
          <w:rFonts w:ascii="Arial" w:cs="Arial" w:eastAsia="Arial" w:hAnsi="Arial"/>
          <w:sz w:val="20"/>
          <w:szCs w:val="20"/>
          <w:b w:val="1"/>
          <w:bCs w:val="1"/>
          <w:u w:val="single" w:color="auto"/>
          <w:color w:val="auto"/>
        </w:rPr>
        <w:t>ROIC</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right="20" w:firstLine="4"/>
        <w:spacing w:after="0" w:line="269" w:lineRule="auto"/>
        <w:tabs>
          <w:tab w:leader="none" w:pos="456"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Performance Matrix</w:t>
      </w:r>
      <w:r>
        <w:rPr>
          <w:rFonts w:ascii="Arial" w:cs="Arial" w:eastAsia="Arial" w:hAnsi="Arial"/>
          <w:sz w:val="21"/>
          <w:szCs w:val="21"/>
          <w:color w:val="auto"/>
        </w:rPr>
        <w:t>. From 0% to 200% of the PSUs will be earned based on achievement of the Core Net Income and ROIC performance goals during the PSU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7259955" cy="917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7259955" cy="917575"/>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PSU Award – Performance Goals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60" w:type="dxa"/>
            <w:vAlign w:val="bottom"/>
            <w:tcBorders>
              <w:top w:val="single" w:sz="8" w:color="00000A"/>
              <w:right w:val="single" w:sz="8" w:color="00000A"/>
            </w:tcBorders>
          </w:tcPr>
          <w:p>
            <w:pPr>
              <w:ind w:left="1000"/>
              <w:spacing w:after="0"/>
              <w:rPr>
                <w:sz w:val="20"/>
                <w:szCs w:val="20"/>
                <w:color w:val="auto"/>
              </w:rPr>
            </w:pPr>
            <w:r>
              <w:rPr>
                <w:rFonts w:ascii="Arial" w:cs="Arial" w:eastAsia="Arial" w:hAnsi="Arial"/>
                <w:sz w:val="19"/>
                <w:szCs w:val="19"/>
                <w:b w:val="1"/>
                <w:bCs w:val="1"/>
                <w:color w:val="auto"/>
              </w:rPr>
              <w:t>Performance Level</w:t>
            </w:r>
          </w:p>
        </w:tc>
        <w:tc>
          <w:tcPr>
            <w:tcW w:w="2640" w:type="dxa"/>
            <w:vAlign w:val="bottom"/>
            <w:tcBorders>
              <w:top w:val="single" w:sz="8" w:color="00000A"/>
              <w:right w:val="single" w:sz="8" w:color="00000A"/>
            </w:tcBorders>
            <w:gridSpan w:val="3"/>
          </w:tcPr>
          <w:p>
            <w:pPr>
              <w:jc w:val="right"/>
              <w:ind w:right="825"/>
              <w:spacing w:after="0"/>
              <w:rPr>
                <w:sz w:val="20"/>
                <w:szCs w:val="20"/>
                <w:color w:val="auto"/>
              </w:rPr>
            </w:pPr>
            <w:r>
              <w:rPr>
                <w:rFonts w:ascii="Arial" w:cs="Arial" w:eastAsia="Arial" w:hAnsi="Arial"/>
                <w:sz w:val="19"/>
                <w:szCs w:val="19"/>
                <w:b w:val="1"/>
                <w:bCs w:val="1"/>
                <w:color w:val="auto"/>
              </w:rPr>
              <w:t>Threshold</w:t>
            </w:r>
          </w:p>
        </w:tc>
        <w:tc>
          <w:tcPr>
            <w:tcW w:w="2620" w:type="dxa"/>
            <w:vAlign w:val="bottom"/>
            <w:tcBorders>
              <w:top w:val="single" w:sz="8" w:color="00000A"/>
              <w:right w:val="single" w:sz="8" w:color="00000A"/>
            </w:tcBorders>
            <w:gridSpan w:val="3"/>
          </w:tcPr>
          <w:p>
            <w:pPr>
              <w:ind w:left="1040"/>
              <w:spacing w:after="0"/>
              <w:rPr>
                <w:sz w:val="20"/>
                <w:szCs w:val="20"/>
                <w:color w:val="auto"/>
              </w:rPr>
            </w:pPr>
            <w:r>
              <w:rPr>
                <w:rFonts w:ascii="Arial" w:cs="Arial" w:eastAsia="Arial" w:hAnsi="Arial"/>
                <w:sz w:val="19"/>
                <w:szCs w:val="19"/>
                <w:b w:val="1"/>
                <w:bCs w:val="1"/>
                <w:color w:val="auto"/>
              </w:rPr>
              <w:t>Target</w:t>
            </w:r>
          </w:p>
        </w:tc>
        <w:tc>
          <w:tcPr>
            <w:tcW w:w="2620" w:type="dxa"/>
            <w:vAlign w:val="bottom"/>
            <w:tcBorders>
              <w:top w:val="single" w:sz="8" w:color="00000A"/>
            </w:tcBorders>
            <w:gridSpan w:val="3"/>
          </w:tcPr>
          <w:p>
            <w:pPr>
              <w:jc w:val="right"/>
              <w:ind w:right="805"/>
              <w:spacing w:after="0"/>
              <w:rPr>
                <w:sz w:val="20"/>
                <w:szCs w:val="20"/>
                <w:color w:val="auto"/>
              </w:rPr>
            </w:pPr>
            <w:r>
              <w:rPr>
                <w:rFonts w:ascii="Arial" w:cs="Arial" w:eastAsia="Arial" w:hAnsi="Arial"/>
                <w:sz w:val="19"/>
                <w:szCs w:val="19"/>
                <w:b w:val="1"/>
                <w:bCs w:val="1"/>
                <w:color w:val="auto"/>
              </w:rPr>
              <w:t>Maximum</w:t>
            </w:r>
          </w:p>
        </w:tc>
      </w:tr>
      <w:tr>
        <w:trPr>
          <w:trHeight w:val="22"/>
        </w:trPr>
        <w:tc>
          <w:tcPr>
            <w:tcW w:w="3560" w:type="dxa"/>
            <w:vAlign w:val="bottom"/>
            <w:tcBorders>
              <w:bottom w:val="single" w:sz="8" w:color="00000A"/>
              <w:right w:val="single" w:sz="8" w:color="00000A"/>
            </w:tcBorders>
          </w:tcPr>
          <w:p>
            <w:pPr>
              <w:spacing w:after="0" w:line="20" w:lineRule="exact"/>
              <w:rPr>
                <w:sz w:val="1"/>
                <w:szCs w:val="1"/>
                <w:color w:val="auto"/>
              </w:rPr>
            </w:pPr>
          </w:p>
        </w:tc>
        <w:tc>
          <w:tcPr>
            <w:tcW w:w="112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32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32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320" w:type="dxa"/>
            <w:vAlign w:val="bottom"/>
            <w:tcBorders>
              <w:bottom w:val="single" w:sz="8" w:color="00000A"/>
            </w:tcBorders>
          </w:tcPr>
          <w:p>
            <w:pPr>
              <w:spacing w:after="0" w:line="20" w:lineRule="exact"/>
              <w:rPr>
                <w:sz w:val="1"/>
                <w:szCs w:val="1"/>
                <w:color w:val="auto"/>
              </w:rPr>
            </w:pPr>
          </w:p>
        </w:tc>
      </w:tr>
      <w:tr>
        <w:trPr>
          <w:trHeight w:val="244"/>
        </w:trPr>
        <w:tc>
          <w:tcPr>
            <w:tcW w:w="3560" w:type="dxa"/>
            <w:vAlign w:val="bottom"/>
            <w:tcBorders>
              <w:right w:val="single" w:sz="8" w:color="00000A"/>
            </w:tcBorders>
          </w:tcPr>
          <w:p>
            <w:pPr>
              <w:ind w:left="40"/>
              <w:spacing w:after="0"/>
              <w:rPr>
                <w:sz w:val="20"/>
                <w:szCs w:val="20"/>
                <w:color w:val="auto"/>
              </w:rPr>
            </w:pPr>
            <w:r>
              <w:rPr>
                <w:rFonts w:ascii="Arial" w:cs="Arial" w:eastAsia="Arial" w:hAnsi="Arial"/>
                <w:sz w:val="19"/>
                <w:szCs w:val="19"/>
                <w:b w:val="1"/>
                <w:bCs w:val="1"/>
                <w:color w:val="auto"/>
              </w:rPr>
              <w:t>Percentage of PSUs Earned</w:t>
            </w:r>
          </w:p>
        </w:tc>
        <w:tc>
          <w:tcPr>
            <w:tcW w:w="2640" w:type="dxa"/>
            <w:vAlign w:val="bottom"/>
            <w:tcBorders>
              <w:right w:val="single" w:sz="8" w:color="00000A"/>
            </w:tcBorders>
            <w:gridSpan w:val="3"/>
          </w:tcPr>
          <w:p>
            <w:pPr>
              <w:ind w:left="1140"/>
              <w:spacing w:after="0"/>
              <w:rPr>
                <w:sz w:val="20"/>
                <w:szCs w:val="20"/>
                <w:color w:val="auto"/>
              </w:rPr>
            </w:pPr>
            <w:r>
              <w:rPr>
                <w:rFonts w:ascii="Arial" w:cs="Arial" w:eastAsia="Arial" w:hAnsi="Arial"/>
                <w:sz w:val="19"/>
                <w:szCs w:val="19"/>
                <w:color w:val="auto"/>
              </w:rPr>
              <w:t>50%</w:t>
            </w:r>
          </w:p>
        </w:tc>
        <w:tc>
          <w:tcPr>
            <w:tcW w:w="2620" w:type="dxa"/>
            <w:vAlign w:val="bottom"/>
            <w:tcBorders>
              <w:right w:val="single" w:sz="8" w:color="00000A"/>
            </w:tcBorders>
            <w:gridSpan w:val="3"/>
          </w:tcPr>
          <w:p>
            <w:pPr>
              <w:ind w:left="1080"/>
              <w:spacing w:after="0"/>
              <w:rPr>
                <w:sz w:val="20"/>
                <w:szCs w:val="20"/>
                <w:color w:val="auto"/>
              </w:rPr>
            </w:pPr>
            <w:r>
              <w:rPr>
                <w:rFonts w:ascii="Arial" w:cs="Arial" w:eastAsia="Arial" w:hAnsi="Arial"/>
                <w:sz w:val="19"/>
                <w:szCs w:val="19"/>
                <w:color w:val="auto"/>
              </w:rPr>
              <w:t>100%</w:t>
            </w:r>
          </w:p>
        </w:tc>
        <w:tc>
          <w:tcPr>
            <w:tcW w:w="2620" w:type="dxa"/>
            <w:vAlign w:val="bottom"/>
            <w:gridSpan w:val="3"/>
          </w:tcPr>
          <w:p>
            <w:pPr>
              <w:ind w:left="1080"/>
              <w:spacing w:after="0"/>
              <w:rPr>
                <w:sz w:val="20"/>
                <w:szCs w:val="20"/>
                <w:color w:val="auto"/>
              </w:rPr>
            </w:pPr>
            <w:r>
              <w:rPr>
                <w:rFonts w:ascii="Arial" w:cs="Arial" w:eastAsia="Arial" w:hAnsi="Arial"/>
                <w:sz w:val="19"/>
                <w:szCs w:val="19"/>
                <w:color w:val="auto"/>
              </w:rPr>
              <w:t>200%</w:t>
            </w:r>
          </w:p>
        </w:tc>
      </w:tr>
      <w:tr>
        <w:trPr>
          <w:trHeight w:val="22"/>
        </w:trPr>
        <w:tc>
          <w:tcPr>
            <w:tcW w:w="3560" w:type="dxa"/>
            <w:vAlign w:val="bottom"/>
            <w:tcBorders>
              <w:bottom w:val="single" w:sz="8" w:color="00000A"/>
              <w:right w:val="single" w:sz="8" w:color="00000A"/>
            </w:tcBorders>
          </w:tcPr>
          <w:p>
            <w:pPr>
              <w:spacing w:after="0" w:line="20" w:lineRule="exact"/>
              <w:rPr>
                <w:sz w:val="1"/>
                <w:szCs w:val="1"/>
                <w:color w:val="auto"/>
              </w:rPr>
            </w:pPr>
          </w:p>
        </w:tc>
        <w:tc>
          <w:tcPr>
            <w:tcW w:w="112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32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32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320" w:type="dxa"/>
            <w:vAlign w:val="bottom"/>
            <w:tcBorders>
              <w:bottom w:val="single" w:sz="8" w:color="00000A"/>
            </w:tcBorders>
          </w:tcPr>
          <w:p>
            <w:pPr>
              <w:spacing w:after="0" w:line="20" w:lineRule="exact"/>
              <w:rPr>
                <w:sz w:val="1"/>
                <w:szCs w:val="1"/>
                <w:color w:val="auto"/>
              </w:rPr>
            </w:pPr>
          </w:p>
        </w:tc>
      </w:tr>
      <w:tr>
        <w:trPr>
          <w:trHeight w:val="227"/>
        </w:trPr>
        <w:tc>
          <w:tcPr>
            <w:tcW w:w="3560" w:type="dxa"/>
            <w:vAlign w:val="bottom"/>
            <w:tcBorders>
              <w:right w:val="single" w:sz="8" w:color="00000A"/>
            </w:tcBorders>
          </w:tcPr>
          <w:p>
            <w:pPr>
              <w:ind w:left="40"/>
              <w:spacing w:after="0"/>
              <w:rPr>
                <w:sz w:val="20"/>
                <w:szCs w:val="20"/>
                <w:color w:val="auto"/>
              </w:rPr>
            </w:pPr>
            <w:r>
              <w:rPr>
                <w:rFonts w:ascii="Arial" w:cs="Arial" w:eastAsia="Arial" w:hAnsi="Arial"/>
                <w:sz w:val="19"/>
                <w:szCs w:val="19"/>
                <w:b w:val="1"/>
                <w:bCs w:val="1"/>
                <w:color w:val="auto"/>
              </w:rPr>
              <w:t>Core Net Income CAGR</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00" w:type="dxa"/>
            <w:vAlign w:val="bottom"/>
            <w:shd w:val="clear" w:color="auto" w:fill="FFFF00"/>
          </w:tcPr>
          <w:p>
            <w:pPr>
              <w:spacing w:after="0"/>
              <w:rPr>
                <w:sz w:val="20"/>
                <w:szCs w:val="20"/>
                <w:color w:val="auto"/>
              </w:rPr>
            </w:pPr>
            <w:r>
              <w:rPr>
                <w:rFonts w:ascii="Arial" w:cs="Arial" w:eastAsia="Arial" w:hAnsi="Arial"/>
                <w:sz w:val="19"/>
                <w:szCs w:val="19"/>
                <w:b w:val="1"/>
                <w:bCs w:val="1"/>
                <w:color w:val="auto"/>
                <w:highlight w:val="yellow"/>
                <w:w w:val="84"/>
              </w:rPr>
              <w:t>__</w:t>
            </w:r>
          </w:p>
        </w:tc>
        <w:tc>
          <w:tcPr>
            <w:tcW w:w="1320" w:type="dxa"/>
            <w:vAlign w:val="bottom"/>
            <w:tcBorders>
              <w:right w:val="single" w:sz="8" w:color="00000A"/>
            </w:tcBorders>
          </w:tcPr>
          <w:p>
            <w:pPr>
              <w:jc w:val="right"/>
              <w:ind w:right="985"/>
              <w:spacing w:after="0"/>
              <w:rPr>
                <w:sz w:val="20"/>
                <w:szCs w:val="20"/>
                <w:color w:val="auto"/>
              </w:rPr>
            </w:pPr>
            <w:r>
              <w:rPr>
                <w:rFonts w:ascii="Arial" w:cs="Arial" w:eastAsia="Arial" w:hAnsi="Arial"/>
                <w:sz w:val="19"/>
                <w:szCs w:val="19"/>
                <w:b w:val="1"/>
                <w:bCs w:val="1"/>
                <w:color w:val="auto"/>
                <w:w w:val="94"/>
              </w:rPr>
              <w:t>]%</w:t>
            </w:r>
          </w:p>
        </w:tc>
        <w:tc>
          <w:tcPr>
            <w:tcW w:w="1100" w:type="dxa"/>
            <w:vAlign w:val="bottom"/>
          </w:tcPr>
          <w:p>
            <w:pPr>
              <w:ind w:left="1040"/>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FFFF00"/>
          </w:tcPr>
          <w:p>
            <w:pPr>
              <w:spacing w:after="0"/>
              <w:rPr>
                <w:sz w:val="20"/>
                <w:szCs w:val="20"/>
                <w:color w:val="auto"/>
              </w:rPr>
            </w:pPr>
            <w:r>
              <w:rPr>
                <w:rFonts w:ascii="Arial" w:cs="Arial" w:eastAsia="Arial" w:hAnsi="Arial"/>
                <w:sz w:val="19"/>
                <w:szCs w:val="19"/>
                <w:b w:val="1"/>
                <w:bCs w:val="1"/>
                <w:color w:val="auto"/>
                <w:highlight w:val="yellow"/>
                <w:w w:val="84"/>
              </w:rPr>
              <w:t>__</w:t>
            </w:r>
          </w:p>
        </w:tc>
        <w:tc>
          <w:tcPr>
            <w:tcW w:w="1320" w:type="dxa"/>
            <w:vAlign w:val="bottom"/>
            <w:tcBorders>
              <w:right w:val="single" w:sz="8" w:color="00000A"/>
            </w:tcBorders>
          </w:tcPr>
          <w:p>
            <w:pPr>
              <w:jc w:val="right"/>
              <w:ind w:right="965"/>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00" w:type="dxa"/>
            <w:vAlign w:val="bottom"/>
            <w:shd w:val="clear" w:color="auto" w:fill="FFFF00"/>
          </w:tcPr>
          <w:p>
            <w:pPr>
              <w:ind w:left="20"/>
              <w:spacing w:after="0"/>
              <w:rPr>
                <w:sz w:val="20"/>
                <w:szCs w:val="20"/>
                <w:color w:val="auto"/>
              </w:rPr>
            </w:pPr>
            <w:r>
              <w:rPr>
                <w:rFonts w:ascii="Arial" w:cs="Arial" w:eastAsia="Arial" w:hAnsi="Arial"/>
                <w:sz w:val="19"/>
                <w:szCs w:val="19"/>
                <w:b w:val="1"/>
                <w:bCs w:val="1"/>
                <w:color w:val="auto"/>
                <w:highlight w:val="yellow"/>
                <w:w w:val="75"/>
              </w:rPr>
              <w:t>__</w:t>
            </w:r>
          </w:p>
        </w:tc>
        <w:tc>
          <w:tcPr>
            <w:tcW w:w="1320" w:type="dxa"/>
            <w:vAlign w:val="bottom"/>
          </w:tcPr>
          <w:p>
            <w:pPr>
              <w:jc w:val="right"/>
              <w:ind w:right="965"/>
              <w:spacing w:after="0"/>
              <w:rPr>
                <w:sz w:val="20"/>
                <w:szCs w:val="20"/>
                <w:color w:val="auto"/>
              </w:rPr>
            </w:pPr>
            <w:r>
              <w:rPr>
                <w:rFonts w:ascii="Arial" w:cs="Arial" w:eastAsia="Arial" w:hAnsi="Arial"/>
                <w:sz w:val="19"/>
                <w:szCs w:val="19"/>
                <w:b w:val="1"/>
                <w:bCs w:val="1"/>
                <w:color w:val="auto"/>
              </w:rPr>
              <w:t>]%</w:t>
            </w:r>
          </w:p>
        </w:tc>
      </w:tr>
      <w:tr>
        <w:trPr>
          <w:trHeight w:val="39"/>
        </w:trPr>
        <w:tc>
          <w:tcPr>
            <w:tcW w:w="3560" w:type="dxa"/>
            <w:vAlign w:val="bottom"/>
            <w:tcBorders>
              <w:bottom w:val="single" w:sz="8" w:color="00000A"/>
              <w:right w:val="single" w:sz="8" w:color="00000A"/>
            </w:tcBorders>
          </w:tcPr>
          <w:p>
            <w:pPr>
              <w:spacing w:after="0"/>
              <w:rPr>
                <w:sz w:val="3"/>
                <w:szCs w:val="3"/>
                <w:color w:val="auto"/>
              </w:rPr>
            </w:pPr>
          </w:p>
        </w:tc>
        <w:tc>
          <w:tcPr>
            <w:tcW w:w="112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10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10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1320" w:type="dxa"/>
            <w:vAlign w:val="bottom"/>
            <w:tcBorders>
              <w:bottom w:val="single" w:sz="8" w:color="00000A"/>
            </w:tcBorders>
          </w:tcPr>
          <w:p>
            <w:pPr>
              <w:spacing w:after="0"/>
              <w:rPr>
                <w:sz w:val="3"/>
                <w:szCs w:val="3"/>
                <w:color w:val="auto"/>
              </w:rPr>
            </w:pPr>
          </w:p>
        </w:tc>
      </w:tr>
      <w:tr>
        <w:trPr>
          <w:trHeight w:val="227"/>
        </w:trPr>
        <w:tc>
          <w:tcPr>
            <w:tcW w:w="3560" w:type="dxa"/>
            <w:vAlign w:val="bottom"/>
            <w:tcBorders>
              <w:right w:val="single" w:sz="8" w:color="00000A"/>
            </w:tcBorders>
          </w:tcPr>
          <w:p>
            <w:pPr>
              <w:ind w:left="40"/>
              <w:spacing w:after="0"/>
              <w:rPr>
                <w:sz w:val="20"/>
                <w:szCs w:val="20"/>
                <w:color w:val="auto"/>
              </w:rPr>
            </w:pPr>
            <w:r>
              <w:rPr>
                <w:rFonts w:ascii="Arial" w:cs="Arial" w:eastAsia="Arial" w:hAnsi="Arial"/>
                <w:sz w:val="19"/>
                <w:szCs w:val="19"/>
                <w:b w:val="1"/>
                <w:bCs w:val="1"/>
                <w:color w:val="auto"/>
              </w:rPr>
              <w:t>ROIC Weighted Average</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00" w:type="dxa"/>
            <w:vAlign w:val="bottom"/>
            <w:shd w:val="clear" w:color="auto" w:fill="FFFF00"/>
          </w:tcPr>
          <w:p>
            <w:pPr>
              <w:spacing w:after="0"/>
              <w:rPr>
                <w:sz w:val="20"/>
                <w:szCs w:val="20"/>
                <w:color w:val="auto"/>
              </w:rPr>
            </w:pPr>
            <w:r>
              <w:rPr>
                <w:rFonts w:ascii="Arial" w:cs="Arial" w:eastAsia="Arial" w:hAnsi="Arial"/>
                <w:sz w:val="19"/>
                <w:szCs w:val="19"/>
                <w:b w:val="1"/>
                <w:bCs w:val="1"/>
                <w:color w:val="auto"/>
                <w:highlight w:val="yellow"/>
                <w:w w:val="84"/>
              </w:rPr>
              <w:t>__</w:t>
            </w:r>
          </w:p>
        </w:tc>
        <w:tc>
          <w:tcPr>
            <w:tcW w:w="1320" w:type="dxa"/>
            <w:vAlign w:val="bottom"/>
            <w:tcBorders>
              <w:right w:val="single" w:sz="8" w:color="00000A"/>
            </w:tcBorders>
          </w:tcPr>
          <w:p>
            <w:pPr>
              <w:jc w:val="right"/>
              <w:ind w:right="985"/>
              <w:spacing w:after="0"/>
              <w:rPr>
                <w:sz w:val="20"/>
                <w:szCs w:val="20"/>
                <w:color w:val="auto"/>
              </w:rPr>
            </w:pPr>
            <w:r>
              <w:rPr>
                <w:rFonts w:ascii="Arial" w:cs="Arial" w:eastAsia="Arial" w:hAnsi="Arial"/>
                <w:sz w:val="19"/>
                <w:szCs w:val="19"/>
                <w:b w:val="1"/>
                <w:bCs w:val="1"/>
                <w:color w:val="auto"/>
                <w:w w:val="94"/>
              </w:rPr>
              <w:t>]%</w:t>
            </w:r>
          </w:p>
        </w:tc>
        <w:tc>
          <w:tcPr>
            <w:tcW w:w="1100" w:type="dxa"/>
            <w:vAlign w:val="bottom"/>
          </w:tcPr>
          <w:p>
            <w:pPr>
              <w:ind w:left="1040"/>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FFFF00"/>
          </w:tcPr>
          <w:p>
            <w:pPr>
              <w:spacing w:after="0"/>
              <w:rPr>
                <w:sz w:val="20"/>
                <w:szCs w:val="20"/>
                <w:color w:val="auto"/>
              </w:rPr>
            </w:pPr>
            <w:r>
              <w:rPr>
                <w:rFonts w:ascii="Arial" w:cs="Arial" w:eastAsia="Arial" w:hAnsi="Arial"/>
                <w:sz w:val="19"/>
                <w:szCs w:val="19"/>
                <w:b w:val="1"/>
                <w:bCs w:val="1"/>
                <w:color w:val="auto"/>
                <w:highlight w:val="yellow"/>
                <w:w w:val="84"/>
              </w:rPr>
              <w:t>__</w:t>
            </w:r>
          </w:p>
        </w:tc>
        <w:tc>
          <w:tcPr>
            <w:tcW w:w="1320" w:type="dxa"/>
            <w:vAlign w:val="bottom"/>
            <w:tcBorders>
              <w:right w:val="single" w:sz="8" w:color="00000A"/>
            </w:tcBorders>
          </w:tcPr>
          <w:p>
            <w:pPr>
              <w:jc w:val="right"/>
              <w:ind w:right="965"/>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00" w:type="dxa"/>
            <w:vAlign w:val="bottom"/>
            <w:shd w:val="clear" w:color="auto" w:fill="FFFF00"/>
          </w:tcPr>
          <w:p>
            <w:pPr>
              <w:ind w:left="20"/>
              <w:spacing w:after="0"/>
              <w:rPr>
                <w:sz w:val="20"/>
                <w:szCs w:val="20"/>
                <w:color w:val="auto"/>
              </w:rPr>
            </w:pPr>
            <w:r>
              <w:rPr>
                <w:rFonts w:ascii="Arial" w:cs="Arial" w:eastAsia="Arial" w:hAnsi="Arial"/>
                <w:sz w:val="19"/>
                <w:szCs w:val="19"/>
                <w:b w:val="1"/>
                <w:bCs w:val="1"/>
                <w:color w:val="auto"/>
                <w:highlight w:val="yellow"/>
                <w:w w:val="75"/>
              </w:rPr>
              <w:t>__</w:t>
            </w:r>
          </w:p>
        </w:tc>
        <w:tc>
          <w:tcPr>
            <w:tcW w:w="1320" w:type="dxa"/>
            <w:vAlign w:val="bottom"/>
          </w:tcPr>
          <w:p>
            <w:pPr>
              <w:jc w:val="right"/>
              <w:ind w:right="965"/>
              <w:spacing w:after="0"/>
              <w:rPr>
                <w:sz w:val="20"/>
                <w:szCs w:val="20"/>
                <w:color w:val="auto"/>
              </w:rPr>
            </w:pPr>
            <w:r>
              <w:rPr>
                <w:rFonts w:ascii="Arial" w:cs="Arial" w:eastAsia="Arial" w:hAnsi="Arial"/>
                <w:sz w:val="19"/>
                <w:szCs w:val="19"/>
                <w:b w:val="1"/>
                <w:bCs w:val="1"/>
                <w:color w:val="auto"/>
              </w:rPr>
              <w:t>]%</w:t>
            </w:r>
          </w:p>
        </w:tc>
      </w:tr>
      <w:tr>
        <w:trPr>
          <w:trHeight w:val="39"/>
        </w:trPr>
        <w:tc>
          <w:tcPr>
            <w:tcW w:w="3560" w:type="dxa"/>
            <w:vAlign w:val="bottom"/>
            <w:tcBorders>
              <w:bottom w:val="single" w:sz="8" w:color="00000A"/>
              <w:right w:val="single" w:sz="8" w:color="00000A"/>
            </w:tcBorders>
          </w:tcPr>
          <w:p>
            <w:pPr>
              <w:spacing w:after="0"/>
              <w:rPr>
                <w:sz w:val="3"/>
                <w:szCs w:val="3"/>
                <w:color w:val="auto"/>
              </w:rPr>
            </w:pPr>
          </w:p>
        </w:tc>
        <w:tc>
          <w:tcPr>
            <w:tcW w:w="112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10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10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1320" w:type="dxa"/>
            <w:vAlign w:val="bottom"/>
            <w:tcBorders>
              <w:bottom w:val="single" w:sz="8" w:color="00000A"/>
            </w:tcBorders>
          </w:tcPr>
          <w:p>
            <w:pPr>
              <w:spacing w:after="0"/>
              <w:rPr>
                <w:sz w:val="3"/>
                <w:szCs w:val="3"/>
                <w:color w:val="auto"/>
              </w:rPr>
            </w:pPr>
          </w:p>
        </w:tc>
      </w:tr>
    </w:tbl>
    <w:p>
      <w:pPr>
        <w:spacing w:after="0" w:line="239" w:lineRule="exact"/>
        <w:rPr>
          <w:sz w:val="20"/>
          <w:szCs w:val="20"/>
          <w:color w:val="auto"/>
        </w:rPr>
      </w:pPr>
    </w:p>
    <w:p>
      <w:pPr>
        <w:jc w:val="both"/>
        <w:ind w:right="20"/>
        <w:spacing w:after="0" w:line="289" w:lineRule="auto"/>
        <w:rPr>
          <w:sz w:val="20"/>
          <w:szCs w:val="20"/>
          <w:color w:val="auto"/>
        </w:rPr>
      </w:pPr>
      <w:r>
        <w:rPr>
          <w:rFonts w:ascii="Arial" w:cs="Arial" w:eastAsia="Arial" w:hAnsi="Arial"/>
          <w:sz w:val="19"/>
          <w:szCs w:val="19"/>
          <w:color w:val="auto"/>
        </w:rPr>
        <w:t>If Core Net Income or ROIC for the PSU Performance Period falls between two performance levels set forth in the performance matrix above, the number of PSUs earned with respect to such performance metric will be determined based on straight-line mathematical interpolation (rounded down to the nearest whole number of PSUs). If Core Net Income or ROIC for the PSU Performance Period falls below the “Threshold” level set forth in the performance matrix above, no PSUs shall become earned with respect to that metric.</w:t>
      </w:r>
    </w:p>
    <w:p>
      <w:pPr>
        <w:sectPr>
          <w:pgSz w:w="11900" w:h="16838" w:orient="portrait"/>
          <w:cols w:equalWidth="0" w:num="1">
            <w:col w:w="11440"/>
          </w:cols>
          <w:pgMar w:left="240" w:top="33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300" w:hanging="546"/>
        <w:spacing w:after="0"/>
        <w:tabs>
          <w:tab w:leader="none" w:pos="4300" w:val="left"/>
        </w:tabs>
        <w:numPr>
          <w:ilvl w:val="0"/>
          <w:numId w:val="72"/>
        </w:numPr>
        <w:rPr>
          <w:rFonts w:ascii="Arial" w:cs="Arial" w:eastAsia="Arial" w:hAnsi="Arial"/>
          <w:sz w:val="18"/>
          <w:szCs w:val="18"/>
          <w:color w:val="auto"/>
        </w:rPr>
      </w:pPr>
      <w:r>
        <w:rPr>
          <w:rFonts w:ascii="Arial" w:cs="Arial" w:eastAsia="Arial" w:hAnsi="Arial"/>
          <w:sz w:val="15"/>
          <w:szCs w:val="15"/>
          <w:b w:val="1"/>
          <w:bCs w:val="1"/>
          <w:color w:val="auto"/>
        </w:rPr>
        <w:t>Approved Form December 12, 2019</w:t>
      </w:r>
    </w:p>
    <w:p>
      <w:pPr>
        <w:sectPr>
          <w:pgSz w:w="11900" w:h="16838" w:orient="portrait"/>
          <w:cols w:equalWidth="0" w:num="1">
            <w:col w:w="11440"/>
          </w:cols>
          <w:pgMar w:left="240" w:top="339" w:right="21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21"/>
          <w:szCs w:val="21"/>
          <w:b w:val="1"/>
          <w:bCs w:val="1"/>
          <w:color w:val="auto"/>
        </w:rPr>
        <w:t>Exhibit 10.19</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LENNOX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Phantom Long-Term Incentive Award Agreement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Non-U.S. Employees – Vice President</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THIS AGREEMENT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made as of __________, 20__ (the “</w:t>
      </w:r>
      <w:r>
        <w:rPr>
          <w:rFonts w:ascii="Arial" w:cs="Arial" w:eastAsia="Arial" w:hAnsi="Arial"/>
          <w:sz w:val="19"/>
          <w:szCs w:val="19"/>
          <w:b w:val="1"/>
          <w:bCs w:val="1"/>
          <w:u w:val="single" w:color="auto"/>
          <w:color w:val="auto"/>
        </w:rPr>
        <w:t>Date of Grant</w:t>
      </w:r>
      <w:r>
        <w:rPr>
          <w:rFonts w:ascii="Arial" w:cs="Arial" w:eastAsia="Arial" w:hAnsi="Arial"/>
          <w:sz w:val="19"/>
          <w:szCs w:val="19"/>
          <w:color w:val="auto"/>
        </w:rPr>
        <w:t>”), by and between Lennox</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International Inc., a Delaware corporation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xml:space="preserve">”), and </w:t>
      </w:r>
      <w:r>
        <w:rPr>
          <w:rFonts w:ascii="Arial" w:cs="Arial" w:eastAsia="Arial" w:hAnsi="Arial"/>
          <w:sz w:val="21"/>
          <w:szCs w:val="21"/>
          <w:b w:val="1"/>
          <w:bCs w:val="1"/>
          <w:color w:val="auto"/>
        </w:rPr>
        <w:t>__________</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Participant</w:t>
      </w:r>
      <w:r>
        <w:rPr>
          <w:rFonts w:ascii="Arial" w:cs="Arial" w:eastAsia="Arial" w:hAnsi="Arial"/>
          <w:sz w:val="21"/>
          <w:szCs w:val="21"/>
          <w:color w:val="auto"/>
        </w:rPr>
        <w:t>”).</w:t>
      </w:r>
    </w:p>
    <w:p>
      <w:pPr>
        <w:spacing w:after="0" w:line="235" w:lineRule="exact"/>
        <w:rPr>
          <w:sz w:val="20"/>
          <w:szCs w:val="20"/>
          <w:color w:val="auto"/>
        </w:rPr>
      </w:pPr>
    </w:p>
    <w:p>
      <w:pPr>
        <w:jc w:val="both"/>
        <w:ind w:firstLine="1250"/>
        <w:spacing w:after="0" w:line="289" w:lineRule="auto"/>
        <w:rPr>
          <w:sz w:val="20"/>
          <w:szCs w:val="20"/>
          <w:color w:val="auto"/>
        </w:rPr>
      </w:pPr>
      <w:r>
        <w:rPr>
          <w:rFonts w:ascii="Arial" w:cs="Arial" w:eastAsia="Arial" w:hAnsi="Arial"/>
          <w:sz w:val="19"/>
          <w:szCs w:val="19"/>
          <w:color w:val="auto"/>
        </w:rPr>
        <w:t>The Company has adopted the Lennox International Inc. 2019 Equity and Incentive Compensation Plan (as amended and restated from time to time, the “</w:t>
      </w: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the terms of which are incorporated by reference and made a part of this Agreement, for the benefit of eligible employees, Directors, and certain other service providers of the Company and its Subsidiaries (together, “</w:t>
      </w:r>
      <w:r>
        <w:rPr>
          <w:rFonts w:ascii="Arial" w:cs="Arial" w:eastAsia="Arial" w:hAnsi="Arial"/>
          <w:sz w:val="19"/>
          <w:szCs w:val="19"/>
          <w:b w:val="1"/>
          <w:bCs w:val="1"/>
          <w:u w:val="single" w:color="auto"/>
          <w:color w:val="auto"/>
        </w:rPr>
        <w:t>LII</w:t>
      </w:r>
      <w:r>
        <w:rPr>
          <w:rFonts w:ascii="Arial" w:cs="Arial" w:eastAsia="Arial" w:hAnsi="Arial"/>
          <w:sz w:val="19"/>
          <w:szCs w:val="19"/>
          <w:color w:val="auto"/>
        </w:rPr>
        <w:t>”). Capitalized terms used and not otherwise defined in this Agreement have the meanings set forth in the Plan.</w:t>
      </w:r>
    </w:p>
    <w:p>
      <w:pPr>
        <w:spacing w:after="0" w:line="185" w:lineRule="exact"/>
        <w:rPr>
          <w:sz w:val="20"/>
          <w:szCs w:val="20"/>
          <w:color w:val="auto"/>
        </w:rPr>
      </w:pPr>
    </w:p>
    <w:p>
      <w:pPr>
        <w:jc w:val="both"/>
        <w:ind w:firstLine="1250"/>
        <w:spacing w:after="0" w:line="309" w:lineRule="auto"/>
        <w:rPr>
          <w:sz w:val="20"/>
          <w:szCs w:val="20"/>
          <w:color w:val="auto"/>
        </w:rPr>
      </w:pPr>
      <w:r>
        <w:rPr>
          <w:rFonts w:ascii="Arial" w:cs="Arial" w:eastAsia="Arial" w:hAnsi="Arial"/>
          <w:sz w:val="18"/>
          <w:szCs w:val="18"/>
          <w:color w:val="auto"/>
        </w:rPr>
        <w:t>Pursuant to the Plan, the Committee, which has responsibility for administering the Plan, has determined that it is in the interest of the Company and its Stockholders to make the awards described in this Agreement in order to increase Participant’s personal interest in the continued success and progress of the Company, to foster and enhance the long-term profitability of the Company for the benefit of its Stockholders by offering the incentive of long-term rewards, and to encourage Participant to remain in the employ of LII.</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The Company and Participant therefore agree as follows:</w:t>
      </w:r>
    </w:p>
    <w:p>
      <w:pPr>
        <w:spacing w:after="0" w:line="221" w:lineRule="exact"/>
        <w:rPr>
          <w:sz w:val="20"/>
          <w:szCs w:val="20"/>
          <w:color w:val="auto"/>
        </w:rPr>
      </w:pPr>
    </w:p>
    <w:p>
      <w:pPr>
        <w:ind w:firstLine="629"/>
        <w:spacing w:after="0" w:line="238" w:lineRule="auto"/>
        <w:tabs>
          <w:tab w:leader="none" w:pos="1406" w:val="left"/>
        </w:tabs>
        <w:numPr>
          <w:ilvl w:val="0"/>
          <w:numId w:val="73"/>
        </w:numPr>
        <w:rPr>
          <w:rFonts w:ascii="Arial" w:cs="Arial" w:eastAsia="Arial" w:hAnsi="Arial"/>
          <w:sz w:val="21"/>
          <w:szCs w:val="21"/>
          <w:color w:val="auto"/>
        </w:rPr>
      </w:pPr>
      <w:r>
        <w:rPr>
          <w:rFonts w:ascii="Arial" w:cs="Arial" w:eastAsia="Arial" w:hAnsi="Arial"/>
          <w:sz w:val="21"/>
          <w:szCs w:val="21"/>
          <w:b w:val="1"/>
          <w:bCs w:val="1"/>
          <w:color w:val="auto"/>
        </w:rPr>
        <w:t>Grant of Awards</w:t>
      </w:r>
      <w:r>
        <w:rPr>
          <w:rFonts w:ascii="Arial" w:cs="Arial" w:eastAsia="Arial" w:hAnsi="Arial"/>
          <w:sz w:val="21"/>
          <w:szCs w:val="21"/>
          <w:color w:val="auto"/>
        </w:rPr>
        <w:t>. Subject to and upon the terms of this Agreement and the Plan, the Company grants to Participant on</w:t>
      </w:r>
      <w:r>
        <w:rPr>
          <w:rFonts w:ascii="Arial" w:cs="Arial" w:eastAsia="Arial" w:hAnsi="Arial"/>
          <w:sz w:val="21"/>
          <w:szCs w:val="21"/>
          <w:b w:val="1"/>
          <w:bCs w:val="1"/>
          <w:color w:val="auto"/>
        </w:rPr>
        <w:t xml:space="preserve"> </w:t>
      </w:r>
      <w:r>
        <w:rPr>
          <w:rFonts w:ascii="Arial" w:cs="Arial" w:eastAsia="Arial" w:hAnsi="Arial"/>
          <w:sz w:val="21"/>
          <w:szCs w:val="21"/>
          <w:color w:val="auto"/>
        </w:rPr>
        <w:t>the Date of Grant:</w:t>
      </w:r>
    </w:p>
    <w:p>
      <w:pPr>
        <w:spacing w:after="0" w:line="178" w:lineRule="exact"/>
        <w:rPr>
          <w:rFonts w:ascii="Arial" w:cs="Arial" w:eastAsia="Arial" w:hAnsi="Arial"/>
          <w:sz w:val="21"/>
          <w:szCs w:val="21"/>
          <w:color w:val="auto"/>
        </w:rPr>
      </w:pPr>
    </w:p>
    <w:p>
      <w:pPr>
        <w:jc w:val="both"/>
        <w:ind w:left="620" w:firstLine="634"/>
        <w:spacing w:after="0" w:line="270" w:lineRule="auto"/>
        <w:tabs>
          <w:tab w:leader="none" w:pos="1776" w:val="left"/>
        </w:tabs>
        <w:numPr>
          <w:ilvl w:val="1"/>
          <w:numId w:val="73"/>
        </w:numPr>
        <w:rPr>
          <w:rFonts w:ascii="Arial" w:cs="Arial" w:eastAsia="Arial" w:hAnsi="Arial"/>
          <w:sz w:val="20"/>
          <w:szCs w:val="20"/>
          <w:color w:val="auto"/>
        </w:rPr>
      </w:pPr>
      <w:r>
        <w:rPr>
          <w:rFonts w:ascii="Arial" w:cs="Arial" w:eastAsia="Arial" w:hAnsi="Arial"/>
          <w:sz w:val="20"/>
          <w:szCs w:val="20"/>
          <w:u w:val="single" w:color="auto"/>
          <w:color w:val="auto"/>
        </w:rPr>
        <w:t>PSU Award</w:t>
      </w:r>
      <w:r>
        <w:rPr>
          <w:rFonts w:ascii="Arial" w:cs="Arial" w:eastAsia="Arial" w:hAnsi="Arial"/>
          <w:sz w:val="20"/>
          <w:szCs w:val="20"/>
          <w:color w:val="auto"/>
        </w:rPr>
        <w:t xml:space="preserve"> - for the performance period beginning on January 1, 20__ and ending on December 31, 20__ (the “</w:t>
      </w:r>
      <w:r>
        <w:rPr>
          <w:rFonts w:ascii="Arial" w:cs="Arial" w:eastAsia="Arial" w:hAnsi="Arial"/>
          <w:sz w:val="20"/>
          <w:szCs w:val="20"/>
          <w:b w:val="1"/>
          <w:bCs w:val="1"/>
          <w:u w:val="single" w:color="auto"/>
          <w:color w:val="auto"/>
        </w:rPr>
        <w:t>PSU Performance Period</w:t>
      </w:r>
      <w:r>
        <w:rPr>
          <w:rFonts w:ascii="Arial" w:cs="Arial" w:eastAsia="Arial" w:hAnsi="Arial"/>
          <w:sz w:val="20"/>
          <w:szCs w:val="20"/>
          <w:color w:val="auto"/>
        </w:rPr>
        <w:t>”), an award of __________ phantom performance share units (“</w:t>
      </w:r>
      <w:r>
        <w:rPr>
          <w:rFonts w:ascii="Arial" w:cs="Arial" w:eastAsia="Arial" w:hAnsi="Arial"/>
          <w:sz w:val="20"/>
          <w:szCs w:val="20"/>
          <w:b w:val="1"/>
          <w:bCs w:val="1"/>
          <w:u w:val="single" w:color="auto"/>
          <w:color w:val="auto"/>
        </w:rPr>
        <w:t>PSUs</w:t>
      </w:r>
      <w:r>
        <w:rPr>
          <w:rFonts w:ascii="Arial" w:cs="Arial" w:eastAsia="Arial" w:hAnsi="Arial"/>
          <w:sz w:val="20"/>
          <w:szCs w:val="20"/>
          <w:color w:val="auto"/>
        </w:rPr>
        <w:t>,” and such award, the “</w:t>
      </w:r>
      <w:r>
        <w:rPr>
          <w:rFonts w:ascii="Arial" w:cs="Arial" w:eastAsia="Arial" w:hAnsi="Arial"/>
          <w:sz w:val="20"/>
          <w:szCs w:val="20"/>
          <w:b w:val="1"/>
          <w:bCs w:val="1"/>
          <w:u w:val="single" w:color="auto"/>
          <w:color w:val="auto"/>
        </w:rPr>
        <w:t>PSU</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Award</w:t>
      </w:r>
      <w:r>
        <w:rPr>
          <w:rFonts w:ascii="Arial" w:cs="Arial" w:eastAsia="Arial" w:hAnsi="Arial"/>
          <w:sz w:val="20"/>
          <w:szCs w:val="20"/>
          <w:color w:val="auto"/>
        </w:rPr>
        <w:t>”). Subject to the degree of attainment of the performance goals approved by the Committee and set forth on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Schedule A</w:t>
      </w:r>
      <w:r>
        <w:rPr>
          <w:rFonts w:ascii="Arial" w:cs="Arial" w:eastAsia="Arial" w:hAnsi="Arial"/>
          <w:sz w:val="20"/>
          <w:szCs w:val="20"/>
          <w:b w:val="1"/>
          <w:bCs w:val="1"/>
          <w:color w:val="auto"/>
        </w:rPr>
        <w:t xml:space="preserve"> </w:t>
      </w:r>
      <w:r>
        <w:rPr>
          <w:rFonts w:ascii="Arial" w:cs="Arial" w:eastAsia="Arial" w:hAnsi="Arial"/>
          <w:sz w:val="20"/>
          <w:szCs w:val="20"/>
          <w:color w:val="auto"/>
        </w:rPr>
        <w:t>hereto (the “</w:t>
      </w:r>
      <w:r>
        <w:rPr>
          <w:rFonts w:ascii="Arial" w:cs="Arial" w:eastAsia="Arial" w:hAnsi="Arial"/>
          <w:sz w:val="20"/>
          <w:szCs w:val="20"/>
          <w:b w:val="1"/>
          <w:bCs w:val="1"/>
          <w:u w:val="single" w:color="auto"/>
          <w:color w:val="auto"/>
        </w:rPr>
        <w:t>Performance Goals</w:t>
      </w:r>
      <w:r>
        <w:rPr>
          <w:rFonts w:ascii="Arial" w:cs="Arial" w:eastAsia="Arial" w:hAnsi="Arial"/>
          <w:sz w:val="20"/>
          <w:szCs w:val="20"/>
          <w:color w:val="auto"/>
        </w:rPr>
        <w:t>”), Participant may earn from 0% to 200% of the PSUs;</w:t>
      </w:r>
    </w:p>
    <w:p>
      <w:pPr>
        <w:spacing w:after="0" w:line="196" w:lineRule="exact"/>
        <w:rPr>
          <w:rFonts w:ascii="Arial" w:cs="Arial" w:eastAsia="Arial" w:hAnsi="Arial"/>
          <w:sz w:val="20"/>
          <w:szCs w:val="20"/>
          <w:color w:val="auto"/>
        </w:rPr>
      </w:pPr>
    </w:p>
    <w:p>
      <w:pPr>
        <w:ind w:left="620" w:firstLine="634"/>
        <w:spacing w:after="0" w:line="275" w:lineRule="auto"/>
        <w:tabs>
          <w:tab w:leader="none" w:pos="1696" w:val="left"/>
        </w:tabs>
        <w:numPr>
          <w:ilvl w:val="1"/>
          <w:numId w:val="73"/>
        </w:numPr>
        <w:rPr>
          <w:rFonts w:ascii="Arial" w:cs="Arial" w:eastAsia="Arial" w:hAnsi="Arial"/>
          <w:sz w:val="21"/>
          <w:szCs w:val="21"/>
          <w:color w:val="auto"/>
        </w:rPr>
      </w:pPr>
      <w:r>
        <w:rPr>
          <w:rFonts w:ascii="Arial" w:cs="Arial" w:eastAsia="Arial" w:hAnsi="Arial"/>
          <w:sz w:val="21"/>
          <w:szCs w:val="21"/>
          <w:u w:val="single" w:color="auto"/>
          <w:color w:val="auto"/>
        </w:rPr>
        <w:t>RSU Award</w:t>
      </w:r>
      <w:r>
        <w:rPr>
          <w:rFonts w:ascii="Arial" w:cs="Arial" w:eastAsia="Arial" w:hAnsi="Arial"/>
          <w:sz w:val="21"/>
          <w:szCs w:val="21"/>
          <w:color w:val="auto"/>
        </w:rPr>
        <w:t xml:space="preserve"> - an award of </w:t>
      </w:r>
      <w:r>
        <w:rPr>
          <w:rFonts w:ascii="Arial" w:cs="Arial" w:eastAsia="Arial" w:hAnsi="Arial"/>
          <w:sz w:val="21"/>
          <w:szCs w:val="21"/>
          <w:b w:val="1"/>
          <w:bCs w:val="1"/>
          <w:color w:val="auto"/>
        </w:rPr>
        <w:t>__________</w:t>
      </w:r>
      <w:r>
        <w:rPr>
          <w:rFonts w:ascii="Arial" w:cs="Arial" w:eastAsia="Arial" w:hAnsi="Arial"/>
          <w:sz w:val="21"/>
          <w:szCs w:val="21"/>
          <w:color w:val="auto"/>
        </w:rPr>
        <w:t xml:space="preserve"> phantom service-based Restricted Stock Units (“</w:t>
      </w:r>
      <w:r>
        <w:rPr>
          <w:rFonts w:ascii="Arial" w:cs="Arial" w:eastAsia="Arial" w:hAnsi="Arial"/>
          <w:sz w:val="21"/>
          <w:szCs w:val="21"/>
          <w:b w:val="1"/>
          <w:bCs w:val="1"/>
          <w:u w:val="single" w:color="auto"/>
          <w:color w:val="auto"/>
        </w:rPr>
        <w:t>RSUs</w:t>
      </w:r>
      <w:r>
        <w:rPr>
          <w:rFonts w:ascii="Arial" w:cs="Arial" w:eastAsia="Arial" w:hAnsi="Arial"/>
          <w:sz w:val="21"/>
          <w:szCs w:val="21"/>
          <w:color w:val="auto"/>
        </w:rPr>
        <w:t>” and such award, the “</w:t>
      </w:r>
      <w:r>
        <w:rPr>
          <w:rFonts w:ascii="Arial" w:cs="Arial" w:eastAsia="Arial" w:hAnsi="Arial"/>
          <w:sz w:val="21"/>
          <w:szCs w:val="21"/>
          <w:b w:val="1"/>
          <w:bCs w:val="1"/>
          <w:u w:val="single" w:color="auto"/>
          <w:color w:val="auto"/>
        </w:rPr>
        <w:t>RSU Award</w:t>
      </w:r>
      <w:r>
        <w:rPr>
          <w:rFonts w:ascii="Arial" w:cs="Arial" w:eastAsia="Arial" w:hAnsi="Arial"/>
          <w:sz w:val="21"/>
          <w:szCs w:val="21"/>
          <w:color w:val="auto"/>
        </w:rPr>
        <w:t>”); and</w:t>
      </w:r>
    </w:p>
    <w:p>
      <w:pPr>
        <w:spacing w:after="0" w:line="194" w:lineRule="exact"/>
        <w:rPr>
          <w:rFonts w:ascii="Arial" w:cs="Arial" w:eastAsia="Arial" w:hAnsi="Arial"/>
          <w:sz w:val="21"/>
          <w:szCs w:val="21"/>
          <w:color w:val="auto"/>
        </w:rPr>
      </w:pPr>
    </w:p>
    <w:p>
      <w:pPr>
        <w:jc w:val="both"/>
        <w:ind w:left="620" w:firstLine="634"/>
        <w:spacing w:after="0" w:line="297" w:lineRule="auto"/>
        <w:tabs>
          <w:tab w:leader="none" w:pos="1698"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SAR Award</w:t>
      </w:r>
      <w:r>
        <w:rPr>
          <w:rFonts w:ascii="Arial" w:cs="Arial" w:eastAsia="Arial" w:hAnsi="Arial"/>
          <w:sz w:val="19"/>
          <w:szCs w:val="19"/>
          <w:color w:val="auto"/>
        </w:rPr>
        <w:t xml:space="preserve"> - for the period beginning on the Date of Grant and ending on </w:t>
      </w:r>
      <w:r>
        <w:rPr>
          <w:rFonts w:ascii="Arial" w:cs="Arial" w:eastAsia="Arial" w:hAnsi="Arial"/>
          <w:sz w:val="19"/>
          <w:szCs w:val="19"/>
          <w:u w:val="single" w:color="auto"/>
          <w:color w:val="auto"/>
        </w:rPr>
        <w:t>__________</w:t>
      </w:r>
      <w:r>
        <w:rPr>
          <w:rFonts w:ascii="Arial" w:cs="Arial" w:eastAsia="Arial" w:hAnsi="Arial"/>
          <w:sz w:val="19"/>
          <w:szCs w:val="19"/>
          <w:color w:val="auto"/>
        </w:rPr>
        <w:t>, the third anniversary of the Date of Grant (the “</w:t>
      </w:r>
      <w:r>
        <w:rPr>
          <w:rFonts w:ascii="Arial" w:cs="Arial" w:eastAsia="Arial" w:hAnsi="Arial"/>
          <w:sz w:val="19"/>
          <w:szCs w:val="19"/>
          <w:b w:val="1"/>
          <w:bCs w:val="1"/>
          <w:u w:val="single" w:color="auto"/>
          <w:color w:val="auto"/>
        </w:rPr>
        <w:t>SAR Vesting Period</w:t>
      </w:r>
      <w:r>
        <w:rPr>
          <w:rFonts w:ascii="Arial" w:cs="Arial" w:eastAsia="Arial" w:hAnsi="Arial"/>
          <w:sz w:val="19"/>
          <w:szCs w:val="19"/>
          <w:color w:val="auto"/>
        </w:rPr>
        <w:t>”), an award of __________ phantom Appreciation Rights (“</w:t>
      </w:r>
      <w:r>
        <w:rPr>
          <w:rFonts w:ascii="Arial" w:cs="Arial" w:eastAsia="Arial" w:hAnsi="Arial"/>
          <w:sz w:val="19"/>
          <w:szCs w:val="19"/>
          <w:b w:val="1"/>
          <w:bCs w:val="1"/>
          <w:u w:val="single" w:color="auto"/>
          <w:color w:val="auto"/>
        </w:rPr>
        <w:t>SARs</w:t>
      </w:r>
      <w:r>
        <w:rPr>
          <w:rFonts w:ascii="Arial" w:cs="Arial" w:eastAsia="Arial" w:hAnsi="Arial"/>
          <w:sz w:val="19"/>
          <w:szCs w:val="19"/>
          <w:color w:val="auto"/>
        </w:rPr>
        <w:t>,” and such award, the “</w:t>
      </w:r>
      <w:r>
        <w:rPr>
          <w:rFonts w:ascii="Arial" w:cs="Arial" w:eastAsia="Arial" w:hAnsi="Arial"/>
          <w:sz w:val="19"/>
          <w:szCs w:val="19"/>
          <w:b w:val="1"/>
          <w:bCs w:val="1"/>
          <w:u w:val="single" w:color="auto"/>
          <w:color w:val="auto"/>
        </w:rPr>
        <w:t>SAR Award</w:t>
      </w:r>
      <w:r>
        <w:rPr>
          <w:rFonts w:ascii="Arial" w:cs="Arial" w:eastAsia="Arial" w:hAnsi="Arial"/>
          <w:sz w:val="19"/>
          <w:szCs w:val="19"/>
          <w:color w:val="auto"/>
        </w:rPr>
        <w:t xml:space="preserve">”) with a Base Price of </w:t>
      </w:r>
      <w:r>
        <w:rPr>
          <w:rFonts w:ascii="Arial" w:cs="Arial" w:eastAsia="Arial" w:hAnsi="Arial"/>
          <w:sz w:val="19"/>
          <w:szCs w:val="19"/>
          <w:b w:val="1"/>
          <w:bCs w:val="1"/>
          <w:color w:val="auto"/>
        </w:rPr>
        <w:t>$_________</w:t>
      </w:r>
      <w:r>
        <w:rPr>
          <w:rFonts w:ascii="Arial" w:cs="Arial" w:eastAsia="Arial" w:hAnsi="Arial"/>
          <w:sz w:val="19"/>
          <w:szCs w:val="19"/>
          <w:color w:val="auto"/>
        </w:rPr>
        <w:t xml:space="preserve"> per SAR (the fair market value of a Common Share on the Date of Grant).</w:t>
      </w:r>
    </w:p>
    <w:p>
      <w:pPr>
        <w:spacing w:after="0" w:line="390"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 xml:space="preserve">1 </w:t>
      </w:r>
      <w:r>
        <w:rPr>
          <w:rFonts w:ascii="Arial" w:cs="Arial" w:eastAsia="Arial" w:hAnsi="Arial"/>
          <w:sz w:val="17"/>
          <w:szCs w:val="17"/>
          <w:b w:val="1"/>
          <w:bCs w:val="1"/>
          <w:color w:val="auto"/>
        </w:rPr>
        <w:t>Approved Form December 12, 2019</w:t>
      </w:r>
    </w:p>
    <w:p>
      <w:pPr>
        <w:sectPr>
          <w:pgSz w:w="11900" w:h="16838" w:orient="portrait"/>
          <w:cols w:equalWidth="0" w:num="1">
            <w:col w:w="11420"/>
          </w:cols>
          <w:pgMar w:left="240" w:top="581" w:right="239" w:bottom="1440" w:gutter="0" w:footer="0" w:header="0"/>
        </w:sectPr>
      </w:pPr>
    </w:p>
    <w:bookmarkStart w:id="118" w:name="page119"/>
    <w:bookmarkEnd w:id="118"/>
    <w:p>
      <w:pPr>
        <w:ind w:left="-629" w:firstLine="629"/>
        <w:spacing w:after="0" w:line="315" w:lineRule="auto"/>
        <w:tabs>
          <w:tab w:leader="none" w:pos="378"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Restrictions on Transfer</w:t>
      </w:r>
      <w:r>
        <w:rPr>
          <w:rFonts w:ascii="Arial" w:cs="Arial" w:eastAsia="Arial" w:hAnsi="Arial"/>
          <w:sz w:val="20"/>
          <w:szCs w:val="20"/>
          <w:color w:val="auto"/>
        </w:rPr>
        <w:t>. Subject to Section 15 of the Plan, neither the awards evidenced hereby nor any interest therein</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transferable prior to settlement other than by will or pursuant to the laws of descent and distribution.</w:t>
      </w:r>
    </w:p>
    <w:p>
      <w:pPr>
        <w:spacing w:after="0" w:line="112" w:lineRule="exact"/>
        <w:rPr>
          <w:rFonts w:ascii="Arial" w:cs="Arial" w:eastAsia="Arial" w:hAnsi="Arial"/>
          <w:sz w:val="20"/>
          <w:szCs w:val="20"/>
          <w:color w:val="auto"/>
        </w:rPr>
      </w:pPr>
    </w:p>
    <w:p>
      <w:pPr>
        <w:ind w:left="331" w:hanging="331"/>
        <w:spacing w:after="0"/>
        <w:tabs>
          <w:tab w:leader="none" w:pos="331" w:val="left"/>
        </w:tabs>
        <w:numPr>
          <w:ilvl w:val="0"/>
          <w:numId w:val="74"/>
        </w:numPr>
        <w:rPr>
          <w:rFonts w:ascii="Arial" w:cs="Arial" w:eastAsia="Arial" w:hAnsi="Arial"/>
          <w:sz w:val="21"/>
          <w:szCs w:val="21"/>
          <w:color w:val="auto"/>
        </w:rPr>
      </w:pPr>
      <w:r>
        <w:rPr>
          <w:rFonts w:ascii="Arial" w:cs="Arial" w:eastAsia="Arial" w:hAnsi="Arial"/>
          <w:sz w:val="21"/>
          <w:szCs w:val="21"/>
          <w:b w:val="1"/>
          <w:bCs w:val="1"/>
          <w:color w:val="auto"/>
        </w:rPr>
        <w:t>Conditions for Vesting</w:t>
      </w:r>
      <w:r>
        <w:rPr>
          <w:rFonts w:ascii="Arial" w:cs="Arial" w:eastAsia="Arial" w:hAnsi="Arial"/>
          <w:sz w:val="21"/>
          <w:szCs w:val="21"/>
          <w:color w:val="auto"/>
        </w:rPr>
        <w:t>.</w:t>
      </w:r>
    </w:p>
    <w:p>
      <w:pPr>
        <w:spacing w:after="0" w:line="233" w:lineRule="exact"/>
        <w:rPr>
          <w:rFonts w:ascii="Arial" w:cs="Arial" w:eastAsia="Arial" w:hAnsi="Arial"/>
          <w:sz w:val="21"/>
          <w:szCs w:val="21"/>
          <w:color w:val="auto"/>
        </w:rPr>
      </w:pPr>
    </w:p>
    <w:p>
      <w:pPr>
        <w:ind w:left="-9" w:firstLine="634"/>
        <w:spacing w:after="0" w:line="269" w:lineRule="auto"/>
        <w:tabs>
          <w:tab w:leader="none" w:pos="1068"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PSU Award</w:t>
      </w:r>
      <w:r>
        <w:rPr>
          <w:rFonts w:ascii="Arial" w:cs="Arial" w:eastAsia="Arial" w:hAnsi="Arial"/>
          <w:sz w:val="21"/>
          <w:szCs w:val="21"/>
          <w:color w:val="auto"/>
        </w:rPr>
        <w:t xml:space="preserve"> – The PSU Award will vest on the last day of the PSU Performance Period based on the extent that the Performance Goals for the PSUs are achieved for the PSU Performance Period.</w:t>
      </w:r>
    </w:p>
    <w:p>
      <w:pPr>
        <w:spacing w:after="0" w:line="194" w:lineRule="exact"/>
        <w:rPr>
          <w:rFonts w:ascii="Arial" w:cs="Arial" w:eastAsia="Arial" w:hAnsi="Arial"/>
          <w:sz w:val="21"/>
          <w:szCs w:val="21"/>
          <w:color w:val="auto"/>
        </w:rPr>
      </w:pPr>
    </w:p>
    <w:p>
      <w:pPr>
        <w:jc w:val="both"/>
        <w:ind w:left="-9" w:firstLine="634"/>
        <w:spacing w:after="0" w:line="272" w:lineRule="auto"/>
        <w:tabs>
          <w:tab w:leader="none" w:pos="1093"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RSU Award</w:t>
      </w:r>
      <w:r>
        <w:rPr>
          <w:rFonts w:ascii="Arial" w:cs="Arial" w:eastAsia="Arial" w:hAnsi="Arial"/>
          <w:sz w:val="20"/>
          <w:szCs w:val="20"/>
          <w:color w:val="auto"/>
        </w:rPr>
        <w:t xml:space="preserve"> – The RSU Award will vest on __________, 20__ (the “</w:t>
      </w:r>
      <w:r>
        <w:rPr>
          <w:rFonts w:ascii="Arial" w:cs="Arial" w:eastAsia="Arial" w:hAnsi="Arial"/>
          <w:sz w:val="20"/>
          <w:szCs w:val="20"/>
          <w:b w:val="1"/>
          <w:bCs w:val="1"/>
          <w:u w:val="single" w:color="auto"/>
          <w:color w:val="auto"/>
        </w:rPr>
        <w:t>RSU Vesting Date</w:t>
      </w:r>
      <w:r>
        <w:rPr>
          <w:rFonts w:ascii="Arial" w:cs="Arial" w:eastAsia="Arial" w:hAnsi="Arial"/>
          <w:sz w:val="20"/>
          <w:szCs w:val="20"/>
          <w:color w:val="auto"/>
        </w:rPr>
        <w:t>,” and the period from the Date of Grant until the RSU Vesting Date, the “</w:t>
      </w:r>
      <w:r>
        <w:rPr>
          <w:rFonts w:ascii="Arial" w:cs="Arial" w:eastAsia="Arial" w:hAnsi="Arial"/>
          <w:sz w:val="20"/>
          <w:szCs w:val="20"/>
          <w:b w:val="1"/>
          <w:bCs w:val="1"/>
          <w:u w:val="single" w:color="auto"/>
          <w:color w:val="auto"/>
        </w:rPr>
        <w:t>RSU Restriction Period</w:t>
      </w:r>
      <w:r>
        <w:rPr>
          <w:rFonts w:ascii="Arial" w:cs="Arial" w:eastAsia="Arial" w:hAnsi="Arial"/>
          <w:sz w:val="20"/>
          <w:szCs w:val="20"/>
          <w:color w:val="auto"/>
        </w:rPr>
        <w:t>”). If the RSU Vesting Date is not a day on which Common Shares are traded on a U.S. national securities exchange or quoted in an inter-dealer quotation system, then the RSU Vesting Date will be the preceding day on which sales of Common Shares were reported.</w:t>
      </w:r>
    </w:p>
    <w:p>
      <w:pPr>
        <w:spacing w:after="0" w:line="200" w:lineRule="exact"/>
        <w:rPr>
          <w:rFonts w:ascii="Arial" w:cs="Arial" w:eastAsia="Arial" w:hAnsi="Arial"/>
          <w:sz w:val="20"/>
          <w:szCs w:val="20"/>
          <w:color w:val="auto"/>
        </w:rPr>
      </w:pPr>
    </w:p>
    <w:p>
      <w:pPr>
        <w:ind w:left="1071" w:hanging="446"/>
        <w:spacing w:after="0"/>
        <w:tabs>
          <w:tab w:leader="none" w:pos="1071"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SAR Award</w:t>
      </w:r>
      <w:r>
        <w:rPr>
          <w:rFonts w:ascii="Arial" w:cs="Arial" w:eastAsia="Arial" w:hAnsi="Arial"/>
          <w:sz w:val="21"/>
          <w:szCs w:val="21"/>
          <w:color w:val="auto"/>
        </w:rPr>
        <w:t xml:space="preserve"> – The SAR Award will vest on the last day of the SAR Vesting Period.</w:t>
      </w:r>
    </w:p>
    <w:p>
      <w:pPr>
        <w:spacing w:after="0" w:line="253" w:lineRule="exact"/>
        <w:rPr>
          <w:rFonts w:ascii="Arial" w:cs="Arial" w:eastAsia="Arial" w:hAnsi="Arial"/>
          <w:sz w:val="21"/>
          <w:szCs w:val="21"/>
          <w:color w:val="auto"/>
        </w:rPr>
      </w:pPr>
    </w:p>
    <w:p>
      <w:pPr>
        <w:jc w:val="both"/>
        <w:ind w:left="-9" w:firstLine="634"/>
        <w:spacing w:after="0" w:line="276" w:lineRule="auto"/>
        <w:tabs>
          <w:tab w:leader="none" w:pos="1067"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Forfeiture</w:t>
      </w:r>
      <w:r>
        <w:rPr>
          <w:rFonts w:ascii="Arial" w:cs="Arial" w:eastAsia="Arial" w:hAnsi="Arial"/>
          <w:sz w:val="20"/>
          <w:szCs w:val="20"/>
          <w:color w:val="auto"/>
        </w:rPr>
        <w:t>. Any PSU Award, RSU Award, or SAR Award that does not become vested as described in this Section 3 will be forfeited, including, except as provided in Section 4, if Participant ceases to be continuously employed with LII prior to the end of the PSU Performance Period, RSU Restriction Period, or SAR Vesting Period, respectively.</w:t>
      </w:r>
    </w:p>
    <w:p>
      <w:pPr>
        <w:spacing w:after="0" w:line="190" w:lineRule="exact"/>
        <w:rPr>
          <w:rFonts w:ascii="Arial" w:cs="Arial" w:eastAsia="Arial" w:hAnsi="Arial"/>
          <w:sz w:val="20"/>
          <w:szCs w:val="20"/>
          <w:color w:val="auto"/>
        </w:rPr>
      </w:pPr>
    </w:p>
    <w:p>
      <w:pPr>
        <w:jc w:val="both"/>
        <w:ind w:left="-629" w:firstLine="629"/>
        <w:spacing w:after="0" w:line="267" w:lineRule="auto"/>
        <w:tabs>
          <w:tab w:leader="none" w:pos="391" w:val="left"/>
        </w:tabs>
        <w:numPr>
          <w:ilvl w:val="0"/>
          <w:numId w:val="74"/>
        </w:numPr>
        <w:rPr>
          <w:rFonts w:ascii="Arial" w:cs="Arial" w:eastAsia="Arial" w:hAnsi="Arial"/>
          <w:sz w:val="21"/>
          <w:szCs w:val="21"/>
          <w:color w:val="auto"/>
        </w:rPr>
      </w:pPr>
      <w:r>
        <w:rPr>
          <w:rFonts w:ascii="Arial" w:cs="Arial" w:eastAsia="Arial" w:hAnsi="Arial"/>
          <w:sz w:val="21"/>
          <w:szCs w:val="21"/>
          <w:b w:val="1"/>
          <w:bCs w:val="1"/>
          <w:color w:val="auto"/>
        </w:rPr>
        <w:t>Termination of Employment; Change in Control</w:t>
      </w:r>
      <w:r>
        <w:rPr>
          <w:rFonts w:ascii="Arial" w:cs="Arial" w:eastAsia="Arial" w:hAnsi="Arial"/>
          <w:sz w:val="21"/>
          <w:szCs w:val="21"/>
          <w:color w:val="auto"/>
        </w:rPr>
        <w:t>. Unless otherwise determined by the Committee in its sole discretion,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notwithstanding anything herein to the contrary, the PSU Award, the RSU Award and the SAR Award will be subject to vesting or cancellation in connection with the events specified below:</w:t>
      </w:r>
    </w:p>
    <w:p>
      <w:pPr>
        <w:spacing w:after="0" w:line="163" w:lineRule="exact"/>
        <w:rPr>
          <w:rFonts w:ascii="Arial" w:cs="Arial" w:eastAsia="Arial" w:hAnsi="Arial"/>
          <w:sz w:val="21"/>
          <w:szCs w:val="21"/>
          <w:color w:val="auto"/>
        </w:rPr>
      </w:pPr>
    </w:p>
    <w:p>
      <w:pPr>
        <w:jc w:val="both"/>
        <w:ind w:left="-9" w:firstLine="634"/>
        <w:spacing w:after="0" w:line="280" w:lineRule="auto"/>
        <w:tabs>
          <w:tab w:leader="none" w:pos="1086" w:val="left"/>
        </w:tabs>
        <w:numPr>
          <w:ilvl w:val="1"/>
          <w:numId w:val="74"/>
        </w:numPr>
        <w:rPr>
          <w:rFonts w:ascii="Arial" w:cs="Arial" w:eastAsia="Arial" w:hAnsi="Arial"/>
          <w:sz w:val="19"/>
          <w:szCs w:val="19"/>
          <w:color w:val="auto"/>
        </w:rPr>
      </w:pPr>
      <w:r>
        <w:rPr>
          <w:rFonts w:ascii="Arial" w:cs="Arial" w:eastAsia="Arial" w:hAnsi="Arial"/>
          <w:sz w:val="19"/>
          <w:szCs w:val="19"/>
          <w:color w:val="auto"/>
        </w:rPr>
        <w:t>If, prior to the end of the PSU Performance Period, RSU Restriction Period or SAR Vesting Period (as applicable), Participant violates Section 10 of this Agreement, terminates employment with LII voluntarily or is terminated by LII not for Cause or for Cause (as defined in any applicable employment agreement between LII and Participant or as determined by the Committee in its sole discretion in the absence of any such employment agreement), then, immediately after LII becomes aware of a violation of Section 10 or Participant’s termination, the PSU Award, RSU Award or SAR Award will be cancelled. For purposes of this Agreement, “terminate” means the actual date of notice of the cessation of the employee-employer relationship between Participant and LII for any reason, whether or not proper advance notice has been given.</w:t>
      </w:r>
    </w:p>
    <w:p>
      <w:pPr>
        <w:spacing w:after="0" w:line="194" w:lineRule="exact"/>
        <w:rPr>
          <w:rFonts w:ascii="Arial" w:cs="Arial" w:eastAsia="Arial" w:hAnsi="Arial"/>
          <w:sz w:val="19"/>
          <w:szCs w:val="19"/>
          <w:color w:val="auto"/>
        </w:rPr>
      </w:pPr>
    </w:p>
    <w:p>
      <w:pPr>
        <w:ind w:left="-9" w:firstLine="634"/>
        <w:spacing w:after="0" w:line="323" w:lineRule="auto"/>
        <w:tabs>
          <w:tab w:leader="none" w:pos="1095" w:val="left"/>
        </w:tabs>
        <w:numPr>
          <w:ilvl w:val="1"/>
          <w:numId w:val="74"/>
        </w:numPr>
        <w:rPr>
          <w:rFonts w:ascii="Arial" w:cs="Arial" w:eastAsia="Arial" w:hAnsi="Arial"/>
          <w:sz w:val="19"/>
          <w:szCs w:val="19"/>
          <w:color w:val="auto"/>
        </w:rPr>
      </w:pPr>
      <w:r>
        <w:rPr>
          <w:rFonts w:ascii="Arial" w:cs="Arial" w:eastAsia="Arial" w:hAnsi="Arial"/>
          <w:sz w:val="19"/>
          <w:szCs w:val="19"/>
          <w:color w:val="auto"/>
        </w:rPr>
        <w:t>If, prior to the end of the PSU Performance Period, RSU Restriction Period or SAR Vesting Period (as applicable), Participant’s employment with LII terminates by reason of Participant’s retirement, and in connection with such</w:t>
      </w:r>
    </w:p>
    <w:p>
      <w:pPr>
        <w:spacing w:after="0" w:line="118" w:lineRule="exact"/>
        <w:rPr>
          <w:sz w:val="20"/>
          <w:szCs w:val="20"/>
          <w:color w:val="auto"/>
        </w:rPr>
      </w:pPr>
    </w:p>
    <w:p>
      <w:pPr>
        <w:ind w:left="3431"/>
        <w:spacing w:after="0"/>
        <w:rPr>
          <w:sz w:val="20"/>
          <w:szCs w:val="20"/>
          <w:color w:val="auto"/>
        </w:rPr>
      </w:pPr>
      <w:r>
        <w:rPr>
          <w:rFonts w:ascii="Arial" w:cs="Arial" w:eastAsia="Arial" w:hAnsi="Arial"/>
          <w:sz w:val="12"/>
          <w:szCs w:val="12"/>
          <w:color w:val="auto"/>
        </w:rPr>
        <w:t xml:space="preserve">2 </w:t>
      </w:r>
      <w:r>
        <w:rPr>
          <w:rFonts w:ascii="Arial" w:cs="Arial" w:eastAsia="Arial" w:hAnsi="Arial"/>
          <w:sz w:val="17"/>
          <w:szCs w:val="17"/>
          <w:b w:val="1"/>
          <w:bCs w:val="1"/>
          <w:color w:val="auto"/>
        </w:rPr>
        <w:t>Approved Form December 12, 2019</w:t>
      </w:r>
    </w:p>
    <w:p>
      <w:pPr>
        <w:sectPr>
          <w:pgSz w:w="11900" w:h="16838" w:orient="portrait"/>
          <w:cols w:equalWidth="0" w:num="1">
            <w:col w:w="10791"/>
          </w:cols>
          <w:pgMar w:left="869" w:top="581" w:right="239" w:bottom="1440" w:gutter="0" w:footer="0" w:header="0"/>
        </w:sectPr>
      </w:pPr>
    </w:p>
    <w:bookmarkStart w:id="119" w:name="page120"/>
    <w:bookmarkEnd w:id="119"/>
    <w:p>
      <w:pPr>
        <w:jc w:val="both"/>
        <w:spacing w:after="0" w:line="279" w:lineRule="auto"/>
        <w:rPr>
          <w:sz w:val="20"/>
          <w:szCs w:val="20"/>
          <w:color w:val="auto"/>
        </w:rPr>
      </w:pPr>
      <w:r>
        <w:rPr>
          <w:rFonts w:ascii="Arial" w:cs="Arial" w:eastAsia="Arial" w:hAnsi="Arial"/>
          <w:sz w:val="19"/>
          <w:szCs w:val="19"/>
          <w:color w:val="auto"/>
        </w:rPr>
        <w:t>termination of employment (i) Participant is at least 65 years of age, (ii) Participant is at least 62 years of age and has achieved at least 10 years of service with LII or (iii) the number of years of service Participant has achieved with LII plus Participant’s age equals at least 80, then (x) Participant will vest in a pro rata amount of the PSU Award based upon the portion of the PSU Performance Period during which Participant served as an employee of LII and the Company’s attainment of its performance goals in accordance with the Performance Goals, determined at the end of the PSU Performance Period, and the remainder of the PSU Award will be cancelled, (y) Participant will vest in a pro rata amount of the RSU Award based upon the portion of the RSU Restriction Period during which Participant served as an employee of LII, determined as of the date of such retirement, and the remainder of the RSU Award will be cancelled, and (z), the entire SAR Award will be cancelled.</w:t>
      </w:r>
    </w:p>
    <w:p>
      <w:pPr>
        <w:spacing w:after="0" w:line="195" w:lineRule="exact"/>
        <w:rPr>
          <w:sz w:val="20"/>
          <w:szCs w:val="20"/>
          <w:color w:val="auto"/>
        </w:rPr>
      </w:pPr>
    </w:p>
    <w:p>
      <w:pPr>
        <w:jc w:val="both"/>
        <w:ind w:firstLine="634"/>
        <w:spacing w:after="0" w:line="274" w:lineRule="auto"/>
        <w:tabs>
          <w:tab w:leader="none" w:pos="1095" w:val="left"/>
        </w:tabs>
        <w:numPr>
          <w:ilvl w:val="1"/>
          <w:numId w:val="75"/>
        </w:numPr>
        <w:rPr>
          <w:rFonts w:ascii="Arial" w:cs="Arial" w:eastAsia="Arial" w:hAnsi="Arial"/>
          <w:sz w:val="19"/>
          <w:szCs w:val="19"/>
          <w:color w:val="auto"/>
        </w:rPr>
      </w:pPr>
      <w:r>
        <w:rPr>
          <w:rFonts w:ascii="Arial" w:cs="Arial" w:eastAsia="Arial" w:hAnsi="Arial"/>
          <w:sz w:val="19"/>
          <w:szCs w:val="19"/>
          <w:color w:val="auto"/>
        </w:rPr>
        <w:t>If, prior to the end of the PSU Performance Period, RSU Restriction Period or SAR Vesting Period (as applicable), Participant dies or incurs a Disability, then (i) Participant, or in the event of Participant’s death, Participant’s beneficiary, will vest in a pro rata amount of the PSU Award based upon the portion of the PSU Performance Period during which Participant served as an employee of LII and the Company’s attainment of its performance goals in accordance with the Performance Goals (as determined in the sole discretion of the Committee), determined as of the date of death or Disability, and the remainder of the PSU Award will be cancelled, (ii) Participant, or in the event of Participant’s death, Participant’s beneficiary, will vest in a pro rata amount of the RSU Award based upon the portion of the RSU Restriction Period during which Participant served as an employee of LII, determined as of the date of death or Disability, and the remainder of the RSU Award will be cancelled, and</w:t>
      </w:r>
    </w:p>
    <w:p>
      <w:pPr>
        <w:spacing w:after="0" w:line="1" w:lineRule="exact"/>
        <w:rPr>
          <w:rFonts w:ascii="Arial" w:cs="Arial" w:eastAsia="Arial" w:hAnsi="Arial"/>
          <w:sz w:val="19"/>
          <w:szCs w:val="19"/>
          <w:color w:val="auto"/>
        </w:rPr>
      </w:pPr>
    </w:p>
    <w:p>
      <w:pPr>
        <w:jc w:val="both"/>
        <w:ind w:firstLine="9"/>
        <w:spacing w:after="0" w:line="248" w:lineRule="auto"/>
        <w:tabs>
          <w:tab w:leader="none" w:pos="367"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SAR Award will become fully vested and exercisable and will be deemed to be exercised by Participant. For purposes of this Agreement, “Disability” means permanently disabled (completely unable to perform Participant’s duties as defined in the benefit plans of the Company).</w:t>
      </w:r>
    </w:p>
    <w:p>
      <w:pPr>
        <w:spacing w:after="0" w:line="223" w:lineRule="exact"/>
        <w:rPr>
          <w:rFonts w:ascii="Arial" w:cs="Arial" w:eastAsia="Arial" w:hAnsi="Arial"/>
          <w:sz w:val="21"/>
          <w:szCs w:val="21"/>
          <w:color w:val="auto"/>
        </w:rPr>
      </w:pPr>
    </w:p>
    <w:p>
      <w:pPr>
        <w:jc w:val="both"/>
        <w:ind w:firstLine="634"/>
        <w:spacing w:after="0" w:line="309" w:lineRule="auto"/>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a Change in Control occurs prior to the end of the PSU Performance Period, RSU Restriction Period or SAR Vesting Period (as applicable), Section 12(b) of the Plan shall apply. If the SAR Award vests as a result of the applicable of Section 12(b) of the Plan, it will be deemed to be exercised by Participant. If a Change in Control occurs after the end of the PSU Performance Period, RSU Restriction Period or SAR Vesting Period (as applicable), Section 12(b) of the Plan shall not apply.</w:t>
      </w:r>
    </w:p>
    <w:p>
      <w:pPr>
        <w:spacing w:after="0" w:line="165" w:lineRule="exact"/>
        <w:rPr>
          <w:sz w:val="20"/>
          <w:szCs w:val="20"/>
          <w:color w:val="auto"/>
        </w:rPr>
      </w:pPr>
    </w:p>
    <w:p>
      <w:pPr>
        <w:ind w:left="340" w:hanging="331"/>
        <w:spacing w:after="0"/>
        <w:tabs>
          <w:tab w:leader="none" w:pos="340" w:val="left"/>
        </w:tabs>
        <w:numPr>
          <w:ilvl w:val="0"/>
          <w:numId w:val="77"/>
        </w:numPr>
        <w:rPr>
          <w:rFonts w:ascii="Arial" w:cs="Arial" w:eastAsia="Arial" w:hAnsi="Arial"/>
          <w:sz w:val="21"/>
          <w:szCs w:val="21"/>
          <w:color w:val="auto"/>
        </w:rPr>
      </w:pPr>
      <w:r>
        <w:rPr>
          <w:rFonts w:ascii="Arial" w:cs="Arial" w:eastAsia="Arial" w:hAnsi="Arial"/>
          <w:sz w:val="21"/>
          <w:szCs w:val="21"/>
          <w:b w:val="1"/>
          <w:bCs w:val="1"/>
          <w:color w:val="auto"/>
        </w:rPr>
        <w:t>PSU Payment Timing</w:t>
      </w:r>
      <w:r>
        <w:rPr>
          <w:rFonts w:ascii="Arial" w:cs="Arial" w:eastAsia="Arial" w:hAnsi="Arial"/>
          <w:sz w:val="21"/>
          <w:szCs w:val="21"/>
          <w:color w:val="auto"/>
        </w:rPr>
        <w:t>.</w:t>
      </w:r>
    </w:p>
    <w:p>
      <w:pPr>
        <w:spacing w:after="0" w:line="233" w:lineRule="exact"/>
        <w:rPr>
          <w:rFonts w:ascii="Arial" w:cs="Arial" w:eastAsia="Arial" w:hAnsi="Arial"/>
          <w:sz w:val="21"/>
          <w:szCs w:val="21"/>
          <w:color w:val="auto"/>
        </w:rPr>
      </w:pPr>
    </w:p>
    <w:p>
      <w:pPr>
        <w:jc w:val="both"/>
        <w:ind w:firstLine="634"/>
        <w:spacing w:after="0" w:line="236" w:lineRule="auto"/>
        <w:tabs>
          <w:tab w:leader="none" w:pos="1091"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Following the end of the PSU Performance Period the Committee will determine and certify achievement of the Performance Goals. To the extent that any of the Performance Goals are achieved and certified by the Committee, and except as otherwise provided in Section 5(b), vested PSUs will be paid no later than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month following the end of the PSU Performance Period. Vested PSUs will be paid in local currency equal to an amount calculated by multiplying the number of vested PSUs by the</w:t>
      </w:r>
    </w:p>
    <w:p>
      <w:pPr>
        <w:spacing w:after="0" w:line="193" w:lineRule="exact"/>
        <w:rPr>
          <w:sz w:val="20"/>
          <w:szCs w:val="20"/>
          <w:color w:val="auto"/>
        </w:rPr>
      </w:pPr>
    </w:p>
    <w:p>
      <w:pPr>
        <w:ind w:left="3440"/>
        <w:spacing w:after="0"/>
        <w:rPr>
          <w:sz w:val="20"/>
          <w:szCs w:val="20"/>
          <w:color w:val="auto"/>
        </w:rPr>
      </w:pPr>
      <w:r>
        <w:rPr>
          <w:rFonts w:ascii="Arial" w:cs="Arial" w:eastAsia="Arial" w:hAnsi="Arial"/>
          <w:sz w:val="12"/>
          <w:szCs w:val="12"/>
          <w:color w:val="auto"/>
        </w:rPr>
        <w:t xml:space="preserve">3 </w:t>
      </w:r>
      <w:r>
        <w:rPr>
          <w:rFonts w:ascii="Arial" w:cs="Arial" w:eastAsia="Arial" w:hAnsi="Arial"/>
          <w:sz w:val="17"/>
          <w:szCs w:val="17"/>
          <w:b w:val="1"/>
          <w:bCs w:val="1"/>
          <w:color w:val="auto"/>
        </w:rPr>
        <w:t>Approved Form December 12, 2019</w:t>
      </w:r>
    </w:p>
    <w:p>
      <w:pPr>
        <w:sectPr>
          <w:pgSz w:w="11900" w:h="16838" w:orient="portrait"/>
          <w:cols w:equalWidth="0" w:num="1">
            <w:col w:w="10800"/>
          </w:cols>
          <w:pgMar w:left="860" w:top="587" w:right="239" w:bottom="1440" w:gutter="0" w:footer="0" w:header="0"/>
        </w:sectPr>
      </w:pPr>
    </w:p>
    <w:bookmarkStart w:id="120" w:name="page121"/>
    <w:bookmarkEnd w:id="120"/>
    <w:p>
      <w:pPr>
        <w:jc w:val="both"/>
        <w:spacing w:after="0" w:line="257" w:lineRule="auto"/>
        <w:rPr>
          <w:sz w:val="20"/>
          <w:szCs w:val="20"/>
          <w:color w:val="auto"/>
        </w:rPr>
      </w:pPr>
      <w:r>
        <w:rPr>
          <w:rFonts w:ascii="Arial" w:cs="Arial" w:eastAsia="Arial" w:hAnsi="Arial"/>
          <w:sz w:val="21"/>
          <w:szCs w:val="21"/>
          <w:color w:val="auto"/>
        </w:rPr>
        <w:t>fair market value of a Common Share of the Company on the last day of the PSU Performance Period. The U.S. dollar amount produced by the formula in the preceding sentence will be converted to local currency prior to payout using LII’s currency conversion protocol in effect at that time.</w:t>
      </w:r>
    </w:p>
    <w:p>
      <w:pPr>
        <w:spacing w:after="0" w:line="214" w:lineRule="exact"/>
        <w:rPr>
          <w:sz w:val="20"/>
          <w:szCs w:val="20"/>
          <w:color w:val="auto"/>
        </w:rPr>
      </w:pPr>
    </w:p>
    <w:p>
      <w:pPr>
        <w:jc w:val="both"/>
        <w:ind w:firstLine="634"/>
        <w:spacing w:after="0" w:line="253" w:lineRule="auto"/>
        <w:tabs>
          <w:tab w:leader="none" w:pos="1128"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Other Payment Events</w:t>
      </w:r>
      <w:r>
        <w:rPr>
          <w:rFonts w:ascii="Arial" w:cs="Arial" w:eastAsia="Arial" w:hAnsi="Arial"/>
          <w:sz w:val="21"/>
          <w:szCs w:val="21"/>
          <w:color w:val="auto"/>
        </w:rPr>
        <w:t>. Notwithstanding Section 5(a), to the extent the PSUs are vested (and have not previously been settled) as a result of Section 4(c) in connection with Participant’s death or Disability, or as a result of Section 4(d) in connection with a Change in Control, such vested PSUs will be paid (in local currency as described in Section 5(a)) no later than the 15th day of the third month after the date of such vesting event.</w:t>
      </w:r>
    </w:p>
    <w:p>
      <w:pPr>
        <w:spacing w:after="0" w:line="212" w:lineRule="exact"/>
        <w:rPr>
          <w:rFonts w:ascii="Arial" w:cs="Arial" w:eastAsia="Arial" w:hAnsi="Arial"/>
          <w:sz w:val="21"/>
          <w:szCs w:val="21"/>
          <w:color w:val="auto"/>
        </w:rPr>
      </w:pPr>
    </w:p>
    <w:p>
      <w:pPr>
        <w:ind w:left="340" w:hanging="331"/>
        <w:spacing w:after="0"/>
        <w:tabs>
          <w:tab w:leader="none" w:pos="340" w:val="left"/>
        </w:tabs>
        <w:numPr>
          <w:ilvl w:val="0"/>
          <w:numId w:val="79"/>
        </w:numPr>
        <w:rPr>
          <w:rFonts w:ascii="Arial" w:cs="Arial" w:eastAsia="Arial" w:hAnsi="Arial"/>
          <w:sz w:val="21"/>
          <w:szCs w:val="21"/>
          <w:color w:val="auto"/>
        </w:rPr>
      </w:pPr>
      <w:r>
        <w:rPr>
          <w:rFonts w:ascii="Arial" w:cs="Arial" w:eastAsia="Arial" w:hAnsi="Arial"/>
          <w:sz w:val="21"/>
          <w:szCs w:val="21"/>
          <w:b w:val="1"/>
          <w:bCs w:val="1"/>
          <w:color w:val="auto"/>
        </w:rPr>
        <w:t>RSU Payment Timing</w:t>
      </w:r>
      <w:r>
        <w:rPr>
          <w:rFonts w:ascii="Arial" w:cs="Arial" w:eastAsia="Arial" w:hAnsi="Arial"/>
          <w:sz w:val="21"/>
          <w:szCs w:val="21"/>
          <w:color w:val="auto"/>
        </w:rPr>
        <w:t>.</w:t>
      </w:r>
    </w:p>
    <w:p>
      <w:pPr>
        <w:spacing w:after="0" w:line="233" w:lineRule="exact"/>
        <w:rPr>
          <w:rFonts w:ascii="Arial" w:cs="Arial" w:eastAsia="Arial" w:hAnsi="Arial"/>
          <w:sz w:val="21"/>
          <w:szCs w:val="21"/>
          <w:color w:val="auto"/>
        </w:rPr>
      </w:pPr>
    </w:p>
    <w:p>
      <w:pPr>
        <w:jc w:val="both"/>
        <w:ind w:firstLine="634"/>
        <w:spacing w:after="0" w:line="251" w:lineRule="auto"/>
        <w:tabs>
          <w:tab w:leader="none" w:pos="1078"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Except as otherwise provided in Section 6(b), vested RSUs will be paid within 30 days following the RSU Vesting Date. Vested RSUs will be paid in local currency equal to an amount calculated by multiplying the number of vested RSUs by the fair market value of a Common Share on the last day of the RSU Restriction Period. The U.S. dollar amount produced by the formula in the preceding sentence will be converted to local currency prior to payout using LII’s currency conversion protocol in effect at that time.</w:t>
      </w:r>
    </w:p>
    <w:p>
      <w:pPr>
        <w:spacing w:after="0" w:line="221" w:lineRule="exact"/>
        <w:rPr>
          <w:rFonts w:ascii="Arial" w:cs="Arial" w:eastAsia="Arial" w:hAnsi="Arial"/>
          <w:sz w:val="21"/>
          <w:szCs w:val="21"/>
          <w:color w:val="auto"/>
        </w:rPr>
      </w:pPr>
    </w:p>
    <w:p>
      <w:pPr>
        <w:jc w:val="both"/>
        <w:ind w:firstLine="634"/>
        <w:spacing w:after="0" w:line="270" w:lineRule="auto"/>
        <w:tabs>
          <w:tab w:leader="none" w:pos="1128" w:val="left"/>
        </w:tabs>
        <w:numPr>
          <w:ilvl w:val="1"/>
          <w:numId w:val="79"/>
        </w:numPr>
        <w:rPr>
          <w:rFonts w:ascii="Arial" w:cs="Arial" w:eastAsia="Arial" w:hAnsi="Arial"/>
          <w:sz w:val="20"/>
          <w:szCs w:val="20"/>
          <w:color w:val="auto"/>
        </w:rPr>
      </w:pPr>
      <w:r>
        <w:rPr>
          <w:rFonts w:ascii="Arial" w:cs="Arial" w:eastAsia="Arial" w:hAnsi="Arial"/>
          <w:sz w:val="20"/>
          <w:szCs w:val="20"/>
          <w:u w:val="single" w:color="auto"/>
          <w:color w:val="auto"/>
        </w:rPr>
        <w:t>Other Payment Events</w:t>
      </w:r>
      <w:r>
        <w:rPr>
          <w:rFonts w:ascii="Arial" w:cs="Arial" w:eastAsia="Arial" w:hAnsi="Arial"/>
          <w:sz w:val="20"/>
          <w:szCs w:val="20"/>
          <w:color w:val="auto"/>
        </w:rPr>
        <w:t>. Notwithstanding Section 6(a), to the extent the RSUs are vested (and have not previously been settled) as a result of Section 4(c) in connection with Participant’s death or Disability, or as a result of Section 4(d) in connection with a Change in Control, such vested RSUs will be paid (in local currency as described in Section 6(a)) to Participant (or Participant’s beneficiary) within 60 days after the date of such vesting event.</w:t>
      </w:r>
    </w:p>
    <w:p>
      <w:pPr>
        <w:spacing w:after="0" w:line="202" w:lineRule="exact"/>
        <w:rPr>
          <w:rFonts w:ascii="Arial" w:cs="Arial" w:eastAsia="Arial" w:hAnsi="Arial"/>
          <w:sz w:val="20"/>
          <w:szCs w:val="20"/>
          <w:color w:val="auto"/>
        </w:rPr>
      </w:pPr>
    </w:p>
    <w:p>
      <w:pPr>
        <w:ind w:left="1080" w:hanging="446"/>
        <w:spacing w:after="0"/>
        <w:tabs>
          <w:tab w:leader="none" w:pos="1080"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Payment Year</w:t>
      </w:r>
      <w:r>
        <w:rPr>
          <w:rFonts w:ascii="Arial" w:cs="Arial" w:eastAsia="Arial" w:hAnsi="Arial"/>
          <w:sz w:val="19"/>
          <w:szCs w:val="19"/>
          <w:color w:val="auto"/>
        </w:rPr>
        <w:t>. In no event shall Participant be permitted to designate the taxable year of payment for the RSUs.</w:t>
      </w:r>
    </w:p>
    <w:p>
      <w:pPr>
        <w:spacing w:after="0" w:line="270" w:lineRule="exact"/>
        <w:rPr>
          <w:rFonts w:ascii="Arial" w:cs="Arial" w:eastAsia="Arial" w:hAnsi="Arial"/>
          <w:sz w:val="19"/>
          <w:szCs w:val="19"/>
          <w:color w:val="auto"/>
        </w:rPr>
      </w:pPr>
    </w:p>
    <w:p>
      <w:pPr>
        <w:jc w:val="both"/>
        <w:ind w:left="-620" w:firstLine="629"/>
        <w:spacing w:after="0" w:line="289" w:lineRule="auto"/>
        <w:tabs>
          <w:tab w:leader="none" w:pos="335"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SAR Payment Timing</w:t>
      </w:r>
      <w:r>
        <w:rPr>
          <w:rFonts w:ascii="Arial" w:cs="Arial" w:eastAsia="Arial" w:hAnsi="Arial"/>
          <w:sz w:val="19"/>
          <w:szCs w:val="19"/>
          <w:color w:val="auto"/>
        </w:rPr>
        <w:t>. If the SAR Award has not otherwise been cancelled, the SAR Award will vest and will be deemed to</w:t>
      </w:r>
      <w:r>
        <w:rPr>
          <w:rFonts w:ascii="Arial" w:cs="Arial" w:eastAsia="Arial" w:hAnsi="Arial"/>
          <w:sz w:val="19"/>
          <w:szCs w:val="19"/>
          <w:b w:val="1"/>
          <w:bCs w:val="1"/>
          <w:color w:val="auto"/>
        </w:rPr>
        <w:t xml:space="preserve"> </w:t>
      </w:r>
      <w:r>
        <w:rPr>
          <w:rFonts w:ascii="Arial" w:cs="Arial" w:eastAsia="Arial" w:hAnsi="Arial"/>
          <w:sz w:val="19"/>
          <w:szCs w:val="19"/>
          <w:color w:val="auto"/>
        </w:rPr>
        <w:t>be exercised by Participant on the last day of the SAR Vesting Period. Within 30 days of the date of exercise, vested SARs will be paid in local currency equal to an amount calculated by multiplying the number of vested SARs by the excess (if any) of the Exercise Date Value over the Base Price of the SAR. The U.S. dollar amount produced by the formula in the preceding sentence will be converted to local currency prior to payout using LII’s currency conversion protocol in effect at that time.</w:t>
      </w:r>
    </w:p>
    <w:p>
      <w:pPr>
        <w:spacing w:after="0" w:line="360" w:lineRule="exact"/>
        <w:rPr>
          <w:sz w:val="20"/>
          <w:szCs w:val="20"/>
          <w:color w:val="auto"/>
        </w:rPr>
      </w:pPr>
    </w:p>
    <w:p>
      <w:pPr>
        <w:ind w:left="3440"/>
        <w:spacing w:after="0"/>
        <w:rPr>
          <w:sz w:val="20"/>
          <w:szCs w:val="20"/>
          <w:color w:val="auto"/>
        </w:rPr>
      </w:pPr>
      <w:r>
        <w:rPr>
          <w:rFonts w:ascii="Arial" w:cs="Arial" w:eastAsia="Arial" w:hAnsi="Arial"/>
          <w:sz w:val="12"/>
          <w:szCs w:val="12"/>
          <w:color w:val="auto"/>
        </w:rPr>
        <w:t xml:space="preserve">4 </w:t>
      </w:r>
      <w:r>
        <w:rPr>
          <w:rFonts w:ascii="Arial" w:cs="Arial" w:eastAsia="Arial" w:hAnsi="Arial"/>
          <w:sz w:val="17"/>
          <w:szCs w:val="17"/>
          <w:b w:val="1"/>
          <w:bCs w:val="1"/>
          <w:color w:val="auto"/>
        </w:rPr>
        <w:t>Approved Form December 12, 2019</w:t>
      </w:r>
    </w:p>
    <w:p>
      <w:pPr>
        <w:sectPr>
          <w:pgSz w:w="11900" w:h="16838" w:orient="portrait"/>
          <w:cols w:equalWidth="0" w:num="1">
            <w:col w:w="10800"/>
          </w:cols>
          <w:pgMar w:left="860" w:top="587" w:right="239" w:bottom="1440" w:gutter="0" w:footer="0" w:header="0"/>
        </w:sectPr>
      </w:pPr>
    </w:p>
    <w:bookmarkStart w:id="121" w:name="page122"/>
    <w:bookmarkEnd w:id="121"/>
    <w:p>
      <w:pPr>
        <w:jc w:val="both"/>
        <w:ind w:left="-620" w:firstLine="629"/>
        <w:spacing w:after="0" w:line="277" w:lineRule="auto"/>
        <w:tabs>
          <w:tab w:leader="none" w:pos="374" w:val="left"/>
        </w:tabs>
        <w:numPr>
          <w:ilvl w:val="0"/>
          <w:numId w:val="80"/>
        </w:numPr>
        <w:rPr>
          <w:rFonts w:ascii="Arial" w:cs="Arial" w:eastAsia="Arial" w:hAnsi="Arial"/>
          <w:sz w:val="20"/>
          <w:szCs w:val="20"/>
          <w:color w:val="auto"/>
        </w:rPr>
      </w:pPr>
      <w:r>
        <w:rPr>
          <w:rFonts w:ascii="Arial" w:cs="Arial" w:eastAsia="Arial" w:hAnsi="Arial"/>
          <w:sz w:val="20"/>
          <w:szCs w:val="20"/>
          <w:b w:val="1"/>
          <w:bCs w:val="1"/>
          <w:color w:val="auto"/>
        </w:rPr>
        <w:t>Withholding for Taxes</w:t>
      </w:r>
      <w:r>
        <w:rPr>
          <w:rFonts w:ascii="Arial" w:cs="Arial" w:eastAsia="Arial" w:hAnsi="Arial"/>
          <w:sz w:val="20"/>
          <w:szCs w:val="20"/>
          <w:color w:val="auto"/>
        </w:rPr>
        <w:t>. Participant acknowledges and agrees that the Company will deduct from any cash payment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 amount that is equal to the amount of all country and local taxes required to be withheld by the Company upon such payment, as determined by the Company. For any amount of withholding that exceeds the minimum required withholding amount under country or local tax laws, it will be treated as additional withholding for Participant.</w:t>
      </w:r>
    </w:p>
    <w:p>
      <w:pPr>
        <w:spacing w:after="0" w:line="149" w:lineRule="exact"/>
        <w:rPr>
          <w:rFonts w:ascii="Arial" w:cs="Arial" w:eastAsia="Arial" w:hAnsi="Arial"/>
          <w:sz w:val="20"/>
          <w:szCs w:val="20"/>
          <w:color w:val="auto"/>
        </w:rPr>
      </w:pPr>
    </w:p>
    <w:p>
      <w:pPr>
        <w:ind w:left="-620" w:firstLine="629"/>
        <w:spacing w:after="0" w:line="288" w:lineRule="auto"/>
        <w:tabs>
          <w:tab w:leader="none" w:pos="374" w:val="left"/>
        </w:tabs>
        <w:numPr>
          <w:ilvl w:val="0"/>
          <w:numId w:val="80"/>
        </w:numPr>
        <w:rPr>
          <w:rFonts w:ascii="Arial" w:cs="Arial" w:eastAsia="Arial" w:hAnsi="Arial"/>
          <w:sz w:val="21"/>
          <w:szCs w:val="21"/>
          <w:color w:val="auto"/>
        </w:rPr>
      </w:pPr>
      <w:r>
        <w:rPr>
          <w:rFonts w:ascii="Arial" w:cs="Arial" w:eastAsia="Arial" w:hAnsi="Arial"/>
          <w:sz w:val="21"/>
          <w:szCs w:val="21"/>
          <w:b w:val="1"/>
          <w:bCs w:val="1"/>
          <w:color w:val="auto"/>
        </w:rPr>
        <w:t>Adjustments</w:t>
      </w:r>
      <w:r>
        <w:rPr>
          <w:rFonts w:ascii="Arial" w:cs="Arial" w:eastAsia="Arial" w:hAnsi="Arial"/>
          <w:sz w:val="21"/>
          <w:szCs w:val="21"/>
          <w:color w:val="auto"/>
        </w:rPr>
        <w:t>. The number of Common Shares subject to each award granted hereunder and the other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grants evidenced by this Agreement are subject to adjustment as provided in Section 11 of the Plan.</w:t>
      </w:r>
    </w:p>
    <w:p>
      <w:pPr>
        <w:spacing w:after="0" w:line="136" w:lineRule="exact"/>
        <w:rPr>
          <w:rFonts w:ascii="Arial" w:cs="Arial" w:eastAsia="Arial" w:hAnsi="Arial"/>
          <w:sz w:val="21"/>
          <w:szCs w:val="21"/>
          <w:color w:val="auto"/>
        </w:rPr>
      </w:pPr>
    </w:p>
    <w:p>
      <w:pPr>
        <w:ind w:left="480" w:hanging="471"/>
        <w:spacing w:after="0"/>
        <w:tabs>
          <w:tab w:leader="none" w:pos="480" w:val="left"/>
        </w:tabs>
        <w:numPr>
          <w:ilvl w:val="0"/>
          <w:numId w:val="80"/>
        </w:numPr>
        <w:rPr>
          <w:rFonts w:ascii="Arial" w:cs="Arial" w:eastAsia="Arial" w:hAnsi="Arial"/>
          <w:sz w:val="21"/>
          <w:szCs w:val="21"/>
          <w:color w:val="auto"/>
        </w:rPr>
      </w:pPr>
      <w:r>
        <w:rPr>
          <w:rFonts w:ascii="Arial" w:cs="Arial" w:eastAsia="Arial" w:hAnsi="Arial"/>
          <w:sz w:val="21"/>
          <w:szCs w:val="21"/>
          <w:b w:val="1"/>
          <w:bCs w:val="1"/>
          <w:color w:val="auto"/>
        </w:rPr>
        <w:t>Protective Covenants</w:t>
      </w:r>
      <w:r>
        <w:rPr>
          <w:rFonts w:ascii="Arial" w:cs="Arial" w:eastAsia="Arial" w:hAnsi="Arial"/>
          <w:sz w:val="21"/>
          <w:szCs w:val="21"/>
          <w:color w:val="auto"/>
        </w:rPr>
        <w:t>.</w:t>
      </w:r>
    </w:p>
    <w:p>
      <w:pPr>
        <w:spacing w:after="0" w:line="259" w:lineRule="exact"/>
        <w:rPr>
          <w:sz w:val="20"/>
          <w:szCs w:val="20"/>
          <w:color w:val="auto"/>
        </w:rPr>
      </w:pPr>
    </w:p>
    <w:p>
      <w:pPr>
        <w:jc w:val="both"/>
        <w:ind w:firstLine="634"/>
        <w:spacing w:after="0" w:line="257" w:lineRule="auto"/>
        <w:tabs>
          <w:tab w:leader="none" w:pos="1117"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Nonsolicitation Obligations</w:t>
      </w:r>
      <w:r>
        <w:rPr>
          <w:rFonts w:ascii="Arial" w:cs="Arial" w:eastAsia="Arial" w:hAnsi="Arial"/>
          <w:sz w:val="21"/>
          <w:szCs w:val="21"/>
          <w:color w:val="auto"/>
        </w:rPr>
        <w:t>. For one year following the effective date of Participant’s termination of employment with LII (the “</w:t>
      </w:r>
      <w:r>
        <w:rPr>
          <w:rFonts w:ascii="Arial" w:cs="Arial" w:eastAsia="Arial" w:hAnsi="Arial"/>
          <w:sz w:val="21"/>
          <w:szCs w:val="21"/>
          <w:b w:val="1"/>
          <w:bCs w:val="1"/>
          <w:u w:val="single" w:color="auto"/>
          <w:color w:val="auto"/>
        </w:rPr>
        <w:t>Termination Date</w:t>
      </w:r>
      <w:r>
        <w:rPr>
          <w:rFonts w:ascii="Arial" w:cs="Arial" w:eastAsia="Arial" w:hAnsi="Arial"/>
          <w:sz w:val="21"/>
          <w:szCs w:val="21"/>
          <w:color w:val="auto"/>
        </w:rPr>
        <w:t>”), Participant will not, directly or indirectly solicit, recruit or hire any person who is an LII employee as of the Termination Date.</w:t>
      </w:r>
    </w:p>
    <w:p>
      <w:pPr>
        <w:spacing w:after="0" w:line="214" w:lineRule="exact"/>
        <w:rPr>
          <w:sz w:val="20"/>
          <w:szCs w:val="20"/>
          <w:color w:val="auto"/>
        </w:rPr>
      </w:pPr>
    </w:p>
    <w:p>
      <w:pPr>
        <w:ind w:firstLine="625"/>
        <w:spacing w:after="0" w:line="295" w:lineRule="auto"/>
        <w:rPr>
          <w:sz w:val="20"/>
          <w:szCs w:val="20"/>
          <w:color w:val="auto"/>
        </w:rPr>
      </w:pPr>
      <w:r>
        <w:rPr>
          <w:rFonts w:ascii="Arial" w:cs="Arial" w:eastAsia="Arial" w:hAnsi="Arial"/>
          <w:sz w:val="20"/>
          <w:szCs w:val="20"/>
          <w:color w:val="auto"/>
        </w:rPr>
        <w:t>If Participant violates Section 10(a), LII will be irreparably harmed and entitled to specific performance, injunctive relief, attorneys’ fees and costs incurred in obtaining relief, and any other remedy available at law or equity.</w:t>
      </w:r>
    </w:p>
    <w:p>
      <w:pPr>
        <w:spacing w:after="0" w:line="177" w:lineRule="exact"/>
        <w:rPr>
          <w:sz w:val="20"/>
          <w:szCs w:val="20"/>
          <w:color w:val="auto"/>
        </w:rPr>
      </w:pPr>
    </w:p>
    <w:p>
      <w:pPr>
        <w:ind w:firstLine="634"/>
        <w:spacing w:after="0" w:line="269" w:lineRule="auto"/>
        <w:tabs>
          <w:tab w:leader="none" w:pos="1154"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Consent</w:t>
      </w:r>
      <w:r>
        <w:rPr>
          <w:rFonts w:ascii="Arial" w:cs="Arial" w:eastAsia="Arial" w:hAnsi="Arial"/>
          <w:sz w:val="21"/>
          <w:szCs w:val="21"/>
          <w:color w:val="auto"/>
        </w:rPr>
        <w:t>. Participant may engage in activities otherwise restricted by this Section 10 with the written consent of LII’s Chief Executive Officer if Participant is a Vice President or Executive Vice President.</w:t>
      </w:r>
    </w:p>
    <w:p>
      <w:pPr>
        <w:spacing w:after="0" w:line="200" w:lineRule="exact"/>
        <w:rPr>
          <w:sz w:val="20"/>
          <w:szCs w:val="20"/>
          <w:color w:val="auto"/>
        </w:rPr>
      </w:pPr>
    </w:p>
    <w:p>
      <w:pPr>
        <w:spacing w:after="0" w:line="212" w:lineRule="exact"/>
        <w:rPr>
          <w:sz w:val="20"/>
          <w:szCs w:val="20"/>
          <w:color w:val="auto"/>
        </w:rPr>
      </w:pPr>
    </w:p>
    <w:p>
      <w:pPr>
        <w:ind w:left="3440"/>
        <w:spacing w:after="0"/>
        <w:rPr>
          <w:sz w:val="20"/>
          <w:szCs w:val="20"/>
          <w:color w:val="auto"/>
        </w:rPr>
      </w:pPr>
      <w:r>
        <w:rPr>
          <w:rFonts w:ascii="Arial" w:cs="Arial" w:eastAsia="Arial" w:hAnsi="Arial"/>
          <w:sz w:val="12"/>
          <w:szCs w:val="12"/>
          <w:color w:val="auto"/>
        </w:rPr>
        <w:t xml:space="preserve">5 </w:t>
      </w:r>
      <w:r>
        <w:rPr>
          <w:rFonts w:ascii="Arial" w:cs="Arial" w:eastAsia="Arial" w:hAnsi="Arial"/>
          <w:sz w:val="17"/>
          <w:szCs w:val="17"/>
          <w:b w:val="1"/>
          <w:bCs w:val="1"/>
          <w:color w:val="auto"/>
        </w:rPr>
        <w:t>Approved Form December 12, 2019</w:t>
      </w:r>
    </w:p>
    <w:p>
      <w:pPr>
        <w:sectPr>
          <w:pgSz w:w="11900" w:h="16838" w:orient="portrait"/>
          <w:cols w:equalWidth="0" w:num="1">
            <w:col w:w="10800"/>
          </w:cols>
          <w:pgMar w:left="860" w:top="581" w:right="239" w:bottom="1440" w:gutter="0" w:footer="0" w:header="0"/>
        </w:sectPr>
      </w:pPr>
    </w:p>
    <w:bookmarkStart w:id="122" w:name="page123"/>
    <w:bookmarkEnd w:id="122"/>
    <w:p>
      <w:pPr>
        <w:jc w:val="both"/>
        <w:ind w:firstLine="629"/>
        <w:spacing w:after="0" w:line="308" w:lineRule="auto"/>
        <w:tabs>
          <w:tab w:leader="none" w:pos="998" w:val="left"/>
        </w:tabs>
        <w:numPr>
          <w:ilvl w:val="0"/>
          <w:numId w:val="83"/>
        </w:numPr>
        <w:rPr>
          <w:rFonts w:ascii="Arial" w:cs="Arial" w:eastAsia="Arial" w:hAnsi="Arial"/>
          <w:sz w:val="19"/>
          <w:szCs w:val="19"/>
          <w:color w:val="auto"/>
        </w:rPr>
      </w:pPr>
      <w:r>
        <w:rPr>
          <w:rFonts w:ascii="Arial" w:cs="Arial" w:eastAsia="Arial" w:hAnsi="Arial"/>
          <w:sz w:val="19"/>
          <w:szCs w:val="19"/>
          <w:b w:val="1"/>
          <w:bCs w:val="1"/>
          <w:color w:val="auto"/>
        </w:rPr>
        <w:t>No Stockholder Rights</w:t>
      </w:r>
      <w:r>
        <w:rPr>
          <w:rFonts w:ascii="Arial" w:cs="Arial" w:eastAsia="Arial" w:hAnsi="Arial"/>
          <w:sz w:val="19"/>
          <w:szCs w:val="19"/>
          <w:color w:val="auto"/>
        </w:rPr>
        <w:t>. Participant will not be deemed for any purpose, including voting rights and dividends or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equivalents, to be, or to have any of the rights of, a Stockholder with respect to any Common Shares under the terms of this Agreement. The existence of this Agreement will not affect the right or power of LII or its Stockholders to accomplish any corporate act.</w:t>
      </w:r>
    </w:p>
    <w:p>
      <w:pPr>
        <w:spacing w:after="0" w:line="122" w:lineRule="exact"/>
        <w:rPr>
          <w:rFonts w:ascii="Arial" w:cs="Arial" w:eastAsia="Arial" w:hAnsi="Arial"/>
          <w:sz w:val="19"/>
          <w:szCs w:val="19"/>
          <w:color w:val="auto"/>
        </w:rPr>
      </w:pPr>
    </w:p>
    <w:p>
      <w:pPr>
        <w:jc w:val="both"/>
        <w:ind w:firstLine="629"/>
        <w:spacing w:after="0" w:line="254" w:lineRule="auto"/>
        <w:tabs>
          <w:tab w:leader="none" w:pos="1063" w:val="left"/>
        </w:tabs>
        <w:numPr>
          <w:ilvl w:val="0"/>
          <w:numId w:val="83"/>
        </w:numPr>
        <w:rPr>
          <w:rFonts w:ascii="Arial" w:cs="Arial" w:eastAsia="Arial" w:hAnsi="Arial"/>
          <w:sz w:val="21"/>
          <w:szCs w:val="21"/>
          <w:color w:val="auto"/>
        </w:rPr>
      </w:pPr>
      <w:r>
        <w:rPr>
          <w:rFonts w:ascii="Arial" w:cs="Arial" w:eastAsia="Arial" w:hAnsi="Arial"/>
          <w:sz w:val="21"/>
          <w:szCs w:val="21"/>
          <w:b w:val="1"/>
          <w:bCs w:val="1"/>
          <w:color w:val="auto"/>
        </w:rPr>
        <w:t>Compliance with Section 409A of the Code</w:t>
      </w:r>
      <w:r>
        <w:rPr>
          <w:rFonts w:ascii="Arial" w:cs="Arial" w:eastAsia="Arial" w:hAnsi="Arial"/>
          <w:sz w:val="21"/>
          <w:szCs w:val="21"/>
          <w:color w:val="auto"/>
        </w:rPr>
        <w:t>. To the extent applicable, it is intended that this Agreement and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Participant).</w:t>
      </w:r>
    </w:p>
    <w:p>
      <w:pPr>
        <w:spacing w:after="0" w:line="172" w:lineRule="exact"/>
        <w:rPr>
          <w:rFonts w:ascii="Arial" w:cs="Arial" w:eastAsia="Arial" w:hAnsi="Arial"/>
          <w:sz w:val="21"/>
          <w:szCs w:val="21"/>
          <w:color w:val="auto"/>
        </w:rPr>
      </w:pPr>
    </w:p>
    <w:p>
      <w:pPr>
        <w:jc w:val="both"/>
        <w:ind w:firstLine="629"/>
        <w:spacing w:after="0" w:line="260" w:lineRule="auto"/>
        <w:tabs>
          <w:tab w:leader="none" w:pos="1063" w:val="left"/>
        </w:tabs>
        <w:numPr>
          <w:ilvl w:val="0"/>
          <w:numId w:val="83"/>
        </w:numPr>
        <w:rPr>
          <w:rFonts w:ascii="Arial" w:cs="Arial" w:eastAsia="Arial" w:hAnsi="Arial"/>
          <w:sz w:val="21"/>
          <w:szCs w:val="21"/>
          <w:color w:val="auto"/>
        </w:rPr>
      </w:pPr>
      <w:r>
        <w:rPr>
          <w:rFonts w:ascii="Arial" w:cs="Arial" w:eastAsia="Arial" w:hAnsi="Arial"/>
          <w:sz w:val="21"/>
          <w:szCs w:val="21"/>
          <w:b w:val="1"/>
          <w:bCs w:val="1"/>
          <w:color w:val="auto"/>
        </w:rPr>
        <w:t>No Right to Future Awards</w:t>
      </w:r>
      <w:r>
        <w:rPr>
          <w:rFonts w:ascii="Arial" w:cs="Arial" w:eastAsia="Arial" w:hAnsi="Arial"/>
          <w:sz w:val="21"/>
          <w:szCs w:val="21"/>
          <w:color w:val="auto"/>
        </w:rPr>
        <w:t>. The grants of the awards under this Agreement to Participant are voluntary, discretionary</w:t>
      </w:r>
      <w:r>
        <w:rPr>
          <w:rFonts w:ascii="Arial" w:cs="Arial" w:eastAsia="Arial" w:hAnsi="Arial"/>
          <w:sz w:val="21"/>
          <w:szCs w:val="21"/>
          <w:b w:val="1"/>
          <w:bCs w:val="1"/>
          <w:color w:val="auto"/>
        </w:rPr>
        <w:t xml:space="preserve"> </w:t>
      </w:r>
      <w:r>
        <w:rPr>
          <w:rFonts w:ascii="Arial" w:cs="Arial" w:eastAsia="Arial" w:hAnsi="Arial"/>
          <w:sz w:val="21"/>
          <w:szCs w:val="21"/>
          <w:color w:val="auto"/>
        </w:rPr>
        <w:t>awards being made on a one-time basis and they do not constitute commitments to make any future awards. The grants of the awards and any payments made hereunder will not be considered salary or other compensation for purposes of any severance pay or similar allowance, except as otherwise required by law.</w:t>
      </w:r>
    </w:p>
    <w:p>
      <w:pPr>
        <w:spacing w:after="0" w:line="164" w:lineRule="exact"/>
        <w:rPr>
          <w:rFonts w:ascii="Arial" w:cs="Arial" w:eastAsia="Arial" w:hAnsi="Arial"/>
          <w:sz w:val="21"/>
          <w:szCs w:val="21"/>
          <w:color w:val="auto"/>
        </w:rPr>
      </w:pPr>
    </w:p>
    <w:p>
      <w:pPr>
        <w:ind w:firstLine="629"/>
        <w:spacing w:after="0" w:line="344" w:lineRule="auto"/>
        <w:tabs>
          <w:tab w:leader="none" w:pos="1037" w:val="left"/>
        </w:tabs>
        <w:numPr>
          <w:ilvl w:val="0"/>
          <w:numId w:val="83"/>
        </w:numPr>
        <w:rPr>
          <w:rFonts w:ascii="Arial" w:cs="Arial" w:eastAsia="Arial" w:hAnsi="Arial"/>
          <w:sz w:val="19"/>
          <w:szCs w:val="19"/>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Unless LII notifies Participant in writing of a different procedure, any notice or other communication to LII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this Agreement must be in writing and delivered personally or by first class mail, postage prepaid, to the following address:</w:t>
      </w:r>
    </w:p>
    <w:p>
      <w:pPr>
        <w:spacing w:after="0" w:line="135"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Lennox International Inc.</w:t>
      </w:r>
    </w:p>
    <w:p>
      <w:pPr>
        <w:spacing w:after="0" w:line="24"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c/o Corporate Secretary</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2140 Lake Park Boulevard</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Richardson, Texas 75080</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Any notice or other communication to Participant with respect to this Agreement must be in writing and delivered personally, or sent electronically to Participant or by first class mail, postage prepaid, to Participant’s address as listed in the records of the Company on the Date of Grant, unless LII has received written notification from Participant of a change of address.</w:t>
      </w:r>
    </w:p>
    <w:p>
      <w:pPr>
        <w:spacing w:after="0" w:line="200" w:lineRule="exact"/>
        <w:rPr>
          <w:sz w:val="20"/>
          <w:szCs w:val="20"/>
          <w:color w:val="auto"/>
        </w:rPr>
      </w:pPr>
    </w:p>
    <w:p>
      <w:pPr>
        <w:spacing w:after="0" w:line="207"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 xml:space="preserve">6 </w:t>
      </w:r>
      <w:r>
        <w:rPr>
          <w:rFonts w:ascii="Arial" w:cs="Arial" w:eastAsia="Arial" w:hAnsi="Arial"/>
          <w:sz w:val="17"/>
          <w:szCs w:val="17"/>
          <w:b w:val="1"/>
          <w:bCs w:val="1"/>
          <w:color w:val="auto"/>
        </w:rPr>
        <w:t>Approved Form December 12, 2019</w:t>
      </w:r>
    </w:p>
    <w:p>
      <w:pPr>
        <w:sectPr>
          <w:pgSz w:w="11900" w:h="16838" w:orient="portrait"/>
          <w:cols w:equalWidth="0" w:num="1">
            <w:col w:w="11420"/>
          </w:cols>
          <w:pgMar w:left="240" w:top="581" w:right="239" w:bottom="1440" w:gutter="0" w:footer="0" w:header="0"/>
        </w:sectPr>
      </w:pPr>
    </w:p>
    <w:bookmarkStart w:id="123" w:name="page124"/>
    <w:bookmarkEnd w:id="123"/>
    <w:p>
      <w:pPr>
        <w:jc w:val="both"/>
        <w:ind w:left="-629" w:firstLine="629"/>
        <w:spacing w:after="0" w:line="267" w:lineRule="auto"/>
        <w:tabs>
          <w:tab w:leader="none" w:pos="460" w:val="left"/>
        </w:tabs>
        <w:numPr>
          <w:ilvl w:val="0"/>
          <w:numId w:val="84"/>
        </w:numPr>
        <w:rPr>
          <w:rFonts w:ascii="Arial" w:cs="Arial" w:eastAsia="Arial" w:hAnsi="Arial"/>
          <w:sz w:val="21"/>
          <w:szCs w:val="21"/>
          <w:color w:val="auto"/>
        </w:rPr>
      </w:pPr>
      <w:r>
        <w:rPr>
          <w:rFonts w:ascii="Arial" w:cs="Arial" w:eastAsia="Arial" w:hAnsi="Arial"/>
          <w:sz w:val="21"/>
          <w:szCs w:val="21"/>
          <w:b w:val="1"/>
          <w:bCs w:val="1"/>
          <w:color w:val="auto"/>
        </w:rPr>
        <w:t>Amendment</w:t>
      </w:r>
      <w:r>
        <w:rPr>
          <w:rFonts w:ascii="Arial" w:cs="Arial" w:eastAsia="Arial" w:hAnsi="Arial"/>
          <w:sz w:val="21"/>
          <w:szCs w:val="21"/>
          <w:color w:val="auto"/>
        </w:rPr>
        <w:t>. This Agreement may be supplemented or amended from time to time as approved by the Committee as</w:t>
      </w:r>
      <w:r>
        <w:rPr>
          <w:rFonts w:ascii="Arial" w:cs="Arial" w:eastAsia="Arial" w:hAnsi="Arial"/>
          <w:sz w:val="21"/>
          <w:szCs w:val="21"/>
          <w:b w:val="1"/>
          <w:bCs w:val="1"/>
          <w:color w:val="auto"/>
        </w:rPr>
        <w:t xml:space="preserve"> </w:t>
      </w:r>
      <w:r>
        <w:rPr>
          <w:rFonts w:ascii="Arial" w:cs="Arial" w:eastAsia="Arial" w:hAnsi="Arial"/>
          <w:sz w:val="21"/>
          <w:szCs w:val="21"/>
          <w:color w:val="auto"/>
        </w:rPr>
        <w:t>contemplated by the Plan. Participant’s consent shall not be required to an amendment that is deemed necessary by the Company to ensure compliance with Section 409A of the Code or Section 10D of the Exchange Act.</w:t>
      </w:r>
    </w:p>
    <w:p>
      <w:pPr>
        <w:spacing w:after="0" w:line="157" w:lineRule="exact"/>
        <w:rPr>
          <w:rFonts w:ascii="Arial" w:cs="Arial" w:eastAsia="Arial" w:hAnsi="Arial"/>
          <w:sz w:val="21"/>
          <w:szCs w:val="21"/>
          <w:color w:val="auto"/>
        </w:rPr>
      </w:pPr>
    </w:p>
    <w:p>
      <w:pPr>
        <w:jc w:val="both"/>
        <w:ind w:left="-629" w:firstLine="629"/>
        <w:spacing w:after="0" w:line="260" w:lineRule="auto"/>
        <w:tabs>
          <w:tab w:leader="none" w:pos="382" w:val="left"/>
        </w:tabs>
        <w:numPr>
          <w:ilvl w:val="0"/>
          <w:numId w:val="84"/>
        </w:numPr>
        <w:rPr>
          <w:rFonts w:ascii="Arial" w:cs="Arial" w:eastAsia="Arial" w:hAnsi="Arial"/>
          <w:sz w:val="21"/>
          <w:szCs w:val="21"/>
          <w:color w:val="auto"/>
        </w:rPr>
      </w:pPr>
      <w:r>
        <w:rPr>
          <w:rFonts w:ascii="Arial" w:cs="Arial" w:eastAsia="Arial" w:hAnsi="Arial"/>
          <w:sz w:val="21"/>
          <w:szCs w:val="21"/>
          <w:b w:val="1"/>
          <w:bCs w:val="1"/>
          <w:color w:val="auto"/>
        </w:rPr>
        <w:t>Participant Employment</w:t>
      </w:r>
      <w:r>
        <w:rPr>
          <w:rFonts w:ascii="Arial" w:cs="Arial" w:eastAsia="Arial" w:hAnsi="Arial"/>
          <w:sz w:val="21"/>
          <w:szCs w:val="21"/>
          <w:color w:val="auto"/>
        </w:rPr>
        <w:t>. Nothing contained in this Agreement, and no action of LII or the Committee, will confer or be</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to confer on Participant any right to continue in the employ of LII or interfere in any way with the right of LII to terminate Participant’s employment at any time, with or without cause; subject, however, to the provisions of any employment agreement between Participant and LII.</w:t>
      </w:r>
    </w:p>
    <w:p>
      <w:pPr>
        <w:spacing w:after="0" w:line="164" w:lineRule="exact"/>
        <w:rPr>
          <w:rFonts w:ascii="Arial" w:cs="Arial" w:eastAsia="Arial" w:hAnsi="Arial"/>
          <w:sz w:val="21"/>
          <w:szCs w:val="21"/>
          <w:color w:val="auto"/>
        </w:rPr>
      </w:pPr>
    </w:p>
    <w:p>
      <w:pPr>
        <w:jc w:val="both"/>
        <w:ind w:left="-629" w:firstLine="629"/>
        <w:spacing w:after="0" w:line="286" w:lineRule="auto"/>
        <w:tabs>
          <w:tab w:leader="none" w:pos="421"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Governing Law</w:t>
      </w:r>
      <w:r>
        <w:rPr>
          <w:rFonts w:ascii="Arial" w:cs="Arial" w:eastAsia="Arial" w:hAnsi="Arial"/>
          <w:sz w:val="19"/>
          <w:szCs w:val="19"/>
          <w:color w:val="auto"/>
        </w:rPr>
        <w:t>. This Agreement is governed by the laws of the State of Delaware, USA. Any dispute arising out of or</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to this Agreement, or any breach or alleged breach hereof, will be exclusively decided by a state or federal court in the State of Texas in the County of Dallas. Participant irrevocably waives Participant’s right, if any, to have any disputes between Participant and the Company arising out of or related to this Agreement decided in any jurisdiction or venue other than a state or federal court in the State of Texas in the County of Dallas. Participant hereby irrevocably consents to the personal jurisdiction of the state courts in the State of Texas in the County of Dallas for the purposes of any action arising out of or related to this Agreement.</w:t>
      </w:r>
    </w:p>
    <w:p>
      <w:pPr>
        <w:spacing w:after="0" w:line="143" w:lineRule="exact"/>
        <w:rPr>
          <w:rFonts w:ascii="Arial" w:cs="Arial" w:eastAsia="Arial" w:hAnsi="Arial"/>
          <w:sz w:val="19"/>
          <w:szCs w:val="19"/>
          <w:color w:val="auto"/>
        </w:rPr>
      </w:pPr>
    </w:p>
    <w:p>
      <w:pPr>
        <w:jc w:val="both"/>
        <w:ind w:left="-629" w:firstLine="629"/>
        <w:spacing w:after="0" w:line="289" w:lineRule="auto"/>
        <w:tabs>
          <w:tab w:leader="none" w:pos="343"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Construction</w:t>
      </w:r>
      <w:r>
        <w:rPr>
          <w:rFonts w:ascii="Arial" w:cs="Arial" w:eastAsia="Arial" w:hAnsi="Arial"/>
          <w:sz w:val="19"/>
          <w:szCs w:val="19"/>
          <w:color w:val="auto"/>
        </w:rPr>
        <w:t>. This Agreement is entered into, and the PSU Award, RSU Award and SAR Award are granted, pursuant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are governed by and construed in accordance with the Plan and the administrative interpretations adopted under the Plan. In the event of any inconsistency between the terms of the Plan and this Agreement, the terms of the Plan will control. Notwithstanding anything in this Agreement to the contrary, Participant acknowledges and agrees that this Agreement and the awards described herein are subject to the terms and conditions of the Company’s clawback policy as may be in effect from time to time (if any).</w:t>
      </w:r>
    </w:p>
    <w:p>
      <w:pPr>
        <w:spacing w:after="0" w:line="142" w:lineRule="exact"/>
        <w:rPr>
          <w:rFonts w:ascii="Arial" w:cs="Arial" w:eastAsia="Arial" w:hAnsi="Arial"/>
          <w:sz w:val="19"/>
          <w:szCs w:val="19"/>
          <w:color w:val="auto"/>
        </w:rPr>
      </w:pPr>
    </w:p>
    <w:p>
      <w:pPr>
        <w:jc w:val="both"/>
        <w:ind w:left="-629" w:firstLine="629"/>
        <w:spacing w:after="0" w:line="256" w:lineRule="auto"/>
        <w:tabs>
          <w:tab w:leader="none" w:pos="486" w:val="left"/>
        </w:tabs>
        <w:numPr>
          <w:ilvl w:val="0"/>
          <w:numId w:val="84"/>
        </w:numPr>
        <w:rPr>
          <w:rFonts w:ascii="Arial" w:cs="Arial" w:eastAsia="Arial" w:hAnsi="Arial"/>
          <w:sz w:val="21"/>
          <w:szCs w:val="21"/>
          <w:color w:val="auto"/>
        </w:rPr>
      </w:pPr>
      <w:r>
        <w:rPr>
          <w:rFonts w:ascii="Arial" w:cs="Arial" w:eastAsia="Arial" w:hAnsi="Arial"/>
          <w:sz w:val="21"/>
          <w:szCs w:val="21"/>
          <w:b w:val="1"/>
          <w:bCs w:val="1"/>
          <w:color w:val="auto"/>
        </w:rPr>
        <w:t>Severability and Reformation</w:t>
      </w:r>
      <w:r>
        <w:rPr>
          <w:rFonts w:ascii="Arial" w:cs="Arial" w:eastAsia="Arial" w:hAnsi="Arial"/>
          <w:sz w:val="21"/>
          <w:szCs w:val="21"/>
          <w:color w:val="auto"/>
        </w:rPr>
        <w:t>. If any restriction or covenant in this Agreement is deemed by a court of competent</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 to be unreasonable or unenforceable as written, the court may modify any unreasonable or unenforceable element of the restriction or covenant to make it reasonable and enforceable or enforce it only to the extent it is reasonable and enforceable. If the court determines that any restriction or covenant in this Agreement is wholly or partially invalid or unenforceable, the remainder of the restrictions or covenants will be given full effect.</w:t>
      </w:r>
    </w:p>
    <w:p>
      <w:pPr>
        <w:spacing w:after="0" w:line="388" w:lineRule="exact"/>
        <w:rPr>
          <w:sz w:val="20"/>
          <w:szCs w:val="20"/>
          <w:color w:val="auto"/>
        </w:rPr>
      </w:pPr>
    </w:p>
    <w:p>
      <w:pPr>
        <w:ind w:left="3431"/>
        <w:spacing w:after="0"/>
        <w:rPr>
          <w:sz w:val="20"/>
          <w:szCs w:val="20"/>
          <w:color w:val="auto"/>
        </w:rPr>
      </w:pPr>
      <w:r>
        <w:rPr>
          <w:rFonts w:ascii="Arial" w:cs="Arial" w:eastAsia="Arial" w:hAnsi="Arial"/>
          <w:sz w:val="12"/>
          <w:szCs w:val="12"/>
          <w:color w:val="auto"/>
        </w:rPr>
        <w:t xml:space="preserve">7 </w:t>
      </w:r>
      <w:r>
        <w:rPr>
          <w:rFonts w:ascii="Arial" w:cs="Arial" w:eastAsia="Arial" w:hAnsi="Arial"/>
          <w:sz w:val="17"/>
          <w:szCs w:val="17"/>
          <w:b w:val="1"/>
          <w:bCs w:val="1"/>
          <w:color w:val="auto"/>
        </w:rPr>
        <w:t>Approved Form December 12, 2019</w:t>
      </w:r>
    </w:p>
    <w:p>
      <w:pPr>
        <w:sectPr>
          <w:pgSz w:w="11900" w:h="16838" w:orient="portrait"/>
          <w:cols w:equalWidth="0" w:num="1">
            <w:col w:w="10791"/>
          </w:cols>
          <w:pgMar w:left="869" w:top="581" w:right="239" w:bottom="1440" w:gutter="0" w:footer="0" w:header="0"/>
        </w:sectPr>
      </w:pPr>
    </w:p>
    <w:bookmarkStart w:id="124" w:name="page125"/>
    <w:bookmarkEnd w:id="124"/>
    <w:p>
      <w:pPr>
        <w:jc w:val="both"/>
        <w:ind w:left="-629" w:firstLine="629"/>
        <w:spacing w:after="0" w:line="267" w:lineRule="auto"/>
        <w:tabs>
          <w:tab w:leader="none" w:pos="485" w:val="left"/>
        </w:tabs>
        <w:numPr>
          <w:ilvl w:val="0"/>
          <w:numId w:val="85"/>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contains the entire agreement between the parties with respect to the PSU Award, the</w:t>
      </w:r>
      <w:r>
        <w:rPr>
          <w:rFonts w:ascii="Arial" w:cs="Arial" w:eastAsia="Arial" w:hAnsi="Arial"/>
          <w:sz w:val="21"/>
          <w:szCs w:val="21"/>
          <w:b w:val="1"/>
          <w:bCs w:val="1"/>
          <w:color w:val="auto"/>
        </w:rPr>
        <w:t xml:space="preserve"> </w:t>
      </w:r>
      <w:r>
        <w:rPr>
          <w:rFonts w:ascii="Arial" w:cs="Arial" w:eastAsia="Arial" w:hAnsi="Arial"/>
          <w:sz w:val="21"/>
          <w:szCs w:val="21"/>
          <w:color w:val="auto"/>
        </w:rPr>
        <w:t>RSU Award and the SAR Award. If Participant has a written employment agreement which contains provisions that conflict with this Agreement, the terms of the employment agreement will control.</w:t>
      </w:r>
    </w:p>
    <w:p>
      <w:pPr>
        <w:spacing w:after="0" w:line="157" w:lineRule="exact"/>
        <w:rPr>
          <w:rFonts w:ascii="Arial" w:cs="Arial" w:eastAsia="Arial" w:hAnsi="Arial"/>
          <w:sz w:val="21"/>
          <w:szCs w:val="21"/>
          <w:color w:val="auto"/>
        </w:rPr>
      </w:pPr>
    </w:p>
    <w:p>
      <w:pPr>
        <w:jc w:val="both"/>
        <w:ind w:left="-629" w:firstLine="629"/>
        <w:spacing w:after="0" w:line="267" w:lineRule="auto"/>
        <w:tabs>
          <w:tab w:leader="none" w:pos="472" w:val="left"/>
        </w:tabs>
        <w:numPr>
          <w:ilvl w:val="0"/>
          <w:numId w:val="85"/>
        </w:numPr>
        <w:rPr>
          <w:rFonts w:ascii="Arial" w:cs="Arial" w:eastAsia="Arial" w:hAnsi="Arial"/>
          <w:sz w:val="21"/>
          <w:szCs w:val="21"/>
          <w:color w:val="auto"/>
        </w:rPr>
      </w:pPr>
      <w:r>
        <w:rPr>
          <w:rFonts w:ascii="Arial" w:cs="Arial" w:eastAsia="Arial" w:hAnsi="Arial"/>
          <w:sz w:val="21"/>
          <w:szCs w:val="21"/>
          <w:b w:val="1"/>
          <w:bCs w:val="1"/>
          <w:color w:val="auto"/>
        </w:rPr>
        <w:t>Electronic Delivery</w:t>
      </w:r>
      <w:r>
        <w:rPr>
          <w:rFonts w:ascii="Arial" w:cs="Arial" w:eastAsia="Arial" w:hAnsi="Arial"/>
          <w:sz w:val="21"/>
          <w:szCs w:val="21"/>
          <w:color w:val="auto"/>
        </w:rPr>
        <w:t>. The Participant consents to the delivery of any documents related to the awards granted hereunder by</w:t>
      </w:r>
      <w:r>
        <w:rPr>
          <w:rFonts w:ascii="Arial" w:cs="Arial" w:eastAsia="Arial" w:hAnsi="Arial"/>
          <w:sz w:val="21"/>
          <w:szCs w:val="21"/>
          <w:b w:val="1"/>
          <w:bCs w:val="1"/>
          <w:color w:val="auto"/>
        </w:rPr>
        <w:t xml:space="preserve"> </w:t>
      </w:r>
      <w:r>
        <w:rPr>
          <w:rFonts w:ascii="Arial" w:cs="Arial" w:eastAsia="Arial" w:hAnsi="Arial"/>
          <w:sz w:val="21"/>
          <w:szCs w:val="21"/>
          <w:color w:val="auto"/>
        </w:rPr>
        <w:t>electronic means and agrees to participate in the Plan through an on-line or electronic system established and maintained by the Company or another third party designated by the Company.</w:t>
      </w:r>
    </w:p>
    <w:p>
      <w:pPr>
        <w:spacing w:after="0" w:line="157" w:lineRule="exact"/>
        <w:rPr>
          <w:rFonts w:ascii="Arial" w:cs="Arial" w:eastAsia="Arial" w:hAnsi="Arial"/>
          <w:sz w:val="21"/>
          <w:szCs w:val="21"/>
          <w:color w:val="auto"/>
        </w:rPr>
      </w:pPr>
    </w:p>
    <w:p>
      <w:pPr>
        <w:ind w:left="-629" w:firstLine="629"/>
        <w:spacing w:after="0" w:line="288" w:lineRule="auto"/>
        <w:tabs>
          <w:tab w:leader="none" w:pos="472" w:val="left"/>
        </w:tabs>
        <w:numPr>
          <w:ilvl w:val="0"/>
          <w:numId w:val="85"/>
        </w:numPr>
        <w:rPr>
          <w:rFonts w:ascii="Arial" w:cs="Arial" w:eastAsia="Arial" w:hAnsi="Arial"/>
          <w:sz w:val="21"/>
          <w:szCs w:val="21"/>
          <w:color w:val="auto"/>
        </w:rPr>
      </w:pPr>
      <w:r>
        <w:rPr>
          <w:rFonts w:ascii="Arial" w:cs="Arial" w:eastAsia="Arial" w:hAnsi="Arial"/>
          <w:sz w:val="21"/>
          <w:szCs w:val="21"/>
          <w:b w:val="1"/>
          <w:bCs w:val="1"/>
          <w:color w:val="auto"/>
        </w:rPr>
        <w:t>Participant Acceptance</w:t>
      </w:r>
      <w:r>
        <w:rPr>
          <w:rFonts w:ascii="Arial" w:cs="Arial" w:eastAsia="Arial" w:hAnsi="Arial"/>
          <w:sz w:val="21"/>
          <w:szCs w:val="21"/>
          <w:color w:val="auto"/>
        </w:rPr>
        <w:t>. Participant must accept the terms and conditions of this Agreement by electronic signature or by</w:t>
      </w:r>
      <w:r>
        <w:rPr>
          <w:rFonts w:ascii="Arial" w:cs="Arial" w:eastAsia="Arial" w:hAnsi="Arial"/>
          <w:sz w:val="21"/>
          <w:szCs w:val="21"/>
          <w:b w:val="1"/>
          <w:bCs w:val="1"/>
          <w:color w:val="auto"/>
        </w:rPr>
        <w:t xml:space="preserve"> </w:t>
      </w:r>
      <w:r>
        <w:rPr>
          <w:rFonts w:ascii="Arial" w:cs="Arial" w:eastAsia="Arial" w:hAnsi="Arial"/>
          <w:sz w:val="21"/>
          <w:szCs w:val="21"/>
          <w:color w:val="auto"/>
        </w:rPr>
        <w:t>signing in the space below and returning a signed copy to the Company.</w:t>
      </w:r>
    </w:p>
    <w:p>
      <w:pPr>
        <w:spacing w:after="0" w:line="136" w:lineRule="exact"/>
        <w:rPr>
          <w:rFonts w:ascii="Arial" w:cs="Arial" w:eastAsia="Arial" w:hAnsi="Arial"/>
          <w:sz w:val="21"/>
          <w:szCs w:val="21"/>
          <w:color w:val="auto"/>
        </w:rPr>
      </w:pPr>
    </w:p>
    <w:p>
      <w:pPr>
        <w:jc w:val="both"/>
        <w:ind w:left="-629" w:firstLine="629"/>
        <w:spacing w:after="0" w:line="280" w:lineRule="auto"/>
        <w:tabs>
          <w:tab w:leader="none" w:pos="550"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Nature of Grant</w:t>
      </w:r>
      <w:r>
        <w:rPr>
          <w:rFonts w:ascii="Arial" w:cs="Arial" w:eastAsia="Arial" w:hAnsi="Arial"/>
          <w:sz w:val="19"/>
          <w:szCs w:val="19"/>
          <w:color w:val="auto"/>
        </w:rPr>
        <w:t>. Participant agrees that: (a) the Plan is established voluntarily by the Company, it is discretionary in</w:t>
      </w:r>
      <w:r>
        <w:rPr>
          <w:rFonts w:ascii="Arial" w:cs="Arial" w:eastAsia="Arial" w:hAnsi="Arial"/>
          <w:sz w:val="19"/>
          <w:szCs w:val="19"/>
          <w:b w:val="1"/>
          <w:bCs w:val="1"/>
          <w:color w:val="auto"/>
        </w:rPr>
        <w:t xml:space="preserve"> </w:t>
      </w:r>
      <w:r>
        <w:rPr>
          <w:rFonts w:ascii="Arial" w:cs="Arial" w:eastAsia="Arial" w:hAnsi="Arial"/>
          <w:sz w:val="19"/>
          <w:szCs w:val="19"/>
          <w:color w:val="auto"/>
        </w:rPr>
        <w:t>nature and it may be modified, amended, suspended or terminated by the Company at any time; (b) the grant of PSUs, RSUs and SARs (the “</w:t>
      </w:r>
      <w:r>
        <w:rPr>
          <w:rFonts w:ascii="Arial" w:cs="Arial" w:eastAsia="Arial" w:hAnsi="Arial"/>
          <w:sz w:val="19"/>
          <w:szCs w:val="19"/>
          <w:b w:val="1"/>
          <w:bCs w:val="1"/>
          <w:u w:val="single" w:color="auto"/>
          <w:color w:val="auto"/>
        </w:rPr>
        <w:t>Awards</w:t>
      </w:r>
      <w:r>
        <w:rPr>
          <w:rFonts w:ascii="Arial" w:cs="Arial" w:eastAsia="Arial" w:hAnsi="Arial"/>
          <w:sz w:val="19"/>
          <w:szCs w:val="19"/>
          <w:color w:val="auto"/>
        </w:rPr>
        <w:t>”) is voluntary and occasional and does not create any contractual or other right to receive future grants of Awards, or benefits in substitution of Awards, even if Awards have been granted repeatedly in the past; (c) all decisions with respect to future grants of Awards will be at the sole discretion of the Company; (d) participation in the Plan is voluntary; (e) the Awards are not a part of normal or expected pay package for any purposes; and (f) in consideration of the grant of Awards, no claim or entitlement to compensation or damages will be created by any termination of the Awards or diminution in value of the Awards, and Participant releases LII from any such claim that may arise. If any such claim is found by a court of competent jurisdiction to have been created, then, by signing this Agreement, Participant will be deemed irrevocably to have waived Participant’s entitlement to pursue such claim.</w:t>
      </w:r>
    </w:p>
    <w:p>
      <w:pPr>
        <w:spacing w:after="0" w:line="153" w:lineRule="exact"/>
        <w:rPr>
          <w:rFonts w:ascii="Arial" w:cs="Arial" w:eastAsia="Arial" w:hAnsi="Arial"/>
          <w:sz w:val="19"/>
          <w:szCs w:val="19"/>
          <w:color w:val="auto"/>
        </w:rPr>
      </w:pPr>
    </w:p>
    <w:p>
      <w:pPr>
        <w:jc w:val="both"/>
        <w:ind w:left="-629" w:firstLine="629"/>
        <w:spacing w:after="0" w:line="277" w:lineRule="auto"/>
        <w:tabs>
          <w:tab w:leader="none" w:pos="485"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Data Privacy</w:t>
      </w:r>
      <w:r>
        <w:rPr>
          <w:rFonts w:ascii="Arial" w:cs="Arial" w:eastAsia="Arial" w:hAnsi="Arial"/>
          <w:sz w:val="19"/>
          <w:szCs w:val="19"/>
          <w:color w:val="auto"/>
        </w:rPr>
        <w:t>. Participant consents to the collection, use and transfer, in electronic or other form, of Participant’s personal</w:t>
      </w:r>
      <w:r>
        <w:rPr>
          <w:rFonts w:ascii="Arial" w:cs="Arial" w:eastAsia="Arial" w:hAnsi="Arial"/>
          <w:sz w:val="19"/>
          <w:szCs w:val="19"/>
          <w:b w:val="1"/>
          <w:bCs w:val="1"/>
          <w:color w:val="auto"/>
        </w:rPr>
        <w:t xml:space="preserve"> </w:t>
      </w:r>
      <w:r>
        <w:rPr>
          <w:rFonts w:ascii="Arial" w:cs="Arial" w:eastAsia="Arial" w:hAnsi="Arial"/>
          <w:sz w:val="19"/>
          <w:szCs w:val="19"/>
          <w:color w:val="auto"/>
        </w:rPr>
        <w:t>data by and among LII for the exclusive purpose of administering Participant’s participation in the Plan. Participant understands that: (a) LII holds (but only processes or transfers to the extent required or permitted by local law) the following personal information about Participant: Participant’s name, home address and telephone number, date of birth, social insurance number or other identification number, salary, nationality, job title, any Common Shares or directorships held in the Company, details of all Participant’s Awards awarded, canceled, exercised, vested, unvested or outstanding, for the purpose of administering the Plan (“</w:t>
      </w:r>
      <w:r>
        <w:rPr>
          <w:rFonts w:ascii="Arial" w:cs="Arial" w:eastAsia="Arial" w:hAnsi="Arial"/>
          <w:sz w:val="19"/>
          <w:szCs w:val="19"/>
          <w:b w:val="1"/>
          <w:bCs w:val="1"/>
          <w:u w:val="single" w:color="auto"/>
          <w:color w:val="auto"/>
        </w:rPr>
        <w:t>Data</w:t>
      </w:r>
      <w:r>
        <w:rPr>
          <w:rFonts w:ascii="Arial" w:cs="Arial" w:eastAsia="Arial" w:hAnsi="Arial"/>
          <w:sz w:val="19"/>
          <w:szCs w:val="19"/>
          <w:color w:val="auto"/>
        </w:rPr>
        <w:t>”); (b) Data may be transferred to any third parties assisting in the administration of the Plan, regardless of whether such persons are located within Participant's country of residence, the European Economic Area or in countries outside of the European Economic Area, including the United States of America, and that the recipient’s country may have different data privacy laws and protections than Participant’s country; and (c) Data will be held only as long as is necessary to administer Participant’s participation in the Plan and in accordance with local law. Participant understands that Participant may, at any time, request the names and addresses of any potential recipients of Data, view Data, request additional information about the storage and processing of Data, require any necessary amendments to Data or refuse or withdraw these consents, in any case</w:t>
      </w:r>
    </w:p>
    <w:p>
      <w:pPr>
        <w:spacing w:after="0" w:line="377" w:lineRule="exact"/>
        <w:rPr>
          <w:sz w:val="20"/>
          <w:szCs w:val="20"/>
          <w:color w:val="auto"/>
        </w:rPr>
      </w:pPr>
    </w:p>
    <w:p>
      <w:pPr>
        <w:ind w:left="3431"/>
        <w:spacing w:after="0"/>
        <w:rPr>
          <w:sz w:val="20"/>
          <w:szCs w:val="20"/>
          <w:color w:val="auto"/>
        </w:rPr>
      </w:pPr>
      <w:r>
        <w:rPr>
          <w:rFonts w:ascii="Arial" w:cs="Arial" w:eastAsia="Arial" w:hAnsi="Arial"/>
          <w:sz w:val="12"/>
          <w:szCs w:val="12"/>
          <w:color w:val="auto"/>
        </w:rPr>
        <w:t xml:space="preserve">8 </w:t>
      </w:r>
      <w:r>
        <w:rPr>
          <w:rFonts w:ascii="Arial" w:cs="Arial" w:eastAsia="Arial" w:hAnsi="Arial"/>
          <w:sz w:val="17"/>
          <w:szCs w:val="17"/>
          <w:b w:val="1"/>
          <w:bCs w:val="1"/>
          <w:color w:val="auto"/>
        </w:rPr>
        <w:t>Approved Form December 12, 2019</w:t>
      </w:r>
    </w:p>
    <w:p>
      <w:pPr>
        <w:sectPr>
          <w:pgSz w:w="11900" w:h="16838" w:orient="portrait"/>
          <w:cols w:equalWidth="0" w:num="1">
            <w:col w:w="10791"/>
          </w:cols>
          <w:pgMar w:left="869" w:top="581" w:right="239" w:bottom="1440" w:gutter="0" w:footer="0" w:header="0"/>
        </w:sectPr>
      </w:pPr>
    </w:p>
    <w:bookmarkStart w:id="125" w:name="page126"/>
    <w:bookmarkEnd w:id="125"/>
    <w:p>
      <w:pPr>
        <w:jc w:val="both"/>
        <w:ind w:right="100"/>
        <w:spacing w:after="0" w:line="253" w:lineRule="auto"/>
        <w:rPr>
          <w:sz w:val="20"/>
          <w:szCs w:val="20"/>
          <w:color w:val="auto"/>
        </w:rPr>
      </w:pPr>
      <w:r>
        <w:rPr>
          <w:rFonts w:ascii="Arial" w:cs="Arial" w:eastAsia="Arial" w:hAnsi="Arial"/>
          <w:sz w:val="21"/>
          <w:szCs w:val="21"/>
          <w:color w:val="auto"/>
        </w:rPr>
        <w:t>without cost, by contacting Participant’s local human resources representative in writing. Participant understands, however, that refusing or withdrawing Participant’s consent may affect Participant’s ability to participate in the Plan. For more information on the consequences of refusing or withdrawing consent, Participant understands that Participant may contact Participant’s local human resources representative.</w:t>
      </w:r>
    </w:p>
    <w:p>
      <w:pPr>
        <w:spacing w:after="0" w:line="174" w:lineRule="exact"/>
        <w:rPr>
          <w:sz w:val="20"/>
          <w:szCs w:val="20"/>
          <w:color w:val="auto"/>
        </w:rPr>
      </w:pPr>
    </w:p>
    <w:p>
      <w:pPr>
        <w:jc w:val="both"/>
        <w:ind w:right="100" w:firstLine="629"/>
        <w:spacing w:after="0" w:line="267" w:lineRule="auto"/>
        <w:tabs>
          <w:tab w:leader="none" w:pos="1270" w:val="left"/>
        </w:tabs>
        <w:numPr>
          <w:ilvl w:val="0"/>
          <w:numId w:val="86"/>
        </w:numPr>
        <w:rPr>
          <w:rFonts w:ascii="Arial" w:cs="Arial" w:eastAsia="Arial" w:hAnsi="Arial"/>
          <w:sz w:val="21"/>
          <w:szCs w:val="21"/>
          <w:color w:val="auto"/>
        </w:rPr>
      </w:pPr>
      <w:r>
        <w:rPr>
          <w:rFonts w:ascii="Arial" w:cs="Arial" w:eastAsia="Arial" w:hAnsi="Arial"/>
          <w:sz w:val="21"/>
          <w:szCs w:val="21"/>
          <w:b w:val="1"/>
          <w:bCs w:val="1"/>
          <w:color w:val="auto"/>
        </w:rPr>
        <w:t>Acknowledgement</w:t>
      </w:r>
      <w:r>
        <w:rPr>
          <w:rFonts w:ascii="Arial" w:cs="Arial" w:eastAsia="Arial" w:hAnsi="Arial"/>
          <w:sz w:val="21"/>
          <w:szCs w:val="21"/>
          <w:color w:val="auto"/>
        </w:rPr>
        <w:t>. Participant acknowledges that Participant (a) has received a copy of the Plan, (b) has had an</w:t>
      </w:r>
      <w:r>
        <w:rPr>
          <w:rFonts w:ascii="Arial" w:cs="Arial" w:eastAsia="Arial" w:hAnsi="Arial"/>
          <w:sz w:val="21"/>
          <w:szCs w:val="21"/>
          <w:b w:val="1"/>
          <w:bCs w:val="1"/>
          <w:color w:val="auto"/>
        </w:rPr>
        <w:t xml:space="preserve"> </w:t>
      </w:r>
      <w:r>
        <w:rPr>
          <w:rFonts w:ascii="Arial" w:cs="Arial" w:eastAsia="Arial" w:hAnsi="Arial"/>
          <w:sz w:val="21"/>
          <w:szCs w:val="21"/>
          <w:color w:val="auto"/>
        </w:rPr>
        <w:t>opportunity to review the terms of this Agreement and the Plan, (c) understands the terms and conditions of this Agreement and the Plan and (d) agrees to such terms and conditions.</w:t>
      </w:r>
    </w:p>
    <w:p>
      <w:pPr>
        <w:spacing w:after="0" w:line="157" w:lineRule="exact"/>
        <w:rPr>
          <w:rFonts w:ascii="Arial" w:cs="Arial" w:eastAsia="Arial" w:hAnsi="Arial"/>
          <w:sz w:val="21"/>
          <w:szCs w:val="21"/>
          <w:color w:val="auto"/>
        </w:rPr>
      </w:pPr>
    </w:p>
    <w:p>
      <w:pPr>
        <w:ind w:right="100" w:firstLine="629"/>
        <w:spacing w:after="0" w:line="288" w:lineRule="auto"/>
        <w:tabs>
          <w:tab w:leader="none" w:pos="1166" w:val="left"/>
        </w:tabs>
        <w:numPr>
          <w:ilvl w:val="0"/>
          <w:numId w:val="86"/>
        </w:numPr>
        <w:rPr>
          <w:rFonts w:ascii="Arial" w:cs="Arial" w:eastAsia="Arial" w:hAnsi="Arial"/>
          <w:sz w:val="21"/>
          <w:szCs w:val="21"/>
          <w:color w:val="auto"/>
        </w:rPr>
      </w:pPr>
      <w:r>
        <w:rPr>
          <w:rFonts w:ascii="Arial" w:cs="Arial" w:eastAsia="Arial" w:hAnsi="Arial"/>
          <w:sz w:val="21"/>
          <w:szCs w:val="21"/>
          <w:b w:val="1"/>
          <w:bCs w:val="1"/>
          <w:color w:val="auto"/>
        </w:rPr>
        <w:t xml:space="preserve">Counterparts. </w:t>
      </w:r>
      <w:r>
        <w:rPr>
          <w:rFonts w:ascii="Arial" w:cs="Arial" w:eastAsia="Arial" w:hAnsi="Arial"/>
          <w:sz w:val="21"/>
          <w:szCs w:val="21"/>
          <w:color w:val="auto"/>
        </w:rPr>
        <w:t>This Agreement may be executed in one or more counterparts, each of which shall be deemed to be an</w:t>
      </w:r>
      <w:r>
        <w:rPr>
          <w:rFonts w:ascii="Arial" w:cs="Arial" w:eastAsia="Arial" w:hAnsi="Arial"/>
          <w:sz w:val="21"/>
          <w:szCs w:val="21"/>
          <w:b w:val="1"/>
          <w:bCs w:val="1"/>
          <w:color w:val="auto"/>
        </w:rPr>
        <w:t xml:space="preserve"> </w:t>
      </w:r>
      <w:r>
        <w:rPr>
          <w:rFonts w:ascii="Arial" w:cs="Arial" w:eastAsia="Arial" w:hAnsi="Arial"/>
          <w:sz w:val="21"/>
          <w:szCs w:val="21"/>
          <w:color w:val="auto"/>
        </w:rPr>
        <w:t>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LENNOX INTERNATIONAL INC.</w:t>
      </w:r>
    </w:p>
    <w:p>
      <w:pPr>
        <w:spacing w:after="0" w:line="214"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Name _________________________</w:t>
      </w:r>
    </w:p>
    <w:p>
      <w:pPr>
        <w:spacing w:after="0" w:line="214"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Title: ________________________</w:t>
      </w:r>
    </w:p>
    <w:p>
      <w:pPr>
        <w:spacing w:after="0" w:line="214"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Date: _________________________</w:t>
      </w:r>
    </w:p>
    <w:p>
      <w:pPr>
        <w:spacing w:after="0" w:line="200" w:lineRule="exact"/>
        <w:rPr>
          <w:sz w:val="20"/>
          <w:szCs w:val="20"/>
          <w:color w:val="auto"/>
        </w:rPr>
      </w:pPr>
    </w:p>
    <w:p>
      <w:pPr>
        <w:spacing w:after="0" w:line="262"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ACCEPTED:</w:t>
      </w:r>
    </w:p>
    <w:p>
      <w:pPr>
        <w:spacing w:after="0" w:line="253" w:lineRule="exact"/>
        <w:rPr>
          <w:sz w:val="20"/>
          <w:szCs w:val="20"/>
          <w:color w:val="auto"/>
        </w:rPr>
      </w:pPr>
    </w:p>
    <w:p>
      <w:pPr>
        <w:ind w:left="8120"/>
        <w:spacing w:after="0"/>
        <w:rPr>
          <w:sz w:val="20"/>
          <w:szCs w:val="20"/>
          <w:color w:val="auto"/>
        </w:rPr>
      </w:pPr>
      <w:r>
        <w:rPr>
          <w:rFonts w:ascii="Arial" w:cs="Arial" w:eastAsia="Arial" w:hAnsi="Arial"/>
          <w:sz w:val="20"/>
          <w:szCs w:val="20"/>
          <w:color w:val="auto"/>
        </w:rPr>
        <w:t>Signed:________________________</w:t>
      </w:r>
    </w:p>
    <w:p>
      <w:pPr>
        <w:spacing w:after="0" w:line="35"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«EE»</w:t>
      </w:r>
    </w:p>
    <w:p>
      <w:pPr>
        <w:spacing w:after="0" w:line="235"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Date: __________________________</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u w:val="single" w:color="auto"/>
          <w:color w:val="auto"/>
        </w:rPr>
        <w:t>SCHEDULE A</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Performance Goals</w:t>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PSU Performance Period: January 1, 20__ – December 31, 20__</w:t>
      </w:r>
    </w:p>
    <w:p>
      <w:pPr>
        <w:spacing w:after="0" w:line="235" w:lineRule="exact"/>
        <w:rPr>
          <w:sz w:val="20"/>
          <w:szCs w:val="20"/>
          <w:color w:val="auto"/>
        </w:rPr>
      </w:pPr>
    </w:p>
    <w:p>
      <w:pPr>
        <w:jc w:val="both"/>
        <w:ind w:right="100" w:firstLine="4"/>
        <w:spacing w:after="0" w:line="250" w:lineRule="auto"/>
        <w:tabs>
          <w:tab w:leader="none" w:pos="430"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Overview</w:t>
      </w:r>
      <w:r>
        <w:rPr>
          <w:rFonts w:ascii="Arial" w:cs="Arial" w:eastAsia="Arial" w:hAnsi="Arial"/>
          <w:sz w:val="21"/>
          <w:szCs w:val="21"/>
          <w:color w:val="auto"/>
        </w:rPr>
        <w:t>. The actual number of Common Shares delivered to the Participant in settlement of the PSUs earned under the Long-Term Incentive Award Agreement between the Company and Participant (the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will be determined by the Committee in its reasonable discretion following the end of the PSU Performance Period based on actual performance results against the performance goals described below, subject to Section 4 of the Agreement. Any PSUs not earned will be canceled and forfeited. Capitalized terms used in this Statement of Performance Goals that are not specifically defined in this Statement of Performance Goals have the meanings assigned to them in the Agreement.</w:t>
      </w:r>
    </w:p>
    <w:p>
      <w:pPr>
        <w:spacing w:after="0" w:line="222" w:lineRule="exact"/>
        <w:rPr>
          <w:rFonts w:ascii="Arial" w:cs="Arial" w:eastAsia="Arial" w:hAnsi="Arial"/>
          <w:sz w:val="21"/>
          <w:szCs w:val="21"/>
          <w:color w:val="auto"/>
        </w:rPr>
      </w:pPr>
    </w:p>
    <w:p>
      <w:pPr>
        <w:jc w:val="both"/>
        <w:ind w:right="100" w:firstLine="4"/>
        <w:spacing w:after="0" w:line="270" w:lineRule="auto"/>
        <w:tabs>
          <w:tab w:leader="none" w:pos="365"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Metrics</w:t>
      </w:r>
      <w:r>
        <w:rPr>
          <w:rFonts w:ascii="Arial" w:cs="Arial" w:eastAsia="Arial" w:hAnsi="Arial"/>
          <w:sz w:val="20"/>
          <w:szCs w:val="20"/>
          <w:color w:val="auto"/>
        </w:rPr>
        <w:t>. 50% of the PSU Award will be earned based upon achievement of Company core net income compound annual growth rate (CAGR) over the three year PSU Performance Period (“Core Net Income”), and 50% of the PSU Award will be earned based upon achievement of Company weighted average return on invested capital over the three year PSU Performance Period with the lowest year return on invested capital weighted 20% and the remaining years each weighted 40% (“</w:t>
      </w:r>
      <w:r>
        <w:rPr>
          <w:rFonts w:ascii="Arial" w:cs="Arial" w:eastAsia="Arial" w:hAnsi="Arial"/>
          <w:sz w:val="20"/>
          <w:szCs w:val="20"/>
          <w:b w:val="1"/>
          <w:bCs w:val="1"/>
          <w:u w:val="single" w:color="auto"/>
          <w:color w:val="auto"/>
        </w:rPr>
        <w:t>ROIC</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right="100" w:firstLine="4"/>
        <w:spacing w:after="0" w:line="269" w:lineRule="auto"/>
        <w:tabs>
          <w:tab w:leader="none" w:pos="456"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Performance Matrix</w:t>
      </w:r>
      <w:r>
        <w:rPr>
          <w:rFonts w:ascii="Arial" w:cs="Arial" w:eastAsia="Arial" w:hAnsi="Arial"/>
          <w:sz w:val="21"/>
          <w:szCs w:val="21"/>
          <w:color w:val="auto"/>
        </w:rPr>
        <w:t>. From 0% to 200% of the PSUs will be earned based on achievement of the Core Net Income and ROIC performance goals during the PSU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7259955" cy="917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7259955" cy="917575"/>
                    </a:xfrm>
                    <a:prstGeom prst="rect">
                      <a:avLst/>
                    </a:prstGeom>
                    <a:noFill/>
                  </pic:spPr>
                </pic:pic>
              </a:graphicData>
            </a:graphic>
          </wp:anchor>
        </w:drawing>
      </w:r>
    </w:p>
    <w:p>
      <w:pPr>
        <w:spacing w:after="0" w:line="336"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PSU Award – Performance Goals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60" w:type="dxa"/>
            <w:vAlign w:val="bottom"/>
            <w:tcBorders>
              <w:top w:val="single" w:sz="8" w:color="00000A"/>
              <w:right w:val="single" w:sz="8" w:color="00000A"/>
            </w:tcBorders>
          </w:tcPr>
          <w:p>
            <w:pPr>
              <w:ind w:left="1000"/>
              <w:spacing w:after="0"/>
              <w:rPr>
                <w:sz w:val="20"/>
                <w:szCs w:val="20"/>
                <w:color w:val="auto"/>
              </w:rPr>
            </w:pPr>
            <w:r>
              <w:rPr>
                <w:rFonts w:ascii="Arial" w:cs="Arial" w:eastAsia="Arial" w:hAnsi="Arial"/>
                <w:sz w:val="19"/>
                <w:szCs w:val="19"/>
                <w:b w:val="1"/>
                <w:bCs w:val="1"/>
                <w:color w:val="auto"/>
              </w:rPr>
              <w:t>Performance Level</w:t>
            </w:r>
          </w:p>
        </w:tc>
        <w:tc>
          <w:tcPr>
            <w:tcW w:w="2640" w:type="dxa"/>
            <w:vAlign w:val="bottom"/>
            <w:tcBorders>
              <w:top w:val="single" w:sz="8" w:color="00000A"/>
              <w:right w:val="single" w:sz="8" w:color="00000A"/>
            </w:tcBorders>
            <w:gridSpan w:val="3"/>
          </w:tcPr>
          <w:p>
            <w:pPr>
              <w:jc w:val="right"/>
              <w:ind w:right="825"/>
              <w:spacing w:after="0"/>
              <w:rPr>
                <w:sz w:val="20"/>
                <w:szCs w:val="20"/>
                <w:color w:val="auto"/>
              </w:rPr>
            </w:pPr>
            <w:r>
              <w:rPr>
                <w:rFonts w:ascii="Arial" w:cs="Arial" w:eastAsia="Arial" w:hAnsi="Arial"/>
                <w:sz w:val="19"/>
                <w:szCs w:val="19"/>
                <w:b w:val="1"/>
                <w:bCs w:val="1"/>
                <w:color w:val="auto"/>
              </w:rPr>
              <w:t>Threshold</w:t>
            </w:r>
          </w:p>
        </w:tc>
        <w:tc>
          <w:tcPr>
            <w:tcW w:w="2620" w:type="dxa"/>
            <w:vAlign w:val="bottom"/>
            <w:tcBorders>
              <w:top w:val="single" w:sz="8" w:color="00000A"/>
              <w:right w:val="single" w:sz="8" w:color="00000A"/>
            </w:tcBorders>
            <w:gridSpan w:val="3"/>
          </w:tcPr>
          <w:p>
            <w:pPr>
              <w:ind w:left="1040"/>
              <w:spacing w:after="0"/>
              <w:rPr>
                <w:sz w:val="20"/>
                <w:szCs w:val="20"/>
                <w:color w:val="auto"/>
              </w:rPr>
            </w:pPr>
            <w:r>
              <w:rPr>
                <w:rFonts w:ascii="Arial" w:cs="Arial" w:eastAsia="Arial" w:hAnsi="Arial"/>
                <w:sz w:val="19"/>
                <w:szCs w:val="19"/>
                <w:b w:val="1"/>
                <w:bCs w:val="1"/>
                <w:color w:val="auto"/>
              </w:rPr>
              <w:t>Target</w:t>
            </w:r>
          </w:p>
        </w:tc>
        <w:tc>
          <w:tcPr>
            <w:tcW w:w="2620" w:type="dxa"/>
            <w:vAlign w:val="bottom"/>
            <w:tcBorders>
              <w:top w:val="single" w:sz="8" w:color="00000A"/>
            </w:tcBorders>
            <w:gridSpan w:val="3"/>
          </w:tcPr>
          <w:p>
            <w:pPr>
              <w:jc w:val="right"/>
              <w:ind w:right="805"/>
              <w:spacing w:after="0"/>
              <w:rPr>
                <w:sz w:val="20"/>
                <w:szCs w:val="20"/>
                <w:color w:val="auto"/>
              </w:rPr>
            </w:pPr>
            <w:r>
              <w:rPr>
                <w:rFonts w:ascii="Arial" w:cs="Arial" w:eastAsia="Arial" w:hAnsi="Arial"/>
                <w:sz w:val="19"/>
                <w:szCs w:val="19"/>
                <w:b w:val="1"/>
                <w:bCs w:val="1"/>
                <w:color w:val="auto"/>
              </w:rPr>
              <w:t>Maximum</w:t>
            </w:r>
          </w:p>
        </w:tc>
      </w:tr>
      <w:tr>
        <w:trPr>
          <w:trHeight w:val="22"/>
        </w:trPr>
        <w:tc>
          <w:tcPr>
            <w:tcW w:w="3560" w:type="dxa"/>
            <w:vAlign w:val="bottom"/>
            <w:tcBorders>
              <w:bottom w:val="single" w:sz="8" w:color="00000A"/>
              <w:right w:val="single" w:sz="8" w:color="00000A"/>
            </w:tcBorders>
          </w:tcPr>
          <w:p>
            <w:pPr>
              <w:spacing w:after="0" w:line="20" w:lineRule="exact"/>
              <w:rPr>
                <w:sz w:val="1"/>
                <w:szCs w:val="1"/>
                <w:color w:val="auto"/>
              </w:rPr>
            </w:pPr>
          </w:p>
        </w:tc>
        <w:tc>
          <w:tcPr>
            <w:tcW w:w="112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32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32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320" w:type="dxa"/>
            <w:vAlign w:val="bottom"/>
            <w:tcBorders>
              <w:bottom w:val="single" w:sz="8" w:color="00000A"/>
            </w:tcBorders>
          </w:tcPr>
          <w:p>
            <w:pPr>
              <w:spacing w:after="0" w:line="20" w:lineRule="exact"/>
              <w:rPr>
                <w:sz w:val="1"/>
                <w:szCs w:val="1"/>
                <w:color w:val="auto"/>
              </w:rPr>
            </w:pPr>
          </w:p>
        </w:tc>
      </w:tr>
      <w:tr>
        <w:trPr>
          <w:trHeight w:val="244"/>
        </w:trPr>
        <w:tc>
          <w:tcPr>
            <w:tcW w:w="3560" w:type="dxa"/>
            <w:vAlign w:val="bottom"/>
            <w:tcBorders>
              <w:right w:val="single" w:sz="8" w:color="00000A"/>
            </w:tcBorders>
          </w:tcPr>
          <w:p>
            <w:pPr>
              <w:ind w:left="40"/>
              <w:spacing w:after="0"/>
              <w:rPr>
                <w:sz w:val="20"/>
                <w:szCs w:val="20"/>
                <w:color w:val="auto"/>
              </w:rPr>
            </w:pPr>
            <w:r>
              <w:rPr>
                <w:rFonts w:ascii="Arial" w:cs="Arial" w:eastAsia="Arial" w:hAnsi="Arial"/>
                <w:sz w:val="19"/>
                <w:szCs w:val="19"/>
                <w:b w:val="1"/>
                <w:bCs w:val="1"/>
                <w:color w:val="auto"/>
              </w:rPr>
              <w:t>Percentage of PSUs Earned</w:t>
            </w:r>
          </w:p>
        </w:tc>
        <w:tc>
          <w:tcPr>
            <w:tcW w:w="2640" w:type="dxa"/>
            <w:vAlign w:val="bottom"/>
            <w:tcBorders>
              <w:right w:val="single" w:sz="8" w:color="00000A"/>
            </w:tcBorders>
            <w:gridSpan w:val="3"/>
          </w:tcPr>
          <w:p>
            <w:pPr>
              <w:ind w:left="1140"/>
              <w:spacing w:after="0"/>
              <w:rPr>
                <w:sz w:val="20"/>
                <w:szCs w:val="20"/>
                <w:color w:val="auto"/>
              </w:rPr>
            </w:pPr>
            <w:r>
              <w:rPr>
                <w:rFonts w:ascii="Arial" w:cs="Arial" w:eastAsia="Arial" w:hAnsi="Arial"/>
                <w:sz w:val="19"/>
                <w:szCs w:val="19"/>
                <w:color w:val="auto"/>
              </w:rPr>
              <w:t>50%</w:t>
            </w:r>
          </w:p>
        </w:tc>
        <w:tc>
          <w:tcPr>
            <w:tcW w:w="2620" w:type="dxa"/>
            <w:vAlign w:val="bottom"/>
            <w:tcBorders>
              <w:right w:val="single" w:sz="8" w:color="00000A"/>
            </w:tcBorders>
            <w:gridSpan w:val="3"/>
          </w:tcPr>
          <w:p>
            <w:pPr>
              <w:ind w:left="1080"/>
              <w:spacing w:after="0"/>
              <w:rPr>
                <w:sz w:val="20"/>
                <w:szCs w:val="20"/>
                <w:color w:val="auto"/>
              </w:rPr>
            </w:pPr>
            <w:r>
              <w:rPr>
                <w:rFonts w:ascii="Arial" w:cs="Arial" w:eastAsia="Arial" w:hAnsi="Arial"/>
                <w:sz w:val="19"/>
                <w:szCs w:val="19"/>
                <w:color w:val="auto"/>
              </w:rPr>
              <w:t>100%</w:t>
            </w:r>
          </w:p>
        </w:tc>
        <w:tc>
          <w:tcPr>
            <w:tcW w:w="2620" w:type="dxa"/>
            <w:vAlign w:val="bottom"/>
            <w:gridSpan w:val="3"/>
          </w:tcPr>
          <w:p>
            <w:pPr>
              <w:ind w:left="1080"/>
              <w:spacing w:after="0"/>
              <w:rPr>
                <w:sz w:val="20"/>
                <w:szCs w:val="20"/>
                <w:color w:val="auto"/>
              </w:rPr>
            </w:pPr>
            <w:r>
              <w:rPr>
                <w:rFonts w:ascii="Arial" w:cs="Arial" w:eastAsia="Arial" w:hAnsi="Arial"/>
                <w:sz w:val="19"/>
                <w:szCs w:val="19"/>
                <w:color w:val="auto"/>
              </w:rPr>
              <w:t>200%</w:t>
            </w:r>
          </w:p>
        </w:tc>
      </w:tr>
      <w:tr>
        <w:trPr>
          <w:trHeight w:val="22"/>
        </w:trPr>
        <w:tc>
          <w:tcPr>
            <w:tcW w:w="3560" w:type="dxa"/>
            <w:vAlign w:val="bottom"/>
            <w:tcBorders>
              <w:bottom w:val="single" w:sz="8" w:color="00000A"/>
              <w:right w:val="single" w:sz="8" w:color="00000A"/>
            </w:tcBorders>
          </w:tcPr>
          <w:p>
            <w:pPr>
              <w:spacing w:after="0" w:line="20" w:lineRule="exact"/>
              <w:rPr>
                <w:sz w:val="1"/>
                <w:szCs w:val="1"/>
                <w:color w:val="auto"/>
              </w:rPr>
            </w:pPr>
          </w:p>
        </w:tc>
        <w:tc>
          <w:tcPr>
            <w:tcW w:w="112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32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32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tcBorders>
          </w:tcPr>
          <w:p>
            <w:pPr>
              <w:spacing w:after="0" w:line="20" w:lineRule="exact"/>
              <w:rPr>
                <w:sz w:val="1"/>
                <w:szCs w:val="1"/>
                <w:color w:val="auto"/>
              </w:rPr>
            </w:pPr>
          </w:p>
        </w:tc>
        <w:tc>
          <w:tcPr>
            <w:tcW w:w="1320" w:type="dxa"/>
            <w:vAlign w:val="bottom"/>
            <w:tcBorders>
              <w:bottom w:val="single" w:sz="8" w:color="00000A"/>
            </w:tcBorders>
          </w:tcPr>
          <w:p>
            <w:pPr>
              <w:spacing w:after="0" w:line="20" w:lineRule="exact"/>
              <w:rPr>
                <w:sz w:val="1"/>
                <w:szCs w:val="1"/>
                <w:color w:val="auto"/>
              </w:rPr>
            </w:pPr>
          </w:p>
        </w:tc>
      </w:tr>
      <w:tr>
        <w:trPr>
          <w:trHeight w:val="227"/>
        </w:trPr>
        <w:tc>
          <w:tcPr>
            <w:tcW w:w="3560" w:type="dxa"/>
            <w:vAlign w:val="bottom"/>
            <w:tcBorders>
              <w:right w:val="single" w:sz="8" w:color="00000A"/>
            </w:tcBorders>
          </w:tcPr>
          <w:p>
            <w:pPr>
              <w:ind w:left="40"/>
              <w:spacing w:after="0"/>
              <w:rPr>
                <w:sz w:val="20"/>
                <w:szCs w:val="20"/>
                <w:color w:val="auto"/>
              </w:rPr>
            </w:pPr>
            <w:r>
              <w:rPr>
                <w:rFonts w:ascii="Arial" w:cs="Arial" w:eastAsia="Arial" w:hAnsi="Arial"/>
                <w:sz w:val="19"/>
                <w:szCs w:val="19"/>
                <w:b w:val="1"/>
                <w:bCs w:val="1"/>
                <w:color w:val="auto"/>
              </w:rPr>
              <w:t>Core Net Income CAGR</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00" w:type="dxa"/>
            <w:vAlign w:val="bottom"/>
            <w:shd w:val="clear" w:color="auto" w:fill="FFFF00"/>
          </w:tcPr>
          <w:p>
            <w:pPr>
              <w:spacing w:after="0"/>
              <w:rPr>
                <w:sz w:val="20"/>
                <w:szCs w:val="20"/>
                <w:color w:val="auto"/>
              </w:rPr>
            </w:pPr>
            <w:r>
              <w:rPr>
                <w:rFonts w:ascii="Arial" w:cs="Arial" w:eastAsia="Arial" w:hAnsi="Arial"/>
                <w:sz w:val="19"/>
                <w:szCs w:val="19"/>
                <w:b w:val="1"/>
                <w:bCs w:val="1"/>
                <w:color w:val="auto"/>
                <w:highlight w:val="yellow"/>
                <w:w w:val="84"/>
              </w:rPr>
              <w:t>__</w:t>
            </w:r>
          </w:p>
        </w:tc>
        <w:tc>
          <w:tcPr>
            <w:tcW w:w="1320" w:type="dxa"/>
            <w:vAlign w:val="bottom"/>
            <w:tcBorders>
              <w:right w:val="single" w:sz="8" w:color="00000A"/>
            </w:tcBorders>
          </w:tcPr>
          <w:p>
            <w:pPr>
              <w:jc w:val="right"/>
              <w:ind w:right="985"/>
              <w:spacing w:after="0"/>
              <w:rPr>
                <w:sz w:val="20"/>
                <w:szCs w:val="20"/>
                <w:color w:val="auto"/>
              </w:rPr>
            </w:pPr>
            <w:r>
              <w:rPr>
                <w:rFonts w:ascii="Arial" w:cs="Arial" w:eastAsia="Arial" w:hAnsi="Arial"/>
                <w:sz w:val="19"/>
                <w:szCs w:val="19"/>
                <w:b w:val="1"/>
                <w:bCs w:val="1"/>
                <w:color w:val="auto"/>
                <w:w w:val="94"/>
              </w:rPr>
              <w:t>]%</w:t>
            </w:r>
          </w:p>
        </w:tc>
        <w:tc>
          <w:tcPr>
            <w:tcW w:w="1100" w:type="dxa"/>
            <w:vAlign w:val="bottom"/>
          </w:tcPr>
          <w:p>
            <w:pPr>
              <w:ind w:left="1040"/>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FFFF00"/>
          </w:tcPr>
          <w:p>
            <w:pPr>
              <w:spacing w:after="0"/>
              <w:rPr>
                <w:sz w:val="20"/>
                <w:szCs w:val="20"/>
                <w:color w:val="auto"/>
              </w:rPr>
            </w:pPr>
            <w:r>
              <w:rPr>
                <w:rFonts w:ascii="Arial" w:cs="Arial" w:eastAsia="Arial" w:hAnsi="Arial"/>
                <w:sz w:val="19"/>
                <w:szCs w:val="19"/>
                <w:b w:val="1"/>
                <w:bCs w:val="1"/>
                <w:color w:val="auto"/>
                <w:highlight w:val="yellow"/>
                <w:w w:val="84"/>
              </w:rPr>
              <w:t>__</w:t>
            </w:r>
          </w:p>
        </w:tc>
        <w:tc>
          <w:tcPr>
            <w:tcW w:w="1320" w:type="dxa"/>
            <w:vAlign w:val="bottom"/>
            <w:tcBorders>
              <w:right w:val="single" w:sz="8" w:color="00000A"/>
            </w:tcBorders>
          </w:tcPr>
          <w:p>
            <w:pPr>
              <w:jc w:val="right"/>
              <w:ind w:right="965"/>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00" w:type="dxa"/>
            <w:vAlign w:val="bottom"/>
            <w:shd w:val="clear" w:color="auto" w:fill="FFFF00"/>
          </w:tcPr>
          <w:p>
            <w:pPr>
              <w:ind w:left="20"/>
              <w:spacing w:after="0"/>
              <w:rPr>
                <w:sz w:val="20"/>
                <w:szCs w:val="20"/>
                <w:color w:val="auto"/>
              </w:rPr>
            </w:pPr>
            <w:r>
              <w:rPr>
                <w:rFonts w:ascii="Arial" w:cs="Arial" w:eastAsia="Arial" w:hAnsi="Arial"/>
                <w:sz w:val="19"/>
                <w:szCs w:val="19"/>
                <w:b w:val="1"/>
                <w:bCs w:val="1"/>
                <w:color w:val="auto"/>
                <w:highlight w:val="yellow"/>
                <w:w w:val="75"/>
              </w:rPr>
              <w:t>__</w:t>
            </w:r>
          </w:p>
        </w:tc>
        <w:tc>
          <w:tcPr>
            <w:tcW w:w="1320" w:type="dxa"/>
            <w:vAlign w:val="bottom"/>
          </w:tcPr>
          <w:p>
            <w:pPr>
              <w:jc w:val="right"/>
              <w:ind w:right="965"/>
              <w:spacing w:after="0"/>
              <w:rPr>
                <w:sz w:val="20"/>
                <w:szCs w:val="20"/>
                <w:color w:val="auto"/>
              </w:rPr>
            </w:pPr>
            <w:r>
              <w:rPr>
                <w:rFonts w:ascii="Arial" w:cs="Arial" w:eastAsia="Arial" w:hAnsi="Arial"/>
                <w:sz w:val="19"/>
                <w:szCs w:val="19"/>
                <w:b w:val="1"/>
                <w:bCs w:val="1"/>
                <w:color w:val="auto"/>
              </w:rPr>
              <w:t>]%</w:t>
            </w:r>
          </w:p>
        </w:tc>
      </w:tr>
      <w:tr>
        <w:trPr>
          <w:trHeight w:val="39"/>
        </w:trPr>
        <w:tc>
          <w:tcPr>
            <w:tcW w:w="3560" w:type="dxa"/>
            <w:vAlign w:val="bottom"/>
            <w:tcBorders>
              <w:bottom w:val="single" w:sz="8" w:color="00000A"/>
              <w:right w:val="single" w:sz="8" w:color="00000A"/>
            </w:tcBorders>
          </w:tcPr>
          <w:p>
            <w:pPr>
              <w:spacing w:after="0"/>
              <w:rPr>
                <w:sz w:val="3"/>
                <w:szCs w:val="3"/>
                <w:color w:val="auto"/>
              </w:rPr>
            </w:pPr>
          </w:p>
        </w:tc>
        <w:tc>
          <w:tcPr>
            <w:tcW w:w="112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10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10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1320" w:type="dxa"/>
            <w:vAlign w:val="bottom"/>
            <w:tcBorders>
              <w:bottom w:val="single" w:sz="8" w:color="00000A"/>
            </w:tcBorders>
          </w:tcPr>
          <w:p>
            <w:pPr>
              <w:spacing w:after="0"/>
              <w:rPr>
                <w:sz w:val="3"/>
                <w:szCs w:val="3"/>
                <w:color w:val="auto"/>
              </w:rPr>
            </w:pPr>
          </w:p>
        </w:tc>
      </w:tr>
      <w:tr>
        <w:trPr>
          <w:trHeight w:val="227"/>
        </w:trPr>
        <w:tc>
          <w:tcPr>
            <w:tcW w:w="3560" w:type="dxa"/>
            <w:vAlign w:val="bottom"/>
            <w:tcBorders>
              <w:right w:val="single" w:sz="8" w:color="00000A"/>
            </w:tcBorders>
          </w:tcPr>
          <w:p>
            <w:pPr>
              <w:ind w:left="40"/>
              <w:spacing w:after="0"/>
              <w:rPr>
                <w:sz w:val="20"/>
                <w:szCs w:val="20"/>
                <w:color w:val="auto"/>
              </w:rPr>
            </w:pPr>
            <w:r>
              <w:rPr>
                <w:rFonts w:ascii="Arial" w:cs="Arial" w:eastAsia="Arial" w:hAnsi="Arial"/>
                <w:sz w:val="19"/>
                <w:szCs w:val="19"/>
                <w:b w:val="1"/>
                <w:bCs w:val="1"/>
                <w:color w:val="auto"/>
              </w:rPr>
              <w:t>ROIC Weighted Average</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00" w:type="dxa"/>
            <w:vAlign w:val="bottom"/>
            <w:shd w:val="clear" w:color="auto" w:fill="FFFF00"/>
          </w:tcPr>
          <w:p>
            <w:pPr>
              <w:spacing w:after="0"/>
              <w:rPr>
                <w:sz w:val="20"/>
                <w:szCs w:val="20"/>
                <w:color w:val="auto"/>
              </w:rPr>
            </w:pPr>
            <w:r>
              <w:rPr>
                <w:rFonts w:ascii="Arial" w:cs="Arial" w:eastAsia="Arial" w:hAnsi="Arial"/>
                <w:sz w:val="19"/>
                <w:szCs w:val="19"/>
                <w:b w:val="1"/>
                <w:bCs w:val="1"/>
                <w:color w:val="auto"/>
                <w:highlight w:val="yellow"/>
                <w:w w:val="84"/>
              </w:rPr>
              <w:t>__</w:t>
            </w:r>
          </w:p>
        </w:tc>
        <w:tc>
          <w:tcPr>
            <w:tcW w:w="1320" w:type="dxa"/>
            <w:vAlign w:val="bottom"/>
            <w:tcBorders>
              <w:right w:val="single" w:sz="8" w:color="00000A"/>
            </w:tcBorders>
          </w:tcPr>
          <w:p>
            <w:pPr>
              <w:jc w:val="right"/>
              <w:ind w:right="985"/>
              <w:spacing w:after="0"/>
              <w:rPr>
                <w:sz w:val="20"/>
                <w:szCs w:val="20"/>
                <w:color w:val="auto"/>
              </w:rPr>
            </w:pPr>
            <w:r>
              <w:rPr>
                <w:rFonts w:ascii="Arial" w:cs="Arial" w:eastAsia="Arial" w:hAnsi="Arial"/>
                <w:sz w:val="19"/>
                <w:szCs w:val="19"/>
                <w:b w:val="1"/>
                <w:bCs w:val="1"/>
                <w:color w:val="auto"/>
                <w:w w:val="94"/>
              </w:rPr>
              <w:t>]%</w:t>
            </w:r>
          </w:p>
        </w:tc>
        <w:tc>
          <w:tcPr>
            <w:tcW w:w="1100" w:type="dxa"/>
            <w:vAlign w:val="bottom"/>
          </w:tcPr>
          <w:p>
            <w:pPr>
              <w:ind w:left="1040"/>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FFFF00"/>
          </w:tcPr>
          <w:p>
            <w:pPr>
              <w:spacing w:after="0"/>
              <w:rPr>
                <w:sz w:val="20"/>
                <w:szCs w:val="20"/>
                <w:color w:val="auto"/>
              </w:rPr>
            </w:pPr>
            <w:r>
              <w:rPr>
                <w:rFonts w:ascii="Arial" w:cs="Arial" w:eastAsia="Arial" w:hAnsi="Arial"/>
                <w:sz w:val="19"/>
                <w:szCs w:val="19"/>
                <w:b w:val="1"/>
                <w:bCs w:val="1"/>
                <w:color w:val="auto"/>
                <w:highlight w:val="yellow"/>
                <w:w w:val="84"/>
              </w:rPr>
              <w:t>__</w:t>
            </w:r>
          </w:p>
        </w:tc>
        <w:tc>
          <w:tcPr>
            <w:tcW w:w="1320" w:type="dxa"/>
            <w:vAlign w:val="bottom"/>
            <w:tcBorders>
              <w:right w:val="single" w:sz="8" w:color="00000A"/>
            </w:tcBorders>
          </w:tcPr>
          <w:p>
            <w:pPr>
              <w:jc w:val="right"/>
              <w:ind w:right="965"/>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00" w:type="dxa"/>
            <w:vAlign w:val="bottom"/>
            <w:shd w:val="clear" w:color="auto" w:fill="FFFF00"/>
          </w:tcPr>
          <w:p>
            <w:pPr>
              <w:ind w:left="20"/>
              <w:spacing w:after="0"/>
              <w:rPr>
                <w:sz w:val="20"/>
                <w:szCs w:val="20"/>
                <w:color w:val="auto"/>
              </w:rPr>
            </w:pPr>
            <w:r>
              <w:rPr>
                <w:rFonts w:ascii="Arial" w:cs="Arial" w:eastAsia="Arial" w:hAnsi="Arial"/>
                <w:sz w:val="19"/>
                <w:szCs w:val="19"/>
                <w:b w:val="1"/>
                <w:bCs w:val="1"/>
                <w:color w:val="auto"/>
                <w:highlight w:val="yellow"/>
                <w:w w:val="75"/>
              </w:rPr>
              <w:t>__</w:t>
            </w:r>
          </w:p>
        </w:tc>
        <w:tc>
          <w:tcPr>
            <w:tcW w:w="1320" w:type="dxa"/>
            <w:vAlign w:val="bottom"/>
          </w:tcPr>
          <w:p>
            <w:pPr>
              <w:jc w:val="right"/>
              <w:ind w:right="965"/>
              <w:spacing w:after="0"/>
              <w:rPr>
                <w:sz w:val="20"/>
                <w:szCs w:val="20"/>
                <w:color w:val="auto"/>
              </w:rPr>
            </w:pPr>
            <w:r>
              <w:rPr>
                <w:rFonts w:ascii="Arial" w:cs="Arial" w:eastAsia="Arial" w:hAnsi="Arial"/>
                <w:sz w:val="19"/>
                <w:szCs w:val="19"/>
                <w:b w:val="1"/>
                <w:bCs w:val="1"/>
                <w:color w:val="auto"/>
              </w:rPr>
              <w:t>]%</w:t>
            </w:r>
          </w:p>
        </w:tc>
      </w:tr>
      <w:tr>
        <w:trPr>
          <w:trHeight w:val="39"/>
        </w:trPr>
        <w:tc>
          <w:tcPr>
            <w:tcW w:w="3560" w:type="dxa"/>
            <w:vAlign w:val="bottom"/>
            <w:tcBorders>
              <w:bottom w:val="single" w:sz="8" w:color="00000A"/>
              <w:right w:val="single" w:sz="8" w:color="00000A"/>
            </w:tcBorders>
          </w:tcPr>
          <w:p>
            <w:pPr>
              <w:spacing w:after="0"/>
              <w:rPr>
                <w:sz w:val="3"/>
                <w:szCs w:val="3"/>
                <w:color w:val="auto"/>
              </w:rPr>
            </w:pPr>
          </w:p>
        </w:tc>
        <w:tc>
          <w:tcPr>
            <w:tcW w:w="112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10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1320" w:type="dxa"/>
            <w:vAlign w:val="bottom"/>
            <w:tcBorders>
              <w:bottom w:val="single" w:sz="8" w:color="00000A"/>
              <w:right w:val="single" w:sz="8" w:color="00000A"/>
            </w:tcBorders>
          </w:tcPr>
          <w:p>
            <w:pPr>
              <w:spacing w:after="0"/>
              <w:rPr>
                <w:sz w:val="3"/>
                <w:szCs w:val="3"/>
                <w:color w:val="auto"/>
              </w:rPr>
            </w:pPr>
          </w:p>
        </w:tc>
        <w:tc>
          <w:tcPr>
            <w:tcW w:w="1100" w:type="dxa"/>
            <w:vAlign w:val="bottom"/>
            <w:tcBorders>
              <w:bottom w:val="single" w:sz="8" w:color="00000A"/>
            </w:tcBorders>
          </w:tcPr>
          <w:p>
            <w:pPr>
              <w:spacing w:after="0"/>
              <w:rPr>
                <w:sz w:val="3"/>
                <w:szCs w:val="3"/>
                <w:color w:val="auto"/>
              </w:rPr>
            </w:pPr>
          </w:p>
        </w:tc>
        <w:tc>
          <w:tcPr>
            <w:tcW w:w="200" w:type="dxa"/>
            <w:vAlign w:val="bottom"/>
            <w:tcBorders>
              <w:bottom w:val="single" w:sz="8" w:color="00000A"/>
            </w:tcBorders>
          </w:tcPr>
          <w:p>
            <w:pPr>
              <w:spacing w:after="0"/>
              <w:rPr>
                <w:sz w:val="3"/>
                <w:szCs w:val="3"/>
                <w:color w:val="auto"/>
              </w:rPr>
            </w:pPr>
          </w:p>
        </w:tc>
        <w:tc>
          <w:tcPr>
            <w:tcW w:w="1320" w:type="dxa"/>
            <w:vAlign w:val="bottom"/>
            <w:tcBorders>
              <w:bottom w:val="single" w:sz="8" w:color="00000A"/>
            </w:tcBorders>
          </w:tcPr>
          <w:p>
            <w:pPr>
              <w:spacing w:after="0"/>
              <w:rPr>
                <w:sz w:val="3"/>
                <w:szCs w:val="3"/>
                <w:color w:val="auto"/>
              </w:rPr>
            </w:pPr>
          </w:p>
        </w:tc>
      </w:tr>
    </w:tbl>
    <w:p>
      <w:pPr>
        <w:spacing w:after="0" w:line="239" w:lineRule="exact"/>
        <w:rPr>
          <w:sz w:val="20"/>
          <w:szCs w:val="20"/>
          <w:color w:val="auto"/>
        </w:rPr>
      </w:pPr>
    </w:p>
    <w:p>
      <w:pPr>
        <w:jc w:val="both"/>
        <w:ind w:right="100"/>
        <w:spacing w:after="0" w:line="289" w:lineRule="auto"/>
        <w:rPr>
          <w:sz w:val="20"/>
          <w:szCs w:val="20"/>
          <w:color w:val="auto"/>
        </w:rPr>
      </w:pPr>
      <w:r>
        <w:rPr>
          <w:rFonts w:ascii="Arial" w:cs="Arial" w:eastAsia="Arial" w:hAnsi="Arial"/>
          <w:sz w:val="19"/>
          <w:szCs w:val="19"/>
          <w:color w:val="auto"/>
        </w:rPr>
        <w:t>If Core Net Income or ROIC for the PSU Performance Period falls between two performance levels set forth in the performance matrix above, the number of PSUs earned with respect to such performance metric will be determined based on straight-line mathematical interpolation (rounded down to the nearest whole number of PSUs). If Core Net Income or ROIC for the PSU Performance Period falls below the “Threshold” level set forth in the performance matrix above, no PSUs shall become earned with respect to that metric.</w:t>
      </w:r>
    </w:p>
    <w:p>
      <w:pPr>
        <w:sectPr>
          <w:pgSz w:w="11900" w:h="16838" w:orient="portrait"/>
          <w:cols w:equalWidth="0" w:num="1">
            <w:col w:w="11520"/>
          </w:cols>
          <w:pgMar w:left="240" w:top="587" w:right="139" w:bottom="0" w:gutter="0" w:footer="0" w:header="0"/>
        </w:sectPr>
      </w:pPr>
    </w:p>
    <w:p>
      <w:pPr>
        <w:spacing w:after="0" w:line="396" w:lineRule="exact"/>
        <w:rPr>
          <w:sz w:val="20"/>
          <w:szCs w:val="20"/>
          <w:color w:val="auto"/>
        </w:rPr>
      </w:pPr>
    </w:p>
    <w:p>
      <w:pPr>
        <w:ind w:left="4060"/>
        <w:spacing w:after="0"/>
        <w:rPr>
          <w:sz w:val="20"/>
          <w:szCs w:val="20"/>
          <w:color w:val="auto"/>
        </w:rPr>
      </w:pPr>
      <w:r>
        <w:rPr>
          <w:rFonts w:ascii="Arial" w:cs="Arial" w:eastAsia="Arial" w:hAnsi="Arial"/>
          <w:sz w:val="11"/>
          <w:szCs w:val="11"/>
          <w:color w:val="auto"/>
        </w:rPr>
        <w:t xml:space="preserve">9 </w:t>
      </w:r>
      <w:r>
        <w:rPr>
          <w:rFonts w:ascii="Arial" w:cs="Arial" w:eastAsia="Arial" w:hAnsi="Arial"/>
          <w:sz w:val="15"/>
          <w:szCs w:val="15"/>
          <w:b w:val="1"/>
          <w:bCs w:val="1"/>
          <w:color w:val="auto"/>
        </w:rPr>
        <w:t>Approved Form December 12, 2019</w:t>
      </w:r>
    </w:p>
    <w:p>
      <w:pPr>
        <w:sectPr>
          <w:pgSz w:w="11900" w:h="16838" w:orient="portrait"/>
          <w:cols w:equalWidth="0" w:num="1">
            <w:col w:w="11520"/>
          </w:cols>
          <w:pgMar w:left="240" w:top="587" w:right="139" w:bottom="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21"/>
          <w:szCs w:val="21"/>
          <w:b w:val="1"/>
          <w:bCs w:val="1"/>
          <w:color w:val="auto"/>
        </w:rPr>
        <w:t>Exhibit 10.20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SHORT-TERM INCENTIVE PROGRAM</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 LENNOX INTERNATIONAL INC. AND ITS SUBSIDIARIES</w:t>
      </w:r>
    </w:p>
    <w:p>
      <w:pPr>
        <w:spacing w:after="0" w:line="6" w:lineRule="exact"/>
        <w:rPr>
          <w:sz w:val="20"/>
          <w:szCs w:val="20"/>
          <w:color w:val="auto"/>
        </w:rPr>
      </w:pPr>
    </w:p>
    <w:p>
      <w:pPr>
        <w:ind w:left="4580"/>
        <w:spacing w:after="0"/>
        <w:rPr>
          <w:sz w:val="20"/>
          <w:szCs w:val="20"/>
          <w:color w:val="auto"/>
        </w:rPr>
      </w:pPr>
      <w:r>
        <w:rPr>
          <w:rFonts w:ascii="Arial" w:cs="Arial" w:eastAsia="Arial" w:hAnsi="Arial"/>
          <w:sz w:val="21"/>
          <w:szCs w:val="21"/>
          <w:b w:val="1"/>
          <w:bCs w:val="1"/>
          <w:color w:val="auto"/>
        </w:rPr>
        <w:t>PLAN YEAR – ________</w:t>
      </w:r>
    </w:p>
    <w:p>
      <w:pPr>
        <w:spacing w:after="0" w:line="200" w:lineRule="exact"/>
        <w:rPr>
          <w:sz w:val="20"/>
          <w:szCs w:val="20"/>
          <w:color w:val="auto"/>
        </w:rPr>
      </w:pPr>
    </w:p>
    <w:p>
      <w:pPr>
        <w:spacing w:after="0" w:line="248" w:lineRule="exact"/>
        <w:rPr>
          <w:sz w:val="20"/>
          <w:szCs w:val="20"/>
          <w:color w:val="auto"/>
        </w:rPr>
      </w:pPr>
    </w:p>
    <w:p>
      <w:pPr>
        <w:ind w:left="320" w:hanging="316"/>
        <w:spacing w:after="0"/>
        <w:tabs>
          <w:tab w:leader="none" w:pos="32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Purpose and Structure</w:t>
      </w:r>
    </w:p>
    <w:p>
      <w:pPr>
        <w:spacing w:after="0" w:line="224"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The purpose of the Short-Term Incentive Program (“STI Program”) is to provide competitive Performance Cash compensation under the Incentive Plan to those executives and other selected key employees who contribute significantly to the growth and success of the Company and to strengthen the link between pay and performance.</w:t>
      </w:r>
    </w:p>
    <w:p>
      <w:pPr>
        <w:spacing w:after="0" w:line="186" w:lineRule="exact"/>
        <w:rPr>
          <w:sz w:val="20"/>
          <w:szCs w:val="20"/>
          <w:color w:val="auto"/>
        </w:rPr>
      </w:pPr>
    </w:p>
    <w:p>
      <w:pPr>
        <w:ind w:left="320" w:hanging="316"/>
        <w:spacing w:after="0"/>
        <w:tabs>
          <w:tab w:leader="none" w:pos="32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Definitions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“Company” means Lennox International Inc. and its subsidiaries.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“Committee” means the Compensation and Human Resources Committee of the Board of Directors of the Company.</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“Disability” means permanently disabled (completely unable to perform Participant’s duties as defined in the benefit plans of the Company).</w:t>
      </w:r>
    </w:p>
    <w:p>
      <w:pPr>
        <w:spacing w:after="0" w:line="247" w:lineRule="exact"/>
        <w:rPr>
          <w:sz w:val="20"/>
          <w:szCs w:val="20"/>
          <w:color w:val="auto"/>
        </w:rPr>
      </w:pPr>
    </w:p>
    <w:p>
      <w:pPr>
        <w:jc w:val="both"/>
        <w:ind w:left="400"/>
        <w:spacing w:after="0" w:line="251" w:lineRule="auto"/>
        <w:rPr>
          <w:sz w:val="20"/>
          <w:szCs w:val="20"/>
          <w:color w:val="auto"/>
        </w:rPr>
      </w:pPr>
      <w:r>
        <w:rPr>
          <w:rFonts w:ascii="Arial" w:cs="Arial" w:eastAsia="Arial" w:hAnsi="Arial"/>
          <w:sz w:val="19"/>
          <w:szCs w:val="19"/>
          <w:color w:val="auto"/>
        </w:rPr>
        <w:t>“Eligible Earnings” means the base salary paid during the Plan Year to a Participant during the period in which he or she was a Participant as shown in the payroll records of the Company. Eligible Earnings include the Participant’s regular compensation or rate of pay without regard to any commission, bonus, or other non-periodic compensation. Eligible Earnings exclude any income received while on short-term disability, unless otherwise provided in a Company policy or program.</w:t>
      </w:r>
    </w:p>
    <w:p>
      <w:pPr>
        <w:spacing w:after="0" w:line="193"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“Incentive Plan” means the Lennox International Inc. 2019 Equity and Incentive Compensation Plan, as amended, modified and supplemented from time to time, or any successor plan.</w:t>
      </w:r>
    </w:p>
    <w:p>
      <w:pPr>
        <w:spacing w:after="0" w:line="174"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“Participant” means any executive or key employee of the Company selected to receive a Payout Opportunity of Performance Cash under the STI Program.</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“Payout Opportunity” means the target incentive amount for each Participant, expressed as a percentage of Eligible Earnings.</w:t>
      </w:r>
    </w:p>
    <w:p>
      <w:pPr>
        <w:spacing w:after="0" w:line="224"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“Performance Cash” means any Cash Incentives Award granted pursuant to Section 8 of the Incentive Plan payable upon the attainment of the Performance Goals.</w:t>
      </w:r>
    </w:p>
    <w:p>
      <w:pPr>
        <w:spacing w:after="0" w:line="174"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“Performance Goals” means Company financial or operational goals established by the Committee for the Plan Year. Separate Performance Goals are established for each business unit, business segment and/or the Company.</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“Plan Year” means the fiscal year of the Company.</w:t>
      </w:r>
    </w:p>
    <w:p>
      <w:pPr>
        <w:spacing w:after="0" w:line="224"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“Retirement” means a Participant who terminates for any reason, other than for cause, and who (i) is at least 65 years of age, (ii) is at least 62 years of age and has achieved at least 10 years of service with the Company or (iii) the number of years of service Participant has achieved with the Company plus Participant’s age equals at least 80.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1" w:right="239" w:bottom="1440" w:gutter="0" w:footer="0" w:header="0"/>
        </w:sectPr>
      </w:pPr>
    </w:p>
    <w:bookmarkStart w:id="127" w:name="page128"/>
    <w:bookmarkEnd w:id="127"/>
    <w:p>
      <w:pPr>
        <w:ind w:left="400"/>
        <w:spacing w:after="0"/>
        <w:rPr>
          <w:sz w:val="20"/>
          <w:szCs w:val="20"/>
          <w:color w:val="auto"/>
        </w:rPr>
      </w:pPr>
      <w:r>
        <w:rPr>
          <w:rFonts w:ascii="Arial" w:cs="Arial" w:eastAsia="Arial" w:hAnsi="Arial"/>
          <w:sz w:val="19"/>
          <w:szCs w:val="19"/>
          <w:color w:val="auto"/>
        </w:rPr>
        <w:t>Other terms capitalized but not defined in this STI Program are used as defined in the Incentive Plan.</w:t>
      </w:r>
    </w:p>
    <w:p>
      <w:pPr>
        <w:spacing w:after="0" w:line="224" w:lineRule="exact"/>
        <w:rPr>
          <w:sz w:val="20"/>
          <w:szCs w:val="20"/>
          <w:color w:val="auto"/>
        </w:rPr>
      </w:pPr>
    </w:p>
    <w:p>
      <w:pPr>
        <w:ind w:left="320" w:hanging="316"/>
        <w:spacing w:after="0"/>
        <w:tabs>
          <w:tab w:leader="none" w:pos="32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Administration</w:t>
      </w:r>
    </w:p>
    <w:p>
      <w:pPr>
        <w:spacing w:after="0" w:line="224" w:lineRule="exact"/>
        <w:rPr>
          <w:sz w:val="20"/>
          <w:szCs w:val="20"/>
          <w:color w:val="auto"/>
        </w:rPr>
      </w:pPr>
    </w:p>
    <w:p>
      <w:pPr>
        <w:ind w:left="380"/>
        <w:spacing w:after="0" w:line="269" w:lineRule="auto"/>
        <w:rPr>
          <w:sz w:val="20"/>
          <w:szCs w:val="20"/>
          <w:color w:val="auto"/>
        </w:rPr>
      </w:pPr>
      <w:r>
        <w:rPr>
          <w:rFonts w:ascii="Arial" w:cs="Arial" w:eastAsia="Arial" w:hAnsi="Arial"/>
          <w:sz w:val="19"/>
          <w:szCs w:val="19"/>
          <w:color w:val="auto"/>
        </w:rPr>
        <w:t>The STI Program is administered by the Committee, which shall have the authority to amend, modify, suspend or terminate the STI Program at any time.</w:t>
      </w:r>
    </w:p>
    <w:p>
      <w:pPr>
        <w:spacing w:after="0" w:line="174" w:lineRule="exact"/>
        <w:rPr>
          <w:sz w:val="20"/>
          <w:szCs w:val="20"/>
          <w:color w:val="auto"/>
        </w:rPr>
      </w:pPr>
    </w:p>
    <w:p>
      <w:pPr>
        <w:ind w:left="320" w:hanging="316"/>
        <w:spacing w:after="0"/>
        <w:tabs>
          <w:tab w:leader="none" w:pos="32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Post-Employment Restrictions</w:t>
      </w:r>
    </w:p>
    <w:p>
      <w:pPr>
        <w:spacing w:after="0" w:line="224" w:lineRule="exact"/>
        <w:rPr>
          <w:rFonts w:ascii="Arial" w:cs="Arial" w:eastAsia="Arial" w:hAnsi="Arial"/>
          <w:sz w:val="19"/>
          <w:szCs w:val="19"/>
          <w:color w:val="auto"/>
        </w:rPr>
      </w:pPr>
    </w:p>
    <w:p>
      <w:pPr>
        <w:jc w:val="both"/>
        <w:ind w:left="320"/>
        <w:spacing w:after="0" w:line="256" w:lineRule="auto"/>
        <w:rPr>
          <w:rFonts w:ascii="Arial" w:cs="Arial" w:eastAsia="Arial" w:hAnsi="Arial"/>
          <w:sz w:val="19"/>
          <w:szCs w:val="19"/>
          <w:color w:val="auto"/>
        </w:rPr>
      </w:pPr>
      <w:r>
        <w:rPr>
          <w:rFonts w:ascii="Arial" w:cs="Arial" w:eastAsia="Arial" w:hAnsi="Arial"/>
          <w:sz w:val="19"/>
          <w:szCs w:val="19"/>
          <w:color w:val="auto"/>
        </w:rPr>
        <w:t>The STI Program is an LII Non-Executive Incentive Compensation Plan for the purposes of Section 1 of the Employee’s Non-executive Incentive Compensation and Non-Solicitation Agreement (the “Agreement”). In order to qualify for payments under the STI Program, Participants must sign and abide by the terms of the Agreement.</w:t>
      </w:r>
    </w:p>
    <w:p>
      <w:pPr>
        <w:spacing w:after="0" w:line="186" w:lineRule="exact"/>
        <w:rPr>
          <w:rFonts w:ascii="Arial" w:cs="Arial" w:eastAsia="Arial" w:hAnsi="Arial"/>
          <w:sz w:val="19"/>
          <w:szCs w:val="19"/>
          <w:color w:val="auto"/>
        </w:rPr>
      </w:pPr>
    </w:p>
    <w:p>
      <w:pPr>
        <w:ind w:left="320" w:hanging="316"/>
        <w:spacing w:after="0"/>
        <w:tabs>
          <w:tab w:leader="none" w:pos="32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Performance Goals and Payout Opportunity</w:t>
      </w:r>
    </w:p>
    <w:p>
      <w:pPr>
        <w:spacing w:after="0" w:line="224" w:lineRule="exact"/>
        <w:rPr>
          <w:sz w:val="20"/>
          <w:szCs w:val="20"/>
          <w:color w:val="auto"/>
        </w:rPr>
      </w:pPr>
    </w:p>
    <w:p>
      <w:pPr>
        <w:ind w:left="380"/>
        <w:spacing w:after="0" w:line="269" w:lineRule="auto"/>
        <w:rPr>
          <w:sz w:val="20"/>
          <w:szCs w:val="20"/>
          <w:color w:val="auto"/>
        </w:rPr>
      </w:pPr>
      <w:r>
        <w:rPr>
          <w:rFonts w:ascii="Arial" w:cs="Arial" w:eastAsia="Arial" w:hAnsi="Arial"/>
          <w:sz w:val="19"/>
          <w:szCs w:val="19"/>
          <w:color w:val="auto"/>
        </w:rPr>
        <w:t>The Performance Goals and the Payout Opportunity will be set at the beginning of the Plan Year and will be communicated to all Participants on their STI opportunity statements.</w:t>
      </w:r>
    </w:p>
    <w:p>
      <w:pPr>
        <w:spacing w:after="0" w:line="174" w:lineRule="exact"/>
        <w:rPr>
          <w:sz w:val="20"/>
          <w:szCs w:val="20"/>
          <w:color w:val="auto"/>
        </w:rPr>
      </w:pPr>
    </w:p>
    <w:p>
      <w:pPr>
        <w:ind w:left="320" w:hanging="316"/>
        <w:spacing w:after="0"/>
        <w:tabs>
          <w:tab w:leader="none" w:pos="320"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Determination of Performance Cash Payment</w:t>
      </w:r>
    </w:p>
    <w:p>
      <w:pPr>
        <w:spacing w:after="0" w:line="224" w:lineRule="exact"/>
        <w:rPr>
          <w:sz w:val="20"/>
          <w:szCs w:val="20"/>
          <w:color w:val="auto"/>
        </w:rPr>
      </w:pPr>
    </w:p>
    <w:p>
      <w:pPr>
        <w:jc w:val="both"/>
        <w:ind w:left="380"/>
        <w:spacing w:after="0" w:line="283" w:lineRule="auto"/>
        <w:rPr>
          <w:sz w:val="20"/>
          <w:szCs w:val="20"/>
          <w:color w:val="auto"/>
        </w:rPr>
      </w:pPr>
      <w:r>
        <w:rPr>
          <w:rFonts w:ascii="Arial" w:cs="Arial" w:eastAsia="Arial" w:hAnsi="Arial"/>
          <w:sz w:val="17"/>
          <w:szCs w:val="17"/>
          <w:color w:val="auto"/>
        </w:rPr>
        <w:t>The Committee in its reasonable discretion following the end of the Plan Year will approve the STI payout factors based on actual performance results against the Performance Goals and adjusting as appropriate for overall Company performance and market conditions. Performance Cash payments will be paid to Participants based on their Payout Opportunity with 75% of the payments based on Company performance and 25% on each Participant’s individual performance. The Company, in its sole discretion, shall determine the payment amount, if any, associated with the Participant’s individual performance. No Performance Cash payments (Company or individual) are payable if actual performance falls below the Performance Goals threshold levels . The payout details will be presented to Participants on their STI payout statements.</w:t>
      </w:r>
    </w:p>
    <w:p>
      <w:pPr>
        <w:spacing w:after="0" w:line="167" w:lineRule="exact"/>
        <w:rPr>
          <w:sz w:val="20"/>
          <w:szCs w:val="20"/>
          <w:color w:val="auto"/>
        </w:rPr>
      </w:pPr>
    </w:p>
    <w:p>
      <w:pPr>
        <w:ind w:left="320" w:hanging="316"/>
        <w:spacing w:after="0"/>
        <w:tabs>
          <w:tab w:leader="none" w:pos="32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Employee Position Changes During Plan Year</w:t>
      </w:r>
    </w:p>
    <w:p>
      <w:pPr>
        <w:spacing w:after="0" w:line="224" w:lineRule="exact"/>
        <w:rPr>
          <w:sz w:val="20"/>
          <w:szCs w:val="20"/>
          <w:color w:val="auto"/>
        </w:rPr>
      </w:pPr>
    </w:p>
    <w:p>
      <w:pPr>
        <w:jc w:val="both"/>
        <w:ind w:left="400" w:hanging="25"/>
        <w:spacing w:after="0" w:line="256" w:lineRule="auto"/>
        <w:rPr>
          <w:sz w:val="20"/>
          <w:szCs w:val="20"/>
          <w:color w:val="auto"/>
        </w:rPr>
      </w:pPr>
      <w:r>
        <w:rPr>
          <w:rFonts w:ascii="Arial" w:cs="Arial" w:eastAsia="Arial" w:hAnsi="Arial"/>
          <w:sz w:val="19"/>
          <w:szCs w:val="19"/>
          <w:color w:val="auto"/>
        </w:rPr>
        <w:t>Participants who are assigned to a new position during the Plan Year may have changes made to their Payout Opportunity and/or Performance Goals to correspond with the new position. A prorated Performance Cash payment may be given at the end of the Plan Year to Participants who are assigned to a non-STI Program eligible position during the Plan Year.</w:t>
      </w:r>
    </w:p>
    <w:p>
      <w:pPr>
        <w:spacing w:after="0" w:line="186" w:lineRule="exact"/>
        <w:rPr>
          <w:sz w:val="20"/>
          <w:szCs w:val="20"/>
          <w:color w:val="auto"/>
        </w:rPr>
      </w:pPr>
    </w:p>
    <w:p>
      <w:pPr>
        <w:ind w:left="320" w:hanging="316"/>
        <w:spacing w:after="0"/>
        <w:tabs>
          <w:tab w:leader="none" w:pos="32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Form of Payment</w:t>
      </w:r>
    </w:p>
    <w:p>
      <w:pPr>
        <w:spacing w:after="0" w:line="224" w:lineRule="exact"/>
        <w:rPr>
          <w:sz w:val="20"/>
          <w:szCs w:val="20"/>
          <w:color w:val="auto"/>
        </w:rPr>
      </w:pPr>
    </w:p>
    <w:p>
      <w:pPr>
        <w:ind w:left="400"/>
        <w:spacing w:after="0" w:line="269" w:lineRule="auto"/>
        <w:rPr>
          <w:sz w:val="20"/>
          <w:szCs w:val="20"/>
          <w:color w:val="auto"/>
        </w:rPr>
      </w:pPr>
      <w:r>
        <w:rPr>
          <w:rFonts w:ascii="Arial" w:cs="Arial" w:eastAsia="Arial" w:hAnsi="Arial"/>
          <w:sz w:val="19"/>
          <w:szCs w:val="19"/>
          <w:color w:val="auto"/>
        </w:rPr>
        <w:t>All Performance Cash payments under this STI Program will be paid in cash subject to such payroll taxes and other deductions, if any, as may be in effect at the time of payment.</w:t>
      </w:r>
    </w:p>
    <w:p>
      <w:pPr>
        <w:spacing w:after="0" w:line="174" w:lineRule="exact"/>
        <w:rPr>
          <w:sz w:val="20"/>
          <w:szCs w:val="20"/>
          <w:color w:val="auto"/>
        </w:rPr>
      </w:pPr>
    </w:p>
    <w:p>
      <w:pPr>
        <w:ind w:left="320" w:hanging="316"/>
        <w:spacing w:after="0"/>
        <w:tabs>
          <w:tab w:leader="none" w:pos="320"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Timing of Payment</w:t>
      </w:r>
    </w:p>
    <w:p>
      <w:pPr>
        <w:spacing w:after="0" w:line="224"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All Performance Cash payments under this STI Program will be paid as soon as practicable after the end of the Plan Year, but in no event later than the fifteenth day of the third month following the end of the Plan Year. The payments made under this STI Program are intended to fall within the short-term deferral exemption under Section 409A of the Internal Revenue Code.</w:t>
      </w:r>
    </w:p>
    <w:p>
      <w:pPr>
        <w:spacing w:after="0" w:line="186" w:lineRule="exact"/>
        <w:rPr>
          <w:sz w:val="20"/>
          <w:szCs w:val="20"/>
          <w:color w:val="auto"/>
        </w:rPr>
      </w:pPr>
    </w:p>
    <w:p>
      <w:pPr>
        <w:ind w:left="320" w:hanging="316"/>
        <w:spacing w:after="0"/>
        <w:tabs>
          <w:tab w:leader="none" w:pos="320"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Termination, Death, Disability or Retirement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800" w:right="239" w:bottom="1440" w:gutter="0" w:footer="0" w:header="0"/>
        </w:sectPr>
      </w:pPr>
    </w:p>
    <w:bookmarkStart w:id="128" w:name="page129"/>
    <w:bookmarkEnd w:id="128"/>
    <w:p>
      <w:pPr>
        <w:jc w:val="both"/>
        <w:ind w:left="380"/>
        <w:spacing w:after="0" w:line="281" w:lineRule="auto"/>
        <w:rPr>
          <w:sz w:val="20"/>
          <w:szCs w:val="20"/>
          <w:color w:val="auto"/>
        </w:rPr>
      </w:pPr>
      <w:r>
        <w:rPr>
          <w:rFonts w:ascii="Arial" w:cs="Arial" w:eastAsia="Arial" w:hAnsi="Arial"/>
          <w:sz w:val="17"/>
          <w:szCs w:val="17"/>
          <w:color w:val="auto"/>
        </w:rPr>
        <w:t>Except as otherwise expressly provided in this STI Program, Performance Cash payments will be paid only to Participants who are employed with the Company on the last day of the Plan Year. All Participants whose employment terminates prior to the end of the Plan Year shall forfeit all Performance Cash payments from the STI Program, whether terminated by the Company or voluntarily, except a Participant whose employment terminates due to death, Disability or Retirement will be paid a pro rata portion of any Performance Cash payment based on the date of death, Disability or Retirement. Such prorated payments will be made at the time and in the form that payments are made to other Participants for the Plan Year. If a Participant is terminated by the Company for cause, as determined in the sole discretion of the Company, then, immediately after Participant’s termination, the Performance Cash payment may be cancelled in full prior to any payment being made.</w:t>
      </w:r>
    </w:p>
    <w:p>
      <w:pPr>
        <w:spacing w:after="0" w:line="169" w:lineRule="exact"/>
        <w:rPr>
          <w:sz w:val="20"/>
          <w:szCs w:val="20"/>
          <w:color w:val="auto"/>
        </w:rPr>
      </w:pPr>
    </w:p>
    <w:p>
      <w:pPr>
        <w:ind w:left="320" w:hanging="316"/>
        <w:spacing w:after="0"/>
        <w:tabs>
          <w:tab w:leader="none" w:pos="32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New Participants</w:t>
      </w:r>
    </w:p>
    <w:p>
      <w:pPr>
        <w:spacing w:after="0" w:line="224"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Performance Cash payments for new Participants will generally be prorated from either the date of hire or the date the Participant became eligible for the STI Program. Any person joining the Company after November 1 of a Plan Year will be excluded from participating in the STI Program for that Plan Year.</w:t>
      </w:r>
    </w:p>
    <w:p>
      <w:pPr>
        <w:spacing w:after="0" w:line="186" w:lineRule="exact"/>
        <w:rPr>
          <w:sz w:val="20"/>
          <w:szCs w:val="20"/>
          <w:color w:val="auto"/>
        </w:rPr>
      </w:pPr>
    </w:p>
    <w:p>
      <w:pPr>
        <w:ind w:left="320" w:hanging="316"/>
        <w:spacing w:after="0"/>
        <w:tabs>
          <w:tab w:leader="none" w:pos="32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Miscellaneous</w:t>
      </w:r>
    </w:p>
    <w:p>
      <w:pPr>
        <w:spacing w:after="0" w:line="224" w:lineRule="exact"/>
        <w:rPr>
          <w:sz w:val="20"/>
          <w:szCs w:val="20"/>
          <w:color w:val="auto"/>
        </w:rPr>
      </w:pPr>
    </w:p>
    <w:p>
      <w:pPr>
        <w:jc w:val="both"/>
        <w:ind w:left="380"/>
        <w:spacing w:after="0" w:line="269" w:lineRule="auto"/>
        <w:rPr>
          <w:sz w:val="20"/>
          <w:szCs w:val="20"/>
          <w:color w:val="auto"/>
        </w:rPr>
      </w:pPr>
      <w:r>
        <w:rPr>
          <w:rFonts w:ascii="Arial" w:cs="Arial" w:eastAsia="Arial" w:hAnsi="Arial"/>
          <w:sz w:val="19"/>
          <w:szCs w:val="19"/>
          <w:color w:val="auto"/>
        </w:rPr>
        <w:t>No Participant shall have any lien on any assets of the Company by reason of any Payout Opportunity or Performance Cash payment made under the STI Program.</w:t>
      </w:r>
    </w:p>
    <w:p>
      <w:pPr>
        <w:spacing w:after="0" w:line="174"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The adoption of the STI Program does not imply any commitment to continue the STI Program, or any other plan for incentive compensation for any succeeding year. Neither the STI Program, Performance Cash payment, nor Payout Opportunity made under the STI Program shall create an employment contract or relationship between the Company and any Participant.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00" w:right="239" w:bottom="1440" w:gutter="0" w:footer="0" w:header="0"/>
        </w:sectPr>
      </w:pPr>
    </w:p>
    <w:bookmarkStart w:id="129" w:name="page130"/>
    <w:bookmarkEnd w:id="129"/>
    <w:p>
      <w:pPr>
        <w:jc w:val="center"/>
        <w:ind w:right="-99"/>
        <w:spacing w:after="0"/>
        <w:rPr>
          <w:sz w:val="20"/>
          <w:szCs w:val="20"/>
          <w:color w:val="auto"/>
        </w:rPr>
      </w:pPr>
      <w:r>
        <w:rPr>
          <w:rFonts w:ascii="Arial" w:cs="Arial" w:eastAsia="Arial" w:hAnsi="Arial"/>
          <w:sz w:val="17"/>
          <w:szCs w:val="17"/>
          <w:b w:val="1"/>
          <w:bCs w:val="1"/>
          <w:color w:val="auto"/>
        </w:rPr>
        <w:t>EXHIBIT 21.1</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Lennox International Inc. Subsidiaries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are the subsidiaries of Lennox International Inc., as of February 7, 2020, and the states or jurisdictions in which they are organized. Subsidiaries are indented below their immediate parent entity. The names of certain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spacing w:after="0" w:line="200" w:lineRule="exact"/>
        <w:rPr>
          <w:sz w:val="20"/>
          <w:szCs w:val="20"/>
          <w:color w:val="auto"/>
        </w:rPr>
      </w:pPr>
    </w:p>
    <w:p>
      <w:pPr>
        <w:spacing w:after="0" w:line="386" w:lineRule="exact"/>
        <w:rPr>
          <w:sz w:val="20"/>
          <w:szCs w:val="20"/>
          <w:color w:val="auto"/>
        </w:rPr>
      </w:pPr>
    </w:p>
    <w:tbl>
      <w:tblPr>
        <w:tblLayout w:type="fixed"/>
        <w:tblInd w:w="700" w:type="dxa"/>
        <w:tblCellMar>
          <w:top w:w="0" w:type="dxa"/>
          <w:left w:w="0" w:type="dxa"/>
          <w:bottom w:w="0" w:type="dxa"/>
          <w:right w:w="0" w:type="dxa"/>
        </w:tblCellMar>
      </w:tblPr>
      <w:tr>
        <w:trPr>
          <w:trHeight w:val="227"/>
        </w:trPr>
        <w:tc>
          <w:tcPr>
            <w:tcW w:w="434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3200" w:type="dxa"/>
            <w:vAlign w:val="bottom"/>
          </w:tcPr>
          <w:p>
            <w:pPr>
              <w:ind w:left="1540"/>
              <w:spacing w:after="0"/>
              <w:rPr>
                <w:sz w:val="20"/>
                <w:szCs w:val="20"/>
                <w:color w:val="auto"/>
              </w:rPr>
            </w:pPr>
            <w:r>
              <w:rPr>
                <w:rFonts w:ascii="Arial" w:cs="Arial" w:eastAsia="Arial" w:hAnsi="Arial"/>
                <w:sz w:val="17"/>
                <w:szCs w:val="17"/>
                <w:b w:val="1"/>
                <w:bCs w:val="1"/>
                <w:color w:val="auto"/>
              </w:rPr>
              <w:t>Ownership</w:t>
            </w:r>
          </w:p>
        </w:tc>
        <w:tc>
          <w:tcPr>
            <w:tcW w:w="1720" w:type="dxa"/>
            <w:vAlign w:val="bottom"/>
          </w:tcPr>
          <w:p>
            <w:pPr>
              <w:ind w:left="840"/>
              <w:spacing w:after="0"/>
              <w:rPr>
                <w:sz w:val="20"/>
                <w:szCs w:val="20"/>
                <w:color w:val="auto"/>
              </w:rPr>
            </w:pPr>
            <w:r>
              <w:rPr>
                <w:rFonts w:ascii="Arial" w:cs="Arial" w:eastAsia="Arial" w:hAnsi="Arial"/>
                <w:sz w:val="17"/>
                <w:szCs w:val="17"/>
                <w:b w:val="1"/>
                <w:bCs w:val="1"/>
                <w:color w:val="auto"/>
                <w:w w:val="89"/>
              </w:rPr>
              <w:t>Jurisdiction</w:t>
            </w:r>
          </w:p>
        </w:tc>
      </w:tr>
      <w:tr>
        <w:trPr>
          <w:trHeight w:val="260"/>
        </w:trPr>
        <w:tc>
          <w:tcPr>
            <w:tcW w:w="4340" w:type="dxa"/>
            <w:vAlign w:val="bottom"/>
          </w:tcPr>
          <w:p>
            <w:pPr>
              <w:spacing w:after="0"/>
              <w:rPr>
                <w:sz w:val="20"/>
                <w:szCs w:val="20"/>
                <w:color w:val="auto"/>
              </w:rPr>
            </w:pPr>
            <w:r>
              <w:rPr>
                <w:rFonts w:ascii="Arial" w:cs="Arial" w:eastAsia="Arial" w:hAnsi="Arial"/>
                <w:sz w:val="17"/>
                <w:szCs w:val="17"/>
                <w:color w:val="auto"/>
              </w:rPr>
              <w:t>Lennox Industries Inc. (See Annex A)</w:t>
            </w:r>
          </w:p>
        </w:tc>
        <w:tc>
          <w:tcPr>
            <w:tcW w:w="3200" w:type="dxa"/>
            <w:vAlign w:val="bottom"/>
          </w:tcPr>
          <w:p>
            <w:pPr>
              <w:jc w:val="center"/>
              <w:ind w:left="633"/>
              <w:spacing w:after="0"/>
              <w:rPr>
                <w:sz w:val="20"/>
                <w:szCs w:val="20"/>
                <w:color w:val="auto"/>
              </w:rPr>
            </w:pPr>
            <w:r>
              <w:rPr>
                <w:rFonts w:ascii="Arial" w:cs="Arial" w:eastAsia="Arial" w:hAnsi="Arial"/>
                <w:sz w:val="17"/>
                <w:szCs w:val="17"/>
                <w:color w:val="auto"/>
                <w:w w:val="91"/>
              </w:rPr>
              <w:t>100%</w:t>
            </w:r>
          </w:p>
        </w:tc>
        <w:tc>
          <w:tcPr>
            <w:tcW w:w="1720" w:type="dxa"/>
            <w:vAlign w:val="bottom"/>
          </w:tcPr>
          <w:p>
            <w:pPr>
              <w:ind w:left="840"/>
              <w:spacing w:after="0"/>
              <w:rPr>
                <w:sz w:val="20"/>
                <w:szCs w:val="20"/>
                <w:color w:val="auto"/>
              </w:rPr>
            </w:pPr>
            <w:r>
              <w:rPr>
                <w:rFonts w:ascii="Arial" w:cs="Arial" w:eastAsia="Arial" w:hAnsi="Arial"/>
                <w:sz w:val="17"/>
                <w:szCs w:val="17"/>
                <w:color w:val="auto"/>
              </w:rPr>
              <w:t>Delaware</w:t>
            </w:r>
          </w:p>
        </w:tc>
      </w:tr>
      <w:tr>
        <w:trPr>
          <w:trHeight w:val="547"/>
        </w:trPr>
        <w:tc>
          <w:tcPr>
            <w:tcW w:w="4340" w:type="dxa"/>
            <w:vAlign w:val="bottom"/>
          </w:tcPr>
          <w:p>
            <w:pPr>
              <w:spacing w:after="0"/>
              <w:rPr>
                <w:sz w:val="20"/>
                <w:szCs w:val="20"/>
                <w:color w:val="auto"/>
              </w:rPr>
            </w:pPr>
            <w:r>
              <w:rPr>
                <w:rFonts w:ascii="Arial" w:cs="Arial" w:eastAsia="Arial" w:hAnsi="Arial"/>
                <w:sz w:val="17"/>
                <w:szCs w:val="17"/>
                <w:color w:val="auto"/>
              </w:rPr>
              <w:t>Heatcraft Inc.</w:t>
            </w:r>
          </w:p>
        </w:tc>
        <w:tc>
          <w:tcPr>
            <w:tcW w:w="3200" w:type="dxa"/>
            <w:vAlign w:val="bottom"/>
          </w:tcPr>
          <w:p>
            <w:pPr>
              <w:jc w:val="center"/>
              <w:ind w:left="633"/>
              <w:spacing w:after="0"/>
              <w:rPr>
                <w:sz w:val="20"/>
                <w:szCs w:val="20"/>
                <w:color w:val="auto"/>
              </w:rPr>
            </w:pPr>
            <w:r>
              <w:rPr>
                <w:rFonts w:ascii="Arial" w:cs="Arial" w:eastAsia="Arial" w:hAnsi="Arial"/>
                <w:sz w:val="17"/>
                <w:szCs w:val="17"/>
                <w:color w:val="auto"/>
                <w:w w:val="91"/>
              </w:rPr>
              <w:t>100%</w:t>
            </w:r>
          </w:p>
        </w:tc>
        <w:tc>
          <w:tcPr>
            <w:tcW w:w="1720" w:type="dxa"/>
            <w:vAlign w:val="bottom"/>
          </w:tcPr>
          <w:p>
            <w:pPr>
              <w:ind w:left="840"/>
              <w:spacing w:after="0"/>
              <w:rPr>
                <w:sz w:val="20"/>
                <w:szCs w:val="20"/>
                <w:color w:val="auto"/>
              </w:rPr>
            </w:pPr>
            <w:r>
              <w:rPr>
                <w:rFonts w:ascii="Arial" w:cs="Arial" w:eastAsia="Arial" w:hAnsi="Arial"/>
                <w:sz w:val="17"/>
                <w:szCs w:val="17"/>
                <w:color w:val="auto"/>
              </w:rPr>
              <w:t>Delaware</w:t>
            </w:r>
          </w:p>
        </w:tc>
      </w:tr>
      <w:tr>
        <w:trPr>
          <w:trHeight w:val="260"/>
        </w:trPr>
        <w:tc>
          <w:tcPr>
            <w:tcW w:w="4340" w:type="dxa"/>
            <w:vAlign w:val="bottom"/>
          </w:tcPr>
          <w:p>
            <w:pPr>
              <w:ind w:left="180"/>
              <w:spacing w:after="0"/>
              <w:rPr>
                <w:sz w:val="20"/>
                <w:szCs w:val="20"/>
                <w:color w:val="auto"/>
              </w:rPr>
            </w:pPr>
            <w:r>
              <w:rPr>
                <w:rFonts w:ascii="Arial" w:cs="Arial" w:eastAsia="Arial" w:hAnsi="Arial"/>
                <w:sz w:val="17"/>
                <w:szCs w:val="17"/>
                <w:color w:val="auto"/>
              </w:rPr>
              <w:t>Bohn de Mexico S.A. de C.V.</w:t>
            </w:r>
          </w:p>
        </w:tc>
        <w:tc>
          <w:tcPr>
            <w:tcW w:w="3200" w:type="dxa"/>
            <w:vAlign w:val="bottom"/>
          </w:tcPr>
          <w:p>
            <w:pPr>
              <w:jc w:val="center"/>
              <w:ind w:left="633"/>
              <w:spacing w:after="0"/>
              <w:rPr>
                <w:sz w:val="20"/>
                <w:szCs w:val="20"/>
                <w:color w:val="auto"/>
              </w:rPr>
            </w:pPr>
            <w:r>
              <w:rPr>
                <w:rFonts w:ascii="Arial" w:cs="Arial" w:eastAsia="Arial" w:hAnsi="Arial"/>
                <w:sz w:val="17"/>
                <w:szCs w:val="17"/>
                <w:color w:val="auto"/>
                <w:w w:val="93"/>
              </w:rPr>
              <w:t>50%</w:t>
            </w:r>
          </w:p>
        </w:tc>
        <w:tc>
          <w:tcPr>
            <w:tcW w:w="1720" w:type="dxa"/>
            <w:vAlign w:val="bottom"/>
          </w:tcPr>
          <w:p>
            <w:pPr>
              <w:ind w:left="840"/>
              <w:spacing w:after="0"/>
              <w:rPr>
                <w:sz w:val="20"/>
                <w:szCs w:val="20"/>
                <w:color w:val="auto"/>
              </w:rPr>
            </w:pPr>
            <w:r>
              <w:rPr>
                <w:rFonts w:ascii="Arial" w:cs="Arial" w:eastAsia="Arial" w:hAnsi="Arial"/>
                <w:sz w:val="17"/>
                <w:szCs w:val="17"/>
                <w:color w:val="auto"/>
              </w:rPr>
              <w:t>Mexico</w:t>
            </w:r>
          </w:p>
        </w:tc>
      </w:tr>
      <w:tr>
        <w:trPr>
          <w:trHeight w:val="260"/>
        </w:trPr>
        <w:tc>
          <w:tcPr>
            <w:tcW w:w="4340" w:type="dxa"/>
            <w:vAlign w:val="bottom"/>
          </w:tcPr>
          <w:p>
            <w:pPr>
              <w:ind w:left="180"/>
              <w:spacing w:after="0"/>
              <w:rPr>
                <w:sz w:val="20"/>
                <w:szCs w:val="20"/>
                <w:color w:val="auto"/>
              </w:rPr>
            </w:pPr>
            <w:r>
              <w:rPr>
                <w:rFonts w:ascii="Arial" w:cs="Arial" w:eastAsia="Arial" w:hAnsi="Arial"/>
                <w:sz w:val="17"/>
                <w:szCs w:val="17"/>
                <w:color w:val="auto"/>
              </w:rPr>
              <w:t>Frigus-Bohn S.A. de C.V.</w:t>
            </w:r>
          </w:p>
        </w:tc>
        <w:tc>
          <w:tcPr>
            <w:tcW w:w="3200" w:type="dxa"/>
            <w:vAlign w:val="bottom"/>
          </w:tcPr>
          <w:p>
            <w:pPr>
              <w:jc w:val="center"/>
              <w:ind w:left="633"/>
              <w:spacing w:after="0"/>
              <w:rPr>
                <w:sz w:val="20"/>
                <w:szCs w:val="20"/>
                <w:color w:val="auto"/>
              </w:rPr>
            </w:pPr>
            <w:r>
              <w:rPr>
                <w:rFonts w:ascii="Arial" w:cs="Arial" w:eastAsia="Arial" w:hAnsi="Arial"/>
                <w:sz w:val="17"/>
                <w:szCs w:val="17"/>
                <w:color w:val="auto"/>
                <w:w w:val="93"/>
              </w:rPr>
              <w:t>50%</w:t>
            </w:r>
          </w:p>
        </w:tc>
        <w:tc>
          <w:tcPr>
            <w:tcW w:w="1720" w:type="dxa"/>
            <w:vAlign w:val="bottom"/>
          </w:tcPr>
          <w:p>
            <w:pPr>
              <w:ind w:left="840"/>
              <w:spacing w:after="0"/>
              <w:rPr>
                <w:sz w:val="20"/>
                <w:szCs w:val="20"/>
                <w:color w:val="auto"/>
              </w:rPr>
            </w:pPr>
            <w:r>
              <w:rPr>
                <w:rFonts w:ascii="Arial" w:cs="Arial" w:eastAsia="Arial" w:hAnsi="Arial"/>
                <w:sz w:val="17"/>
                <w:szCs w:val="17"/>
                <w:color w:val="auto"/>
              </w:rPr>
              <w:t>Mexico</w:t>
            </w:r>
          </w:p>
        </w:tc>
      </w:tr>
      <w:tr>
        <w:trPr>
          <w:trHeight w:val="260"/>
        </w:trPr>
        <w:tc>
          <w:tcPr>
            <w:tcW w:w="4340" w:type="dxa"/>
            <w:vAlign w:val="bottom"/>
          </w:tcPr>
          <w:p>
            <w:pPr>
              <w:ind w:left="160"/>
              <w:spacing w:after="0"/>
              <w:rPr>
                <w:sz w:val="20"/>
                <w:szCs w:val="20"/>
                <w:color w:val="auto"/>
              </w:rPr>
            </w:pPr>
            <w:r>
              <w:rPr>
                <w:rFonts w:ascii="Arial" w:cs="Arial" w:eastAsia="Arial" w:hAnsi="Arial"/>
                <w:sz w:val="17"/>
                <w:szCs w:val="17"/>
                <w:color w:val="auto"/>
              </w:rPr>
              <w:t>Advanced Distributor Products LLC</w:t>
            </w:r>
          </w:p>
        </w:tc>
        <w:tc>
          <w:tcPr>
            <w:tcW w:w="3200" w:type="dxa"/>
            <w:vAlign w:val="bottom"/>
          </w:tcPr>
          <w:p>
            <w:pPr>
              <w:jc w:val="center"/>
              <w:ind w:left="633"/>
              <w:spacing w:after="0"/>
              <w:rPr>
                <w:sz w:val="20"/>
                <w:szCs w:val="20"/>
                <w:color w:val="auto"/>
              </w:rPr>
            </w:pPr>
            <w:r>
              <w:rPr>
                <w:rFonts w:ascii="Arial" w:cs="Arial" w:eastAsia="Arial" w:hAnsi="Arial"/>
                <w:sz w:val="17"/>
                <w:szCs w:val="17"/>
                <w:color w:val="auto"/>
                <w:w w:val="91"/>
              </w:rPr>
              <w:t>100%</w:t>
            </w:r>
          </w:p>
        </w:tc>
        <w:tc>
          <w:tcPr>
            <w:tcW w:w="1720" w:type="dxa"/>
            <w:vAlign w:val="bottom"/>
          </w:tcPr>
          <w:p>
            <w:pPr>
              <w:ind w:left="840"/>
              <w:spacing w:after="0"/>
              <w:rPr>
                <w:sz w:val="20"/>
                <w:szCs w:val="20"/>
                <w:color w:val="auto"/>
              </w:rPr>
            </w:pPr>
            <w:r>
              <w:rPr>
                <w:rFonts w:ascii="Arial" w:cs="Arial" w:eastAsia="Arial" w:hAnsi="Arial"/>
                <w:sz w:val="17"/>
                <w:szCs w:val="17"/>
                <w:color w:val="auto"/>
              </w:rPr>
              <w:t>Delaware</w:t>
            </w:r>
          </w:p>
        </w:tc>
      </w:tr>
      <w:tr>
        <w:trPr>
          <w:trHeight w:val="260"/>
        </w:trPr>
        <w:tc>
          <w:tcPr>
            <w:tcW w:w="4340" w:type="dxa"/>
            <w:vAlign w:val="bottom"/>
          </w:tcPr>
          <w:p>
            <w:pPr>
              <w:ind w:left="180"/>
              <w:spacing w:after="0"/>
              <w:rPr>
                <w:sz w:val="20"/>
                <w:szCs w:val="20"/>
                <w:color w:val="auto"/>
              </w:rPr>
            </w:pPr>
            <w:r>
              <w:rPr>
                <w:rFonts w:ascii="Arial" w:cs="Arial" w:eastAsia="Arial" w:hAnsi="Arial"/>
                <w:sz w:val="17"/>
                <w:szCs w:val="17"/>
                <w:color w:val="auto"/>
              </w:rPr>
              <w:t>Heatcraft Refrigeration Products LLC</w:t>
            </w:r>
          </w:p>
        </w:tc>
        <w:tc>
          <w:tcPr>
            <w:tcW w:w="3200" w:type="dxa"/>
            <w:vAlign w:val="bottom"/>
          </w:tcPr>
          <w:p>
            <w:pPr>
              <w:jc w:val="center"/>
              <w:ind w:left="633"/>
              <w:spacing w:after="0"/>
              <w:rPr>
                <w:sz w:val="20"/>
                <w:szCs w:val="20"/>
                <w:color w:val="auto"/>
              </w:rPr>
            </w:pPr>
            <w:r>
              <w:rPr>
                <w:rFonts w:ascii="Arial" w:cs="Arial" w:eastAsia="Arial" w:hAnsi="Arial"/>
                <w:sz w:val="17"/>
                <w:szCs w:val="17"/>
                <w:color w:val="auto"/>
                <w:w w:val="91"/>
              </w:rPr>
              <w:t>100%</w:t>
            </w:r>
          </w:p>
        </w:tc>
        <w:tc>
          <w:tcPr>
            <w:tcW w:w="1720" w:type="dxa"/>
            <w:vAlign w:val="bottom"/>
          </w:tcPr>
          <w:p>
            <w:pPr>
              <w:ind w:left="840"/>
              <w:spacing w:after="0"/>
              <w:rPr>
                <w:sz w:val="20"/>
                <w:szCs w:val="20"/>
                <w:color w:val="auto"/>
              </w:rPr>
            </w:pPr>
            <w:r>
              <w:rPr>
                <w:rFonts w:ascii="Arial" w:cs="Arial" w:eastAsia="Arial" w:hAnsi="Arial"/>
                <w:sz w:val="17"/>
                <w:szCs w:val="17"/>
                <w:color w:val="auto"/>
              </w:rPr>
              <w:t>Delaware</w:t>
            </w:r>
          </w:p>
        </w:tc>
      </w:tr>
      <w:tr>
        <w:trPr>
          <w:trHeight w:val="260"/>
        </w:trPr>
        <w:tc>
          <w:tcPr>
            <w:tcW w:w="4340" w:type="dxa"/>
            <w:vAlign w:val="bottom"/>
          </w:tcPr>
          <w:p>
            <w:pPr>
              <w:ind w:left="160"/>
              <w:spacing w:after="0"/>
              <w:rPr>
                <w:sz w:val="20"/>
                <w:szCs w:val="20"/>
                <w:color w:val="auto"/>
              </w:rPr>
            </w:pPr>
            <w:r>
              <w:rPr>
                <w:rFonts w:ascii="Arial" w:cs="Arial" w:eastAsia="Arial" w:hAnsi="Arial"/>
                <w:sz w:val="17"/>
                <w:szCs w:val="17"/>
                <w:color w:val="auto"/>
              </w:rPr>
              <w:t>Advanced Heat Transfer LLC</w:t>
            </w:r>
          </w:p>
        </w:tc>
        <w:tc>
          <w:tcPr>
            <w:tcW w:w="3200" w:type="dxa"/>
            <w:vAlign w:val="bottom"/>
          </w:tcPr>
          <w:p>
            <w:pPr>
              <w:jc w:val="center"/>
              <w:ind w:left="633"/>
              <w:spacing w:after="0"/>
              <w:rPr>
                <w:sz w:val="20"/>
                <w:szCs w:val="20"/>
                <w:color w:val="auto"/>
              </w:rPr>
            </w:pPr>
            <w:r>
              <w:rPr>
                <w:rFonts w:ascii="Arial" w:cs="Arial" w:eastAsia="Arial" w:hAnsi="Arial"/>
                <w:sz w:val="17"/>
                <w:szCs w:val="17"/>
                <w:color w:val="auto"/>
                <w:w w:val="93"/>
              </w:rPr>
              <w:t>50%</w:t>
            </w:r>
          </w:p>
        </w:tc>
        <w:tc>
          <w:tcPr>
            <w:tcW w:w="1720" w:type="dxa"/>
            <w:vAlign w:val="bottom"/>
          </w:tcPr>
          <w:p>
            <w:pPr>
              <w:ind w:left="840"/>
              <w:spacing w:after="0"/>
              <w:rPr>
                <w:sz w:val="20"/>
                <w:szCs w:val="20"/>
                <w:color w:val="auto"/>
              </w:rPr>
            </w:pPr>
            <w:r>
              <w:rPr>
                <w:rFonts w:ascii="Arial" w:cs="Arial" w:eastAsia="Arial" w:hAnsi="Arial"/>
                <w:sz w:val="17"/>
                <w:szCs w:val="17"/>
                <w:color w:val="auto"/>
              </w:rPr>
              <w:t>Delaware</w:t>
            </w:r>
          </w:p>
        </w:tc>
      </w:tr>
      <w:tr>
        <w:trPr>
          <w:trHeight w:val="547"/>
        </w:trPr>
        <w:tc>
          <w:tcPr>
            <w:tcW w:w="4340" w:type="dxa"/>
            <w:vAlign w:val="bottom"/>
          </w:tcPr>
          <w:p>
            <w:pPr>
              <w:spacing w:after="0"/>
              <w:rPr>
                <w:sz w:val="20"/>
                <w:szCs w:val="20"/>
                <w:color w:val="auto"/>
              </w:rPr>
            </w:pPr>
            <w:r>
              <w:rPr>
                <w:rFonts w:ascii="Arial" w:cs="Arial" w:eastAsia="Arial" w:hAnsi="Arial"/>
                <w:sz w:val="17"/>
                <w:szCs w:val="17"/>
                <w:color w:val="auto"/>
              </w:rPr>
              <w:t>Heatcraft Technologies Inc.</w:t>
            </w:r>
          </w:p>
        </w:tc>
        <w:tc>
          <w:tcPr>
            <w:tcW w:w="3200" w:type="dxa"/>
            <w:vAlign w:val="bottom"/>
          </w:tcPr>
          <w:p>
            <w:pPr>
              <w:jc w:val="center"/>
              <w:ind w:left="633"/>
              <w:spacing w:after="0"/>
              <w:rPr>
                <w:sz w:val="20"/>
                <w:szCs w:val="20"/>
                <w:color w:val="auto"/>
              </w:rPr>
            </w:pPr>
            <w:r>
              <w:rPr>
                <w:rFonts w:ascii="Arial" w:cs="Arial" w:eastAsia="Arial" w:hAnsi="Arial"/>
                <w:sz w:val="17"/>
                <w:szCs w:val="17"/>
                <w:color w:val="auto"/>
                <w:w w:val="91"/>
              </w:rPr>
              <w:t>100%</w:t>
            </w:r>
          </w:p>
        </w:tc>
        <w:tc>
          <w:tcPr>
            <w:tcW w:w="1720" w:type="dxa"/>
            <w:vAlign w:val="bottom"/>
          </w:tcPr>
          <w:p>
            <w:pPr>
              <w:ind w:left="840"/>
              <w:spacing w:after="0"/>
              <w:rPr>
                <w:sz w:val="20"/>
                <w:szCs w:val="20"/>
                <w:color w:val="auto"/>
              </w:rPr>
            </w:pPr>
            <w:r>
              <w:rPr>
                <w:rFonts w:ascii="Arial" w:cs="Arial" w:eastAsia="Arial" w:hAnsi="Arial"/>
                <w:sz w:val="17"/>
                <w:szCs w:val="17"/>
                <w:color w:val="auto"/>
              </w:rPr>
              <w:t>Delaware</w:t>
            </w:r>
          </w:p>
        </w:tc>
      </w:tr>
      <w:tr>
        <w:trPr>
          <w:trHeight w:val="260"/>
        </w:trPr>
        <w:tc>
          <w:tcPr>
            <w:tcW w:w="4340" w:type="dxa"/>
            <w:vAlign w:val="bottom"/>
          </w:tcPr>
          <w:p>
            <w:pPr>
              <w:ind w:left="120"/>
              <w:spacing w:after="0"/>
              <w:rPr>
                <w:sz w:val="20"/>
                <w:szCs w:val="20"/>
                <w:color w:val="auto"/>
              </w:rPr>
            </w:pPr>
            <w:r>
              <w:rPr>
                <w:rFonts w:ascii="Arial" w:cs="Arial" w:eastAsia="Arial" w:hAnsi="Arial"/>
                <w:sz w:val="17"/>
                <w:szCs w:val="17"/>
                <w:color w:val="auto"/>
              </w:rPr>
              <w:t>Alliance Compressor LLC</w:t>
            </w:r>
          </w:p>
        </w:tc>
        <w:tc>
          <w:tcPr>
            <w:tcW w:w="3200" w:type="dxa"/>
            <w:vAlign w:val="bottom"/>
          </w:tcPr>
          <w:p>
            <w:pPr>
              <w:jc w:val="center"/>
              <w:ind w:left="633"/>
              <w:spacing w:after="0"/>
              <w:rPr>
                <w:sz w:val="20"/>
                <w:szCs w:val="20"/>
                <w:color w:val="auto"/>
              </w:rPr>
            </w:pPr>
            <w:r>
              <w:rPr>
                <w:rFonts w:ascii="Arial" w:cs="Arial" w:eastAsia="Arial" w:hAnsi="Arial"/>
                <w:sz w:val="17"/>
                <w:szCs w:val="17"/>
                <w:color w:val="auto"/>
                <w:w w:val="91"/>
              </w:rPr>
              <w:t>24.5%</w:t>
            </w:r>
          </w:p>
        </w:tc>
        <w:tc>
          <w:tcPr>
            <w:tcW w:w="1720" w:type="dxa"/>
            <w:vAlign w:val="bottom"/>
          </w:tcPr>
          <w:p>
            <w:pPr>
              <w:ind w:left="840"/>
              <w:spacing w:after="0"/>
              <w:rPr>
                <w:sz w:val="20"/>
                <w:szCs w:val="20"/>
                <w:color w:val="auto"/>
              </w:rPr>
            </w:pPr>
            <w:r>
              <w:rPr>
                <w:rFonts w:ascii="Arial" w:cs="Arial" w:eastAsia="Arial" w:hAnsi="Arial"/>
                <w:sz w:val="17"/>
                <w:szCs w:val="17"/>
                <w:color w:val="auto"/>
              </w:rPr>
              <w:t>Delaware</w:t>
            </w:r>
          </w:p>
        </w:tc>
      </w:tr>
      <w:tr>
        <w:trPr>
          <w:trHeight w:val="573"/>
        </w:trPr>
        <w:tc>
          <w:tcPr>
            <w:tcW w:w="4340" w:type="dxa"/>
            <w:vAlign w:val="bottom"/>
          </w:tcPr>
          <w:p>
            <w:pPr>
              <w:spacing w:after="0"/>
              <w:rPr>
                <w:sz w:val="20"/>
                <w:szCs w:val="20"/>
                <w:color w:val="auto"/>
              </w:rPr>
            </w:pPr>
            <w:r>
              <w:rPr>
                <w:rFonts w:ascii="Arial" w:cs="Arial" w:eastAsia="Arial" w:hAnsi="Arial"/>
                <w:sz w:val="17"/>
                <w:szCs w:val="17"/>
                <w:color w:val="auto"/>
              </w:rPr>
              <w:t>Lennox Procurement Company Inc.</w:t>
            </w:r>
          </w:p>
        </w:tc>
        <w:tc>
          <w:tcPr>
            <w:tcW w:w="3200" w:type="dxa"/>
            <w:vAlign w:val="bottom"/>
          </w:tcPr>
          <w:p>
            <w:pPr>
              <w:jc w:val="center"/>
              <w:ind w:left="633"/>
              <w:spacing w:after="0"/>
              <w:rPr>
                <w:sz w:val="20"/>
                <w:szCs w:val="20"/>
                <w:color w:val="auto"/>
              </w:rPr>
            </w:pPr>
            <w:r>
              <w:rPr>
                <w:rFonts w:ascii="Arial" w:cs="Arial" w:eastAsia="Arial" w:hAnsi="Arial"/>
                <w:sz w:val="17"/>
                <w:szCs w:val="17"/>
                <w:color w:val="auto"/>
                <w:w w:val="91"/>
              </w:rPr>
              <w:t>100%</w:t>
            </w:r>
          </w:p>
        </w:tc>
        <w:tc>
          <w:tcPr>
            <w:tcW w:w="1720" w:type="dxa"/>
            <w:vAlign w:val="bottom"/>
          </w:tcPr>
          <w:p>
            <w:pPr>
              <w:ind w:left="840"/>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320"/>
          </w:cols>
          <w:pgMar w:left="240" w:top="538" w:right="339" w:bottom="1440" w:gutter="0" w:footer="0" w:header="0"/>
        </w:sectPr>
      </w:pPr>
    </w:p>
    <w:bookmarkStart w:id="130" w:name="page131"/>
    <w:bookmarkEnd w:id="130"/>
    <w:p>
      <w:pPr>
        <w:jc w:val="center"/>
        <w:ind w:right="-760"/>
        <w:spacing w:after="0"/>
        <w:rPr>
          <w:sz w:val="20"/>
          <w:szCs w:val="20"/>
          <w:color w:val="auto"/>
        </w:rPr>
      </w:pPr>
      <w:r>
        <w:rPr>
          <w:rFonts w:ascii="Arial" w:cs="Arial" w:eastAsia="Arial" w:hAnsi="Arial"/>
          <w:sz w:val="17"/>
          <w:szCs w:val="17"/>
          <w:b w:val="1"/>
          <w:bCs w:val="1"/>
          <w:color w:val="auto"/>
        </w:rPr>
        <w:t>ANNEX A</w:t>
      </w:r>
    </w:p>
    <w:p>
      <w:pPr>
        <w:spacing w:after="0" w:line="31"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TO</w:t>
      </w:r>
    </w:p>
    <w:p>
      <w:pPr>
        <w:spacing w:after="0" w:line="13"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EXHIBIT 21.1</w:t>
      </w:r>
    </w:p>
    <w:p>
      <w:pPr>
        <w:spacing w:after="0" w:line="203" w:lineRule="exact"/>
        <w:rPr>
          <w:sz w:val="20"/>
          <w:szCs w:val="20"/>
          <w:color w:val="auto"/>
        </w:rPr>
      </w:pPr>
    </w:p>
    <w:p>
      <w:pPr>
        <w:ind w:left="3960"/>
        <w:spacing w:after="0"/>
        <w:rPr>
          <w:sz w:val="20"/>
          <w:szCs w:val="20"/>
          <w:color w:val="auto"/>
        </w:rPr>
      </w:pPr>
      <w:r>
        <w:rPr>
          <w:rFonts w:ascii="Arial" w:cs="Arial" w:eastAsia="Arial" w:hAnsi="Arial"/>
          <w:sz w:val="17"/>
          <w:szCs w:val="17"/>
          <w:b w:val="1"/>
          <w:bCs w:val="1"/>
          <w:u w:val="single" w:color="auto"/>
          <w:color w:val="auto"/>
        </w:rPr>
        <w:t>Lennox Industries Inc. Subsidiaries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6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3320" w:type="dxa"/>
            <w:vAlign w:val="bottom"/>
          </w:tcPr>
          <w:p>
            <w:pPr>
              <w:ind w:left="1580"/>
              <w:spacing w:after="0"/>
              <w:rPr>
                <w:sz w:val="20"/>
                <w:szCs w:val="20"/>
                <w:color w:val="auto"/>
              </w:rPr>
            </w:pPr>
            <w:r>
              <w:rPr>
                <w:rFonts w:ascii="Arial" w:cs="Arial" w:eastAsia="Arial" w:hAnsi="Arial"/>
                <w:sz w:val="17"/>
                <w:szCs w:val="17"/>
                <w:b w:val="1"/>
                <w:bCs w:val="1"/>
                <w:color w:val="auto"/>
              </w:rPr>
              <w:t>Ownership</w:t>
            </w:r>
          </w:p>
        </w:tc>
        <w:tc>
          <w:tcPr>
            <w:tcW w:w="1820" w:type="dxa"/>
            <w:vAlign w:val="bottom"/>
          </w:tcPr>
          <w:p>
            <w:pPr>
              <w:ind w:left="920"/>
              <w:spacing w:after="0"/>
              <w:rPr>
                <w:sz w:val="20"/>
                <w:szCs w:val="20"/>
                <w:color w:val="auto"/>
              </w:rPr>
            </w:pPr>
            <w:r>
              <w:rPr>
                <w:rFonts w:ascii="Arial" w:cs="Arial" w:eastAsia="Arial" w:hAnsi="Arial"/>
                <w:sz w:val="17"/>
                <w:szCs w:val="17"/>
                <w:b w:val="1"/>
                <w:bCs w:val="1"/>
                <w:color w:val="auto"/>
                <w:w w:val="91"/>
              </w:rPr>
              <w:t>Jurisdiction</w:t>
            </w: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Arial" w:cs="Arial" w:eastAsia="Arial" w:hAnsi="Arial"/>
                <w:sz w:val="17"/>
                <w:szCs w:val="17"/>
                <w:color w:val="auto"/>
              </w:rPr>
              <w:t>Allied Air Enterprises LLC</w:t>
            </w:r>
          </w:p>
        </w:tc>
        <w:tc>
          <w:tcPr>
            <w:tcW w:w="3320" w:type="dxa"/>
            <w:vAlign w:val="bottom"/>
          </w:tcPr>
          <w:p>
            <w:pPr>
              <w:jc w:val="center"/>
              <w:ind w:left="593"/>
              <w:spacing w:after="0"/>
              <w:rPr>
                <w:sz w:val="20"/>
                <w:szCs w:val="20"/>
                <w:color w:val="auto"/>
              </w:rPr>
            </w:pPr>
            <w:r>
              <w:rPr>
                <w:rFonts w:ascii="Arial" w:cs="Arial" w:eastAsia="Arial" w:hAnsi="Arial"/>
                <w:sz w:val="17"/>
                <w:szCs w:val="17"/>
                <w:color w:val="auto"/>
                <w:w w:val="91"/>
              </w:rPr>
              <w:t>100%</w:t>
            </w:r>
          </w:p>
        </w:tc>
        <w:tc>
          <w:tcPr>
            <w:tcW w:w="1820" w:type="dxa"/>
            <w:vAlign w:val="bottom"/>
          </w:tcPr>
          <w:p>
            <w:pPr>
              <w:ind w:left="9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521"/>
        </w:trPr>
        <w:tc>
          <w:tcPr>
            <w:tcW w:w="4460" w:type="dxa"/>
            <w:vAlign w:val="bottom"/>
          </w:tcPr>
          <w:p>
            <w:pPr>
              <w:spacing w:after="0"/>
              <w:rPr>
                <w:sz w:val="20"/>
                <w:szCs w:val="20"/>
                <w:color w:val="auto"/>
              </w:rPr>
            </w:pPr>
            <w:r>
              <w:rPr>
                <w:rFonts w:ascii="Arial" w:cs="Arial" w:eastAsia="Arial" w:hAnsi="Arial"/>
                <w:sz w:val="17"/>
                <w:szCs w:val="17"/>
                <w:color w:val="auto"/>
              </w:rPr>
              <w:t>LPAC Corp.</w:t>
            </w:r>
          </w:p>
        </w:tc>
        <w:tc>
          <w:tcPr>
            <w:tcW w:w="3320" w:type="dxa"/>
            <w:vAlign w:val="bottom"/>
          </w:tcPr>
          <w:p>
            <w:pPr>
              <w:jc w:val="center"/>
              <w:ind w:left="593"/>
              <w:spacing w:after="0"/>
              <w:rPr>
                <w:sz w:val="20"/>
                <w:szCs w:val="20"/>
                <w:color w:val="auto"/>
              </w:rPr>
            </w:pPr>
            <w:r>
              <w:rPr>
                <w:rFonts w:ascii="Arial" w:cs="Arial" w:eastAsia="Arial" w:hAnsi="Arial"/>
                <w:sz w:val="17"/>
                <w:szCs w:val="17"/>
                <w:color w:val="auto"/>
                <w:w w:val="91"/>
              </w:rPr>
              <w:t>100%</w:t>
            </w:r>
          </w:p>
        </w:tc>
        <w:tc>
          <w:tcPr>
            <w:tcW w:w="1820" w:type="dxa"/>
            <w:vAlign w:val="bottom"/>
          </w:tcPr>
          <w:p>
            <w:pPr>
              <w:ind w:left="9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521"/>
        </w:trPr>
        <w:tc>
          <w:tcPr>
            <w:tcW w:w="4460" w:type="dxa"/>
            <w:vAlign w:val="bottom"/>
          </w:tcPr>
          <w:p>
            <w:pPr>
              <w:spacing w:after="0"/>
              <w:rPr>
                <w:sz w:val="20"/>
                <w:szCs w:val="20"/>
                <w:color w:val="auto"/>
              </w:rPr>
            </w:pPr>
            <w:r>
              <w:rPr>
                <w:rFonts w:ascii="Arial" w:cs="Arial" w:eastAsia="Arial" w:hAnsi="Arial"/>
                <w:sz w:val="17"/>
                <w:szCs w:val="17"/>
                <w:color w:val="auto"/>
              </w:rPr>
              <w:t>Lennox Global LLC (See Annex B)</w:t>
            </w:r>
          </w:p>
        </w:tc>
        <w:tc>
          <w:tcPr>
            <w:tcW w:w="3320" w:type="dxa"/>
            <w:vAlign w:val="bottom"/>
          </w:tcPr>
          <w:p>
            <w:pPr>
              <w:jc w:val="center"/>
              <w:ind w:left="593"/>
              <w:spacing w:after="0"/>
              <w:rPr>
                <w:sz w:val="20"/>
                <w:szCs w:val="20"/>
                <w:color w:val="auto"/>
              </w:rPr>
            </w:pPr>
            <w:r>
              <w:rPr>
                <w:rFonts w:ascii="Arial" w:cs="Arial" w:eastAsia="Arial" w:hAnsi="Arial"/>
                <w:sz w:val="17"/>
                <w:szCs w:val="17"/>
                <w:color w:val="auto"/>
                <w:w w:val="91"/>
              </w:rPr>
              <w:t>100%</w:t>
            </w:r>
          </w:p>
        </w:tc>
        <w:tc>
          <w:tcPr>
            <w:tcW w:w="1820" w:type="dxa"/>
            <w:vAlign w:val="bottom"/>
          </w:tcPr>
          <w:p>
            <w:pPr>
              <w:ind w:left="9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547"/>
        </w:trPr>
        <w:tc>
          <w:tcPr>
            <w:tcW w:w="4460" w:type="dxa"/>
            <w:vAlign w:val="bottom"/>
          </w:tcPr>
          <w:p>
            <w:pPr>
              <w:spacing w:after="0"/>
              <w:rPr>
                <w:sz w:val="20"/>
                <w:szCs w:val="20"/>
                <w:color w:val="auto"/>
              </w:rPr>
            </w:pPr>
            <w:r>
              <w:rPr>
                <w:rFonts w:ascii="Arial" w:cs="Arial" w:eastAsia="Arial" w:hAnsi="Arial"/>
                <w:sz w:val="17"/>
                <w:szCs w:val="17"/>
                <w:color w:val="auto"/>
              </w:rPr>
              <w:t>LGL Europe Holding Co. (See Annex C)</w:t>
            </w:r>
          </w:p>
        </w:tc>
        <w:tc>
          <w:tcPr>
            <w:tcW w:w="3320" w:type="dxa"/>
            <w:vAlign w:val="bottom"/>
            <w:vMerge w:val="restart"/>
          </w:tcPr>
          <w:p>
            <w:pPr>
              <w:jc w:val="center"/>
              <w:ind w:left="593"/>
              <w:spacing w:after="0"/>
              <w:rPr>
                <w:sz w:val="20"/>
                <w:szCs w:val="20"/>
                <w:color w:val="auto"/>
              </w:rPr>
            </w:pPr>
            <w:r>
              <w:rPr>
                <w:rFonts w:ascii="Arial" w:cs="Arial" w:eastAsia="Arial" w:hAnsi="Arial"/>
                <w:sz w:val="17"/>
                <w:szCs w:val="17"/>
                <w:color w:val="auto"/>
                <w:w w:val="91"/>
              </w:rPr>
              <w:t>53.2%</w:t>
            </w:r>
          </w:p>
        </w:tc>
        <w:tc>
          <w:tcPr>
            <w:tcW w:w="1820" w:type="dxa"/>
            <w:vAlign w:val="bottom"/>
            <w:vMerge w:val="restart"/>
          </w:tcPr>
          <w:p>
            <w:pPr>
              <w:ind w:left="9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8"/>
        </w:trPr>
        <w:tc>
          <w:tcPr>
            <w:tcW w:w="446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4460" w:type="dxa"/>
            <w:vAlign w:val="bottom"/>
          </w:tcPr>
          <w:p>
            <w:pPr>
              <w:spacing w:after="0"/>
              <w:rPr>
                <w:sz w:val="20"/>
                <w:szCs w:val="20"/>
                <w:color w:val="auto"/>
              </w:rPr>
            </w:pPr>
            <w:r>
              <w:rPr>
                <w:rFonts w:ascii="Arial" w:cs="Arial" w:eastAsia="Arial" w:hAnsi="Arial"/>
                <w:sz w:val="17"/>
                <w:szCs w:val="17"/>
                <w:color w:val="auto"/>
              </w:rPr>
              <w:t>Lennox National Account Services Inc.</w:t>
            </w:r>
          </w:p>
        </w:tc>
        <w:tc>
          <w:tcPr>
            <w:tcW w:w="3320" w:type="dxa"/>
            <w:vAlign w:val="bottom"/>
          </w:tcPr>
          <w:p>
            <w:pPr>
              <w:jc w:val="center"/>
              <w:ind w:left="593"/>
              <w:spacing w:after="0"/>
              <w:rPr>
                <w:sz w:val="20"/>
                <w:szCs w:val="20"/>
                <w:color w:val="auto"/>
              </w:rPr>
            </w:pPr>
            <w:r>
              <w:rPr>
                <w:rFonts w:ascii="Arial" w:cs="Arial" w:eastAsia="Arial" w:hAnsi="Arial"/>
                <w:sz w:val="17"/>
                <w:szCs w:val="17"/>
                <w:color w:val="auto"/>
                <w:w w:val="91"/>
              </w:rPr>
              <w:t>100%</w:t>
            </w:r>
          </w:p>
        </w:tc>
        <w:tc>
          <w:tcPr>
            <w:tcW w:w="1820" w:type="dxa"/>
            <w:vAlign w:val="bottom"/>
          </w:tcPr>
          <w:p>
            <w:pPr>
              <w:ind w:left="920"/>
              <w:spacing w:after="0"/>
              <w:rPr>
                <w:sz w:val="20"/>
                <w:szCs w:val="20"/>
                <w:color w:val="auto"/>
              </w:rPr>
            </w:pPr>
            <w:r>
              <w:rPr>
                <w:rFonts w:ascii="Arial" w:cs="Arial" w:eastAsia="Arial" w:hAnsi="Arial"/>
                <w:sz w:val="17"/>
                <w:szCs w:val="17"/>
                <w:color w:val="auto"/>
              </w:rPr>
              <w:t>California</w:t>
            </w: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Arial" w:cs="Arial" w:eastAsia="Arial" w:hAnsi="Arial"/>
                <w:sz w:val="17"/>
                <w:szCs w:val="17"/>
                <w:color w:val="auto"/>
              </w:rPr>
              <w:t>Lennox National Account Services LLC</w:t>
            </w:r>
          </w:p>
        </w:tc>
        <w:tc>
          <w:tcPr>
            <w:tcW w:w="3320" w:type="dxa"/>
            <w:vAlign w:val="bottom"/>
          </w:tcPr>
          <w:p>
            <w:pPr>
              <w:jc w:val="center"/>
              <w:ind w:left="593"/>
              <w:spacing w:after="0"/>
              <w:rPr>
                <w:sz w:val="20"/>
                <w:szCs w:val="20"/>
                <w:color w:val="auto"/>
              </w:rPr>
            </w:pPr>
            <w:r>
              <w:rPr>
                <w:rFonts w:ascii="Arial" w:cs="Arial" w:eastAsia="Arial" w:hAnsi="Arial"/>
                <w:sz w:val="17"/>
                <w:szCs w:val="17"/>
                <w:color w:val="auto"/>
                <w:w w:val="91"/>
              </w:rPr>
              <w:t>100%</w:t>
            </w:r>
          </w:p>
        </w:tc>
        <w:tc>
          <w:tcPr>
            <w:tcW w:w="1820" w:type="dxa"/>
            <w:vAlign w:val="bottom"/>
          </w:tcPr>
          <w:p>
            <w:pPr>
              <w:ind w:left="920"/>
              <w:spacing w:after="0"/>
              <w:rPr>
                <w:sz w:val="20"/>
                <w:szCs w:val="20"/>
                <w:color w:val="auto"/>
              </w:rPr>
            </w:pPr>
            <w:r>
              <w:rPr>
                <w:rFonts w:ascii="Arial" w:cs="Arial" w:eastAsia="Arial" w:hAnsi="Arial"/>
                <w:sz w:val="17"/>
                <w:szCs w:val="17"/>
                <w:color w:val="auto"/>
              </w:rPr>
              <w:t>Florida</w:t>
            </w:r>
          </w:p>
        </w:tc>
        <w:tc>
          <w:tcPr>
            <w:tcW w:w="0" w:type="dxa"/>
            <w:vAlign w:val="bottom"/>
          </w:tcPr>
          <w:p>
            <w:pPr>
              <w:spacing w:after="0"/>
              <w:rPr>
                <w:sz w:val="1"/>
                <w:szCs w:val="1"/>
                <w:color w:val="auto"/>
              </w:rPr>
            </w:pPr>
          </w:p>
        </w:tc>
      </w:tr>
    </w:tbl>
    <w:p>
      <w:pPr>
        <w:sectPr>
          <w:pgSz w:w="11900" w:h="16838" w:orient="portrait"/>
          <w:cols w:equalWidth="0" w:num="1">
            <w:col w:w="9779"/>
          </w:cols>
          <w:pgMar w:left="680" w:top="538"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17"/>
          <w:szCs w:val="17"/>
          <w:b w:val="1"/>
          <w:bCs w:val="1"/>
          <w:color w:val="auto"/>
        </w:rPr>
        <w:t>ANNEX 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21.1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Lennox Global LLC Subsidiaries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4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2360" w:type="dxa"/>
            <w:vAlign w:val="bottom"/>
          </w:tcPr>
          <w:p>
            <w:pPr>
              <w:ind w:left="680"/>
              <w:spacing w:after="0"/>
              <w:rPr>
                <w:sz w:val="20"/>
                <w:szCs w:val="20"/>
                <w:color w:val="auto"/>
              </w:rPr>
            </w:pPr>
            <w:r>
              <w:rPr>
                <w:rFonts w:ascii="Arial" w:cs="Arial" w:eastAsia="Arial" w:hAnsi="Arial"/>
                <w:sz w:val="17"/>
                <w:szCs w:val="17"/>
                <w:b w:val="1"/>
                <w:bCs w:val="1"/>
                <w:color w:val="auto"/>
              </w:rPr>
              <w:t>Ownership</w:t>
            </w:r>
          </w:p>
        </w:tc>
        <w:tc>
          <w:tcPr>
            <w:tcW w:w="1740" w:type="dxa"/>
            <w:vAlign w:val="bottom"/>
          </w:tcPr>
          <w:p>
            <w:pPr>
              <w:jc w:val="right"/>
              <w:spacing w:after="0"/>
              <w:rPr>
                <w:sz w:val="20"/>
                <w:szCs w:val="20"/>
                <w:color w:val="auto"/>
              </w:rPr>
            </w:pPr>
            <w:r>
              <w:rPr>
                <w:rFonts w:ascii="Arial" w:cs="Arial" w:eastAsia="Arial" w:hAnsi="Arial"/>
                <w:sz w:val="17"/>
                <w:szCs w:val="17"/>
                <w:b w:val="1"/>
                <w:bCs w:val="1"/>
                <w:color w:val="auto"/>
              </w:rPr>
              <w:t>Jurisdiction</w:t>
            </w:r>
          </w:p>
        </w:tc>
      </w:tr>
      <w:tr>
        <w:trPr>
          <w:trHeight w:val="260"/>
        </w:trPr>
        <w:tc>
          <w:tcPr>
            <w:tcW w:w="5240" w:type="dxa"/>
            <w:vAlign w:val="bottom"/>
          </w:tcPr>
          <w:p>
            <w:pPr>
              <w:spacing w:after="0"/>
              <w:rPr>
                <w:sz w:val="20"/>
                <w:szCs w:val="20"/>
                <w:color w:val="auto"/>
              </w:rPr>
            </w:pPr>
            <w:r>
              <w:rPr>
                <w:rFonts w:ascii="Arial" w:cs="Arial" w:eastAsia="Arial" w:hAnsi="Arial"/>
                <w:sz w:val="17"/>
                <w:szCs w:val="17"/>
                <w:color w:val="auto"/>
              </w:rPr>
              <w:t>Lennox (Shanghai) Refrigeration Technology Consulting Co Ltd.</w:t>
            </w:r>
          </w:p>
        </w:tc>
        <w:tc>
          <w:tcPr>
            <w:tcW w:w="2360" w:type="dxa"/>
            <w:vAlign w:val="bottom"/>
          </w:tcPr>
          <w:p>
            <w:pPr>
              <w:jc w:val="center"/>
              <w:ind w:right="93"/>
              <w:spacing w:after="0"/>
              <w:rPr>
                <w:sz w:val="20"/>
                <w:szCs w:val="20"/>
                <w:color w:val="auto"/>
              </w:rPr>
            </w:pPr>
            <w:r>
              <w:rPr>
                <w:rFonts w:ascii="Arial" w:cs="Arial" w:eastAsia="Arial" w:hAnsi="Arial"/>
                <w:sz w:val="17"/>
                <w:szCs w:val="17"/>
                <w:color w:val="auto"/>
                <w:w w:val="96"/>
              </w:rPr>
              <w:t>100%</w:t>
            </w:r>
          </w:p>
        </w:tc>
        <w:tc>
          <w:tcPr>
            <w:tcW w:w="1740" w:type="dxa"/>
            <w:vAlign w:val="bottom"/>
          </w:tcPr>
          <w:p>
            <w:pPr>
              <w:jc w:val="right"/>
              <w:spacing w:after="0"/>
              <w:rPr>
                <w:sz w:val="20"/>
                <w:szCs w:val="20"/>
                <w:color w:val="auto"/>
              </w:rPr>
            </w:pPr>
            <w:r>
              <w:rPr>
                <w:rFonts w:ascii="Arial" w:cs="Arial" w:eastAsia="Arial" w:hAnsi="Arial"/>
                <w:sz w:val="17"/>
                <w:szCs w:val="17"/>
                <w:color w:val="auto"/>
              </w:rPr>
              <w:t>China</w:t>
            </w:r>
          </w:p>
        </w:tc>
      </w:tr>
      <w:tr>
        <w:trPr>
          <w:trHeight w:val="534"/>
        </w:trPr>
        <w:tc>
          <w:tcPr>
            <w:tcW w:w="5240" w:type="dxa"/>
            <w:vAlign w:val="bottom"/>
          </w:tcPr>
          <w:p>
            <w:pPr>
              <w:spacing w:after="0"/>
              <w:rPr>
                <w:sz w:val="20"/>
                <w:szCs w:val="20"/>
                <w:color w:val="auto"/>
              </w:rPr>
            </w:pPr>
            <w:r>
              <w:rPr>
                <w:rFonts w:ascii="Arial" w:cs="Arial" w:eastAsia="Arial" w:hAnsi="Arial"/>
                <w:sz w:val="17"/>
                <w:szCs w:val="17"/>
                <w:color w:val="auto"/>
              </w:rPr>
              <w:t>LGL Europe Holding Co. (See Annex C)</w:t>
            </w:r>
          </w:p>
        </w:tc>
        <w:tc>
          <w:tcPr>
            <w:tcW w:w="2360" w:type="dxa"/>
            <w:vAlign w:val="bottom"/>
          </w:tcPr>
          <w:p>
            <w:pPr>
              <w:jc w:val="center"/>
              <w:ind w:right="93"/>
              <w:spacing w:after="0"/>
              <w:rPr>
                <w:sz w:val="20"/>
                <w:szCs w:val="20"/>
                <w:color w:val="auto"/>
              </w:rPr>
            </w:pPr>
            <w:r>
              <w:rPr>
                <w:rFonts w:ascii="Arial" w:cs="Arial" w:eastAsia="Arial" w:hAnsi="Arial"/>
                <w:sz w:val="17"/>
                <w:szCs w:val="17"/>
                <w:color w:val="auto"/>
                <w:w w:val="95"/>
              </w:rPr>
              <w:t>46.8%</w:t>
            </w:r>
          </w:p>
        </w:tc>
        <w:tc>
          <w:tcPr>
            <w:tcW w:w="1740" w:type="dxa"/>
            <w:vAlign w:val="bottom"/>
          </w:tcPr>
          <w:p>
            <w:pPr>
              <w:jc w:val="right"/>
              <w:spacing w:after="0"/>
              <w:rPr>
                <w:sz w:val="20"/>
                <w:szCs w:val="20"/>
                <w:color w:val="auto"/>
              </w:rPr>
            </w:pPr>
            <w:r>
              <w:rPr>
                <w:rFonts w:ascii="Arial" w:cs="Arial" w:eastAsia="Arial" w:hAnsi="Arial"/>
                <w:sz w:val="17"/>
                <w:szCs w:val="17"/>
                <w:color w:val="auto"/>
              </w:rPr>
              <w:t>Delaware</w:t>
            </w:r>
          </w:p>
        </w:tc>
      </w:tr>
      <w:tr>
        <w:trPr>
          <w:trHeight w:val="521"/>
        </w:trPr>
        <w:tc>
          <w:tcPr>
            <w:tcW w:w="5240" w:type="dxa"/>
            <w:vAlign w:val="bottom"/>
          </w:tcPr>
          <w:p>
            <w:pPr>
              <w:spacing w:after="0"/>
              <w:rPr>
                <w:sz w:val="20"/>
                <w:szCs w:val="20"/>
                <w:color w:val="auto"/>
              </w:rPr>
            </w:pPr>
            <w:r>
              <w:rPr>
                <w:rFonts w:ascii="Arial" w:cs="Arial" w:eastAsia="Arial" w:hAnsi="Arial"/>
                <w:sz w:val="17"/>
                <w:szCs w:val="17"/>
                <w:color w:val="auto"/>
              </w:rPr>
              <w:t>LGL Australia (US) Inc.</w:t>
            </w:r>
          </w:p>
        </w:tc>
        <w:tc>
          <w:tcPr>
            <w:tcW w:w="2360" w:type="dxa"/>
            <w:vAlign w:val="bottom"/>
          </w:tcPr>
          <w:p>
            <w:pPr>
              <w:jc w:val="center"/>
              <w:ind w:right="93"/>
              <w:spacing w:after="0"/>
              <w:rPr>
                <w:sz w:val="20"/>
                <w:szCs w:val="20"/>
                <w:color w:val="auto"/>
              </w:rPr>
            </w:pPr>
            <w:r>
              <w:rPr>
                <w:rFonts w:ascii="Arial" w:cs="Arial" w:eastAsia="Arial" w:hAnsi="Arial"/>
                <w:sz w:val="17"/>
                <w:szCs w:val="17"/>
                <w:color w:val="auto"/>
                <w:w w:val="96"/>
              </w:rPr>
              <w:t>100%</w:t>
            </w:r>
          </w:p>
        </w:tc>
        <w:tc>
          <w:tcPr>
            <w:tcW w:w="1740" w:type="dxa"/>
            <w:vAlign w:val="bottom"/>
          </w:tcPr>
          <w:p>
            <w:pPr>
              <w:jc w:val="right"/>
              <w:spacing w:after="0"/>
              <w:rPr>
                <w:sz w:val="20"/>
                <w:szCs w:val="20"/>
                <w:color w:val="auto"/>
              </w:rPr>
            </w:pPr>
            <w:r>
              <w:rPr>
                <w:rFonts w:ascii="Arial" w:cs="Arial" w:eastAsia="Arial" w:hAnsi="Arial"/>
                <w:sz w:val="17"/>
                <w:szCs w:val="17"/>
                <w:color w:val="auto"/>
              </w:rPr>
              <w:t>Delaware</w:t>
            </w:r>
          </w:p>
        </w:tc>
      </w:tr>
      <w:tr>
        <w:trPr>
          <w:trHeight w:val="534"/>
        </w:trPr>
        <w:tc>
          <w:tcPr>
            <w:tcW w:w="5240" w:type="dxa"/>
            <w:vAlign w:val="bottom"/>
          </w:tcPr>
          <w:p>
            <w:pPr>
              <w:spacing w:after="0"/>
              <w:rPr>
                <w:sz w:val="20"/>
                <w:szCs w:val="20"/>
                <w:color w:val="auto"/>
              </w:rPr>
            </w:pPr>
            <w:r>
              <w:rPr>
                <w:rFonts w:ascii="Arial" w:cs="Arial" w:eastAsia="Arial" w:hAnsi="Arial"/>
                <w:sz w:val="17"/>
                <w:szCs w:val="17"/>
                <w:color w:val="auto"/>
              </w:rPr>
              <w:t>Lennox India Technology Centre Private Ltd.</w:t>
            </w:r>
          </w:p>
        </w:tc>
        <w:tc>
          <w:tcPr>
            <w:tcW w:w="2360" w:type="dxa"/>
            <w:vAlign w:val="bottom"/>
          </w:tcPr>
          <w:p>
            <w:pPr>
              <w:jc w:val="center"/>
              <w:ind w:right="93"/>
              <w:spacing w:after="0"/>
              <w:rPr>
                <w:sz w:val="20"/>
                <w:szCs w:val="20"/>
                <w:color w:val="auto"/>
              </w:rPr>
            </w:pPr>
            <w:r>
              <w:rPr>
                <w:rFonts w:ascii="Arial" w:cs="Arial" w:eastAsia="Arial" w:hAnsi="Arial"/>
                <w:sz w:val="17"/>
                <w:szCs w:val="17"/>
                <w:color w:val="auto"/>
                <w:w w:val="92"/>
              </w:rPr>
              <w:t>0.0005%</w:t>
            </w:r>
          </w:p>
        </w:tc>
        <w:tc>
          <w:tcPr>
            <w:tcW w:w="1740" w:type="dxa"/>
            <w:vAlign w:val="bottom"/>
          </w:tcPr>
          <w:p>
            <w:pPr>
              <w:jc w:val="right"/>
              <w:spacing w:after="0"/>
              <w:rPr>
                <w:sz w:val="20"/>
                <w:szCs w:val="20"/>
                <w:color w:val="auto"/>
              </w:rPr>
            </w:pPr>
            <w:r>
              <w:rPr>
                <w:rFonts w:ascii="Arial" w:cs="Arial" w:eastAsia="Arial" w:hAnsi="Arial"/>
                <w:sz w:val="17"/>
                <w:szCs w:val="17"/>
                <w:color w:val="auto"/>
              </w:rPr>
              <w:t>India</w:t>
            </w:r>
          </w:p>
        </w:tc>
      </w:tr>
      <w:tr>
        <w:trPr>
          <w:trHeight w:val="534"/>
        </w:trPr>
        <w:tc>
          <w:tcPr>
            <w:tcW w:w="5240" w:type="dxa"/>
            <w:vAlign w:val="bottom"/>
          </w:tcPr>
          <w:p>
            <w:pPr>
              <w:spacing w:after="0"/>
              <w:rPr>
                <w:sz w:val="20"/>
                <w:szCs w:val="20"/>
                <w:color w:val="auto"/>
              </w:rPr>
            </w:pPr>
            <w:r>
              <w:rPr>
                <w:rFonts w:ascii="Arial" w:cs="Arial" w:eastAsia="Arial" w:hAnsi="Arial"/>
                <w:sz w:val="17"/>
                <w:szCs w:val="17"/>
                <w:color w:val="auto"/>
              </w:rPr>
              <w:t>LII Comercial de Mexico,S. de R.L. de C.V.</w:t>
            </w:r>
          </w:p>
        </w:tc>
        <w:tc>
          <w:tcPr>
            <w:tcW w:w="2360" w:type="dxa"/>
            <w:vAlign w:val="bottom"/>
          </w:tcPr>
          <w:p>
            <w:pPr>
              <w:jc w:val="center"/>
              <w:ind w:right="93"/>
              <w:spacing w:after="0"/>
              <w:rPr>
                <w:sz w:val="20"/>
                <w:szCs w:val="20"/>
                <w:color w:val="auto"/>
              </w:rPr>
            </w:pPr>
            <w:r>
              <w:rPr>
                <w:rFonts w:ascii="Arial" w:cs="Arial" w:eastAsia="Arial" w:hAnsi="Arial"/>
                <w:sz w:val="17"/>
                <w:szCs w:val="17"/>
                <w:color w:val="auto"/>
                <w:w w:val="93"/>
              </w:rPr>
              <w:t>99.97%</w:t>
            </w:r>
          </w:p>
        </w:tc>
        <w:tc>
          <w:tcPr>
            <w:tcW w:w="1740" w:type="dxa"/>
            <w:vAlign w:val="bottom"/>
          </w:tcPr>
          <w:p>
            <w:pPr>
              <w:jc w:val="right"/>
              <w:spacing w:after="0"/>
              <w:rPr>
                <w:sz w:val="20"/>
                <w:szCs w:val="20"/>
                <w:color w:val="auto"/>
              </w:rPr>
            </w:pPr>
            <w:r>
              <w:rPr>
                <w:rFonts w:ascii="Arial" w:cs="Arial" w:eastAsia="Arial" w:hAnsi="Arial"/>
                <w:sz w:val="17"/>
                <w:szCs w:val="17"/>
                <w:color w:val="auto"/>
              </w:rPr>
              <w:t>Mexico</w:t>
            </w:r>
          </w:p>
        </w:tc>
      </w:tr>
    </w:tbl>
    <w:p>
      <w:pPr>
        <w:sectPr>
          <w:pgSz w:w="11900" w:h="16838" w:orient="portrait"/>
          <w:cols w:equalWidth="0" w:num="1">
            <w:col w:w="9340"/>
          </w:cols>
          <w:pgMar w:left="1280" w:top="538" w:right="127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b w:val="1"/>
          <w:bCs w:val="1"/>
          <w:color w:val="auto"/>
        </w:rPr>
        <w:t>ANNEX 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21.1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gridSpan w:val="3"/>
          </w:tcPr>
          <w:p>
            <w:pPr>
              <w:ind w:left="3500"/>
              <w:spacing w:after="0"/>
              <w:rPr>
                <w:sz w:val="20"/>
                <w:szCs w:val="20"/>
                <w:color w:val="auto"/>
              </w:rPr>
            </w:pPr>
            <w:r>
              <w:rPr>
                <w:rFonts w:ascii="Arial" w:cs="Arial" w:eastAsia="Arial" w:hAnsi="Arial"/>
                <w:sz w:val="17"/>
                <w:szCs w:val="17"/>
                <w:b w:val="1"/>
                <w:bCs w:val="1"/>
                <w:color w:val="auto"/>
                <w:w w:val="94"/>
              </w:rPr>
              <w:t>LGL Europe Holding Co. Subsidiaries</w:t>
            </w:r>
          </w:p>
        </w:tc>
        <w:tc>
          <w:tcPr>
            <w:tcW w:w="15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384"/>
        </w:trPr>
        <w:tc>
          <w:tcPr>
            <w:tcW w:w="350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2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ind w:left="40"/>
              <w:spacing w:after="0"/>
              <w:rPr>
                <w:sz w:val="20"/>
                <w:szCs w:val="20"/>
                <w:color w:val="auto"/>
              </w:rPr>
            </w:pPr>
            <w:r>
              <w:rPr>
                <w:rFonts w:ascii="Arial" w:cs="Arial" w:eastAsia="Arial" w:hAnsi="Arial"/>
                <w:sz w:val="17"/>
                <w:szCs w:val="17"/>
                <w:b w:val="1"/>
                <w:bCs w:val="1"/>
                <w:color w:val="auto"/>
              </w:rPr>
              <w:t>Ownership</w:t>
            </w:r>
          </w:p>
        </w:tc>
        <w:tc>
          <w:tcPr>
            <w:tcW w:w="1860" w:type="dxa"/>
            <w:vAlign w:val="bottom"/>
          </w:tcPr>
          <w:p>
            <w:pPr>
              <w:jc w:val="right"/>
              <w:spacing w:after="0"/>
              <w:rPr>
                <w:sz w:val="20"/>
                <w:szCs w:val="20"/>
                <w:color w:val="auto"/>
              </w:rPr>
            </w:pPr>
            <w:r>
              <w:rPr>
                <w:rFonts w:ascii="Arial" w:cs="Arial" w:eastAsia="Arial" w:hAnsi="Arial"/>
                <w:sz w:val="17"/>
                <w:szCs w:val="17"/>
                <w:b w:val="1"/>
                <w:bCs w:val="1"/>
                <w:color w:val="auto"/>
              </w:rPr>
              <w:t>Jurisdiction</w:t>
            </w:r>
          </w:p>
        </w:tc>
      </w:tr>
      <w:tr>
        <w:trPr>
          <w:trHeight w:val="260"/>
        </w:trPr>
        <w:tc>
          <w:tcPr>
            <w:tcW w:w="6400" w:type="dxa"/>
            <w:vAlign w:val="bottom"/>
            <w:gridSpan w:val="3"/>
          </w:tcPr>
          <w:p>
            <w:pPr>
              <w:spacing w:after="0"/>
              <w:rPr>
                <w:sz w:val="20"/>
                <w:szCs w:val="20"/>
                <w:color w:val="auto"/>
              </w:rPr>
            </w:pPr>
            <w:r>
              <w:rPr>
                <w:rFonts w:ascii="Arial" w:cs="Arial" w:eastAsia="Arial" w:hAnsi="Arial"/>
                <w:sz w:val="17"/>
                <w:szCs w:val="17"/>
                <w:color w:val="auto"/>
              </w:rPr>
              <w:t>LGL Holland B.V.</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Netherlands</w:t>
            </w:r>
          </w:p>
        </w:tc>
      </w:tr>
      <w:tr>
        <w:trPr>
          <w:trHeight w:val="260"/>
        </w:trPr>
        <w:tc>
          <w:tcPr>
            <w:tcW w:w="6400" w:type="dxa"/>
            <w:vAlign w:val="bottom"/>
            <w:gridSpan w:val="3"/>
          </w:tcPr>
          <w:p>
            <w:pPr>
              <w:ind w:left="240"/>
              <w:spacing w:after="0"/>
              <w:rPr>
                <w:sz w:val="20"/>
                <w:szCs w:val="20"/>
                <w:color w:val="auto"/>
              </w:rPr>
            </w:pPr>
            <w:r>
              <w:rPr>
                <w:rFonts w:ascii="Arial" w:cs="Arial" w:eastAsia="Arial" w:hAnsi="Arial"/>
                <w:sz w:val="17"/>
                <w:szCs w:val="17"/>
                <w:color w:val="auto"/>
              </w:rPr>
              <w:t>Lennox Benelux N.V./S.A.</w:t>
            </w:r>
          </w:p>
        </w:tc>
        <w:tc>
          <w:tcPr>
            <w:tcW w:w="1560" w:type="dxa"/>
            <w:vAlign w:val="bottom"/>
          </w:tcPr>
          <w:p>
            <w:pPr>
              <w:jc w:val="center"/>
              <w:ind w:right="573"/>
              <w:spacing w:after="0"/>
              <w:rPr>
                <w:sz w:val="20"/>
                <w:szCs w:val="20"/>
                <w:color w:val="auto"/>
              </w:rPr>
            </w:pPr>
            <w:r>
              <w:rPr>
                <w:rFonts w:ascii="Arial" w:cs="Arial" w:eastAsia="Arial" w:hAnsi="Arial"/>
                <w:sz w:val="17"/>
                <w:szCs w:val="17"/>
                <w:color w:val="auto"/>
                <w:w w:val="93"/>
              </w:rPr>
              <w:t>0.024%</w:t>
            </w:r>
          </w:p>
        </w:tc>
        <w:tc>
          <w:tcPr>
            <w:tcW w:w="1860" w:type="dxa"/>
            <w:vAlign w:val="bottom"/>
          </w:tcPr>
          <w:p>
            <w:pPr>
              <w:jc w:val="right"/>
              <w:spacing w:after="0"/>
              <w:rPr>
                <w:sz w:val="20"/>
                <w:szCs w:val="20"/>
                <w:color w:val="auto"/>
              </w:rPr>
            </w:pPr>
            <w:r>
              <w:rPr>
                <w:rFonts w:ascii="Arial" w:cs="Arial" w:eastAsia="Arial" w:hAnsi="Arial"/>
                <w:sz w:val="17"/>
                <w:szCs w:val="17"/>
                <w:color w:val="auto"/>
              </w:rPr>
              <w:t>Belgium</w:t>
            </w:r>
          </w:p>
        </w:tc>
      </w:tr>
      <w:tr>
        <w:trPr>
          <w:trHeight w:val="260"/>
        </w:trPr>
        <w:tc>
          <w:tcPr>
            <w:tcW w:w="6400" w:type="dxa"/>
            <w:vAlign w:val="bottom"/>
            <w:gridSpan w:val="3"/>
          </w:tcPr>
          <w:p>
            <w:pPr>
              <w:ind w:left="220"/>
              <w:spacing w:after="0"/>
              <w:rPr>
                <w:sz w:val="20"/>
                <w:szCs w:val="20"/>
                <w:color w:val="auto"/>
              </w:rPr>
            </w:pPr>
            <w:r>
              <w:rPr>
                <w:rFonts w:ascii="Arial" w:cs="Arial" w:eastAsia="Arial" w:hAnsi="Arial"/>
                <w:sz w:val="17"/>
                <w:szCs w:val="17"/>
                <w:color w:val="auto"/>
              </w:rPr>
              <w:t>Lennox Industries (Canada) Ltd.</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Canada</w:t>
            </w:r>
          </w:p>
        </w:tc>
      </w:tr>
      <w:tr>
        <w:trPr>
          <w:trHeight w:val="260"/>
        </w:trPr>
        <w:tc>
          <w:tcPr>
            <w:tcW w:w="6400" w:type="dxa"/>
            <w:vAlign w:val="bottom"/>
            <w:gridSpan w:val="3"/>
          </w:tcPr>
          <w:p>
            <w:pPr>
              <w:ind w:left="440"/>
              <w:spacing w:after="0"/>
              <w:rPr>
                <w:sz w:val="20"/>
                <w:szCs w:val="20"/>
                <w:color w:val="auto"/>
              </w:rPr>
            </w:pPr>
            <w:r>
              <w:rPr>
                <w:rFonts w:ascii="Arial" w:cs="Arial" w:eastAsia="Arial" w:hAnsi="Arial"/>
                <w:sz w:val="17"/>
                <w:szCs w:val="17"/>
                <w:color w:val="auto"/>
              </w:rPr>
              <w:t>LII Mexico Holdings Ltd.</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UK</w:t>
            </w:r>
          </w:p>
        </w:tc>
      </w:tr>
      <w:tr>
        <w:trPr>
          <w:trHeight w:val="260"/>
        </w:trPr>
        <w:tc>
          <w:tcPr>
            <w:tcW w:w="6400" w:type="dxa"/>
            <w:vAlign w:val="bottom"/>
            <w:gridSpan w:val="3"/>
          </w:tcPr>
          <w:p>
            <w:pPr>
              <w:ind w:left="620"/>
              <w:spacing w:after="0"/>
              <w:rPr>
                <w:sz w:val="20"/>
                <w:szCs w:val="20"/>
                <w:color w:val="auto"/>
              </w:rPr>
            </w:pPr>
            <w:r>
              <w:rPr>
                <w:rFonts w:ascii="Arial" w:cs="Arial" w:eastAsia="Arial" w:hAnsi="Arial"/>
                <w:sz w:val="17"/>
                <w:szCs w:val="17"/>
                <w:color w:val="auto"/>
              </w:rPr>
              <w:t>LII United Products, S. de R.L. de C.V.</w:t>
            </w:r>
          </w:p>
        </w:tc>
        <w:tc>
          <w:tcPr>
            <w:tcW w:w="1560" w:type="dxa"/>
            <w:vAlign w:val="bottom"/>
          </w:tcPr>
          <w:p>
            <w:pPr>
              <w:jc w:val="center"/>
              <w:ind w:right="573"/>
              <w:spacing w:after="0"/>
              <w:rPr>
                <w:sz w:val="20"/>
                <w:szCs w:val="20"/>
                <w:color w:val="auto"/>
              </w:rPr>
            </w:pPr>
            <w:r>
              <w:rPr>
                <w:rFonts w:ascii="Arial" w:cs="Arial" w:eastAsia="Arial" w:hAnsi="Arial"/>
                <w:sz w:val="17"/>
                <w:szCs w:val="17"/>
                <w:color w:val="auto"/>
                <w:w w:val="93"/>
              </w:rPr>
              <w:t>99.99%</w:t>
            </w:r>
          </w:p>
        </w:tc>
        <w:tc>
          <w:tcPr>
            <w:tcW w:w="1860" w:type="dxa"/>
            <w:vAlign w:val="bottom"/>
          </w:tcPr>
          <w:p>
            <w:pPr>
              <w:jc w:val="right"/>
              <w:spacing w:after="0"/>
              <w:rPr>
                <w:sz w:val="20"/>
                <w:szCs w:val="20"/>
                <w:color w:val="auto"/>
              </w:rPr>
            </w:pPr>
            <w:r>
              <w:rPr>
                <w:rFonts w:ascii="Arial" w:cs="Arial" w:eastAsia="Arial" w:hAnsi="Arial"/>
                <w:sz w:val="17"/>
                <w:szCs w:val="17"/>
                <w:color w:val="auto"/>
              </w:rPr>
              <w:t>Mexico</w:t>
            </w:r>
          </w:p>
        </w:tc>
      </w:tr>
      <w:tr>
        <w:trPr>
          <w:trHeight w:val="260"/>
        </w:trPr>
        <w:tc>
          <w:tcPr>
            <w:tcW w:w="6400" w:type="dxa"/>
            <w:vAlign w:val="bottom"/>
            <w:gridSpan w:val="3"/>
          </w:tcPr>
          <w:p>
            <w:pPr>
              <w:ind w:left="780"/>
              <w:spacing w:after="0"/>
              <w:rPr>
                <w:sz w:val="20"/>
                <w:szCs w:val="20"/>
                <w:color w:val="auto"/>
              </w:rPr>
            </w:pPr>
            <w:r>
              <w:rPr>
                <w:rFonts w:ascii="Arial" w:cs="Arial" w:eastAsia="Arial" w:hAnsi="Arial"/>
                <w:sz w:val="17"/>
                <w:szCs w:val="17"/>
                <w:color w:val="auto"/>
              </w:rPr>
              <w:t>LII Comercial de Mexico,S. de R.L. de C.V.</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0.03%</w:t>
            </w:r>
          </w:p>
        </w:tc>
        <w:tc>
          <w:tcPr>
            <w:tcW w:w="1860" w:type="dxa"/>
            <w:vAlign w:val="bottom"/>
          </w:tcPr>
          <w:p>
            <w:pPr>
              <w:jc w:val="right"/>
              <w:spacing w:after="0"/>
              <w:rPr>
                <w:sz w:val="20"/>
                <w:szCs w:val="20"/>
                <w:color w:val="auto"/>
              </w:rPr>
            </w:pPr>
            <w:r>
              <w:rPr>
                <w:rFonts w:ascii="Arial" w:cs="Arial" w:eastAsia="Arial" w:hAnsi="Arial"/>
                <w:sz w:val="17"/>
                <w:szCs w:val="17"/>
                <w:color w:val="auto"/>
              </w:rPr>
              <w:t>Mexico</w:t>
            </w:r>
          </w:p>
        </w:tc>
      </w:tr>
      <w:tr>
        <w:trPr>
          <w:trHeight w:val="260"/>
        </w:trPr>
        <w:tc>
          <w:tcPr>
            <w:tcW w:w="6400" w:type="dxa"/>
            <w:vAlign w:val="bottom"/>
            <w:gridSpan w:val="3"/>
          </w:tcPr>
          <w:p>
            <w:pPr>
              <w:jc w:val="right"/>
              <w:ind w:right="2840"/>
              <w:spacing w:after="0"/>
              <w:rPr>
                <w:sz w:val="20"/>
                <w:szCs w:val="20"/>
                <w:color w:val="auto"/>
              </w:rPr>
            </w:pPr>
            <w:r>
              <w:rPr>
                <w:rFonts w:ascii="Arial" w:cs="Arial" w:eastAsia="Arial" w:hAnsi="Arial"/>
                <w:sz w:val="17"/>
                <w:szCs w:val="17"/>
                <w:color w:val="auto"/>
              </w:rPr>
              <w:t>Lennox Mexico Minority Holdings LLC</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Delaware</w:t>
            </w:r>
          </w:p>
        </w:tc>
      </w:tr>
      <w:tr>
        <w:trPr>
          <w:trHeight w:val="260"/>
        </w:trPr>
        <w:tc>
          <w:tcPr>
            <w:tcW w:w="6400" w:type="dxa"/>
            <w:vAlign w:val="bottom"/>
            <w:gridSpan w:val="3"/>
          </w:tcPr>
          <w:p>
            <w:pPr>
              <w:jc w:val="right"/>
              <w:ind w:right="2840"/>
              <w:spacing w:after="0"/>
              <w:rPr>
                <w:sz w:val="20"/>
                <w:szCs w:val="20"/>
                <w:color w:val="auto"/>
              </w:rPr>
            </w:pPr>
            <w:r>
              <w:rPr>
                <w:rFonts w:ascii="Arial" w:cs="Arial" w:eastAsia="Arial" w:hAnsi="Arial"/>
                <w:sz w:val="17"/>
                <w:szCs w:val="17"/>
                <w:color w:val="auto"/>
              </w:rPr>
              <w:t>LII United Products, S. de R.L. de C.V.</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0.01%</w:t>
            </w:r>
          </w:p>
        </w:tc>
        <w:tc>
          <w:tcPr>
            <w:tcW w:w="1860" w:type="dxa"/>
            <w:vAlign w:val="bottom"/>
          </w:tcPr>
          <w:p>
            <w:pPr>
              <w:jc w:val="right"/>
              <w:spacing w:after="0"/>
              <w:rPr>
                <w:sz w:val="20"/>
                <w:szCs w:val="20"/>
                <w:color w:val="auto"/>
              </w:rPr>
            </w:pPr>
            <w:r>
              <w:rPr>
                <w:rFonts w:ascii="Arial" w:cs="Arial" w:eastAsia="Arial" w:hAnsi="Arial"/>
                <w:sz w:val="17"/>
                <w:szCs w:val="17"/>
                <w:color w:val="auto"/>
              </w:rPr>
              <w:t>Mexico</w:t>
            </w:r>
          </w:p>
        </w:tc>
      </w:tr>
      <w:tr>
        <w:trPr>
          <w:trHeight w:val="547"/>
        </w:trPr>
        <w:tc>
          <w:tcPr>
            <w:tcW w:w="6400" w:type="dxa"/>
            <w:vAlign w:val="bottom"/>
            <w:gridSpan w:val="3"/>
          </w:tcPr>
          <w:p>
            <w:pPr>
              <w:ind w:left="140"/>
              <w:spacing w:after="0"/>
              <w:rPr>
                <w:sz w:val="20"/>
                <w:szCs w:val="20"/>
                <w:color w:val="auto"/>
              </w:rPr>
            </w:pPr>
            <w:r>
              <w:rPr>
                <w:rFonts w:ascii="Arial" w:cs="Arial" w:eastAsia="Arial" w:hAnsi="Arial"/>
                <w:sz w:val="17"/>
                <w:szCs w:val="17"/>
                <w:color w:val="auto"/>
              </w:rPr>
              <w:t>Lennox Ukraine LLC</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3"/>
              </w:rPr>
              <w:t>99%</w:t>
            </w:r>
          </w:p>
        </w:tc>
        <w:tc>
          <w:tcPr>
            <w:tcW w:w="1860" w:type="dxa"/>
            <w:vAlign w:val="bottom"/>
          </w:tcPr>
          <w:p>
            <w:pPr>
              <w:jc w:val="right"/>
              <w:spacing w:after="0"/>
              <w:rPr>
                <w:sz w:val="20"/>
                <w:szCs w:val="20"/>
                <w:color w:val="auto"/>
              </w:rPr>
            </w:pPr>
            <w:r>
              <w:rPr>
                <w:rFonts w:ascii="Arial" w:cs="Arial" w:eastAsia="Arial" w:hAnsi="Arial"/>
                <w:sz w:val="17"/>
                <w:szCs w:val="17"/>
                <w:color w:val="auto"/>
              </w:rPr>
              <w:t>Ukraine</w:t>
            </w:r>
          </w:p>
        </w:tc>
      </w:tr>
      <w:tr>
        <w:trPr>
          <w:trHeight w:val="547"/>
        </w:trPr>
        <w:tc>
          <w:tcPr>
            <w:tcW w:w="6400" w:type="dxa"/>
            <w:vAlign w:val="bottom"/>
            <w:gridSpan w:val="3"/>
          </w:tcPr>
          <w:p>
            <w:pPr>
              <w:ind w:left="140"/>
              <w:spacing w:after="0"/>
              <w:rPr>
                <w:sz w:val="20"/>
                <w:szCs w:val="20"/>
                <w:color w:val="auto"/>
              </w:rPr>
            </w:pPr>
            <w:r>
              <w:rPr>
                <w:rFonts w:ascii="Arial" w:cs="Arial" w:eastAsia="Arial" w:hAnsi="Arial"/>
                <w:sz w:val="17"/>
                <w:szCs w:val="17"/>
                <w:color w:val="auto"/>
              </w:rPr>
              <w:t>Lennox India Technology Centre Private Ltd.</w:t>
            </w:r>
          </w:p>
        </w:tc>
        <w:tc>
          <w:tcPr>
            <w:tcW w:w="1560" w:type="dxa"/>
            <w:vAlign w:val="bottom"/>
          </w:tcPr>
          <w:p>
            <w:pPr>
              <w:jc w:val="center"/>
              <w:ind w:right="573"/>
              <w:spacing w:after="0"/>
              <w:rPr>
                <w:sz w:val="20"/>
                <w:szCs w:val="20"/>
                <w:color w:val="auto"/>
              </w:rPr>
            </w:pPr>
            <w:r>
              <w:rPr>
                <w:rFonts w:ascii="Arial" w:cs="Arial" w:eastAsia="Arial" w:hAnsi="Arial"/>
                <w:sz w:val="17"/>
                <w:szCs w:val="17"/>
                <w:color w:val="auto"/>
                <w:w w:val="91"/>
              </w:rPr>
              <w:t>99.9995%</w:t>
            </w:r>
          </w:p>
        </w:tc>
        <w:tc>
          <w:tcPr>
            <w:tcW w:w="1860" w:type="dxa"/>
            <w:vAlign w:val="bottom"/>
          </w:tcPr>
          <w:p>
            <w:pPr>
              <w:jc w:val="right"/>
              <w:spacing w:after="0"/>
              <w:rPr>
                <w:sz w:val="20"/>
                <w:szCs w:val="20"/>
                <w:color w:val="auto"/>
              </w:rPr>
            </w:pPr>
            <w:r>
              <w:rPr>
                <w:rFonts w:ascii="Arial" w:cs="Arial" w:eastAsia="Arial" w:hAnsi="Arial"/>
                <w:sz w:val="17"/>
                <w:szCs w:val="17"/>
                <w:color w:val="auto"/>
              </w:rPr>
              <w:t>India</w:t>
            </w:r>
          </w:p>
        </w:tc>
      </w:tr>
      <w:tr>
        <w:trPr>
          <w:trHeight w:val="547"/>
        </w:trPr>
        <w:tc>
          <w:tcPr>
            <w:tcW w:w="6400" w:type="dxa"/>
            <w:vAlign w:val="bottom"/>
            <w:gridSpan w:val="3"/>
          </w:tcPr>
          <w:p>
            <w:pPr>
              <w:ind w:left="140"/>
              <w:spacing w:after="0"/>
              <w:rPr>
                <w:sz w:val="20"/>
                <w:szCs w:val="20"/>
                <w:color w:val="auto"/>
              </w:rPr>
            </w:pPr>
            <w:r>
              <w:rPr>
                <w:rFonts w:ascii="Arial" w:cs="Arial" w:eastAsia="Arial" w:hAnsi="Arial"/>
                <w:sz w:val="17"/>
                <w:szCs w:val="17"/>
                <w:color w:val="auto"/>
              </w:rPr>
              <w:t>Etablissements Brancher S.A.S.</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France</w:t>
            </w:r>
          </w:p>
        </w:tc>
      </w:tr>
      <w:tr>
        <w:trPr>
          <w:trHeight w:val="260"/>
        </w:trPr>
        <w:tc>
          <w:tcPr>
            <w:tcW w:w="6400" w:type="dxa"/>
            <w:vAlign w:val="bottom"/>
            <w:gridSpan w:val="3"/>
          </w:tcPr>
          <w:p>
            <w:pPr>
              <w:ind w:left="240"/>
              <w:spacing w:after="0"/>
              <w:rPr>
                <w:sz w:val="20"/>
                <w:szCs w:val="20"/>
                <w:color w:val="auto"/>
              </w:rPr>
            </w:pPr>
            <w:r>
              <w:rPr>
                <w:rFonts w:ascii="Arial" w:cs="Arial" w:eastAsia="Arial" w:hAnsi="Arial"/>
                <w:sz w:val="17"/>
                <w:szCs w:val="17"/>
                <w:color w:val="auto"/>
              </w:rPr>
              <w:t>LGL France S.A.S.</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France</w:t>
            </w:r>
          </w:p>
        </w:tc>
      </w:tr>
      <w:tr>
        <w:trPr>
          <w:trHeight w:val="260"/>
        </w:trPr>
        <w:tc>
          <w:tcPr>
            <w:tcW w:w="6400" w:type="dxa"/>
            <w:vAlign w:val="bottom"/>
            <w:gridSpan w:val="3"/>
          </w:tcPr>
          <w:p>
            <w:pPr>
              <w:ind w:left="340"/>
              <w:spacing w:after="0"/>
              <w:rPr>
                <w:sz w:val="20"/>
                <w:szCs w:val="20"/>
                <w:color w:val="auto"/>
              </w:rPr>
            </w:pPr>
            <w:r>
              <w:rPr>
                <w:rFonts w:ascii="Arial" w:cs="Arial" w:eastAsia="Arial" w:hAnsi="Arial"/>
                <w:sz w:val="17"/>
                <w:szCs w:val="17"/>
                <w:color w:val="auto"/>
              </w:rPr>
              <w:t>Hyfra Ind. GmbH</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2"/>
              </w:rPr>
              <w:t>0.1%</w:t>
            </w:r>
          </w:p>
        </w:tc>
        <w:tc>
          <w:tcPr>
            <w:tcW w:w="1860" w:type="dxa"/>
            <w:vAlign w:val="bottom"/>
          </w:tcPr>
          <w:p>
            <w:pPr>
              <w:jc w:val="right"/>
              <w:spacing w:after="0"/>
              <w:rPr>
                <w:sz w:val="20"/>
                <w:szCs w:val="20"/>
                <w:color w:val="auto"/>
              </w:rPr>
            </w:pPr>
            <w:r>
              <w:rPr>
                <w:rFonts w:ascii="Arial" w:cs="Arial" w:eastAsia="Arial" w:hAnsi="Arial"/>
                <w:sz w:val="17"/>
                <w:szCs w:val="17"/>
                <w:color w:val="auto"/>
              </w:rPr>
              <w:t>Germany</w:t>
            </w:r>
          </w:p>
        </w:tc>
      </w:tr>
      <w:tr>
        <w:trPr>
          <w:trHeight w:val="260"/>
        </w:trPr>
        <w:tc>
          <w:tcPr>
            <w:tcW w:w="6400" w:type="dxa"/>
            <w:vAlign w:val="bottom"/>
            <w:gridSpan w:val="3"/>
          </w:tcPr>
          <w:p>
            <w:pPr>
              <w:ind w:left="340"/>
              <w:spacing w:after="0"/>
              <w:rPr>
                <w:sz w:val="20"/>
                <w:szCs w:val="20"/>
                <w:color w:val="auto"/>
              </w:rPr>
            </w:pPr>
            <w:r>
              <w:rPr>
                <w:rFonts w:ascii="Arial" w:cs="Arial" w:eastAsia="Arial" w:hAnsi="Arial"/>
                <w:sz w:val="17"/>
                <w:szCs w:val="17"/>
                <w:color w:val="auto"/>
              </w:rPr>
              <w:t>Lennox Refac, S.A.</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0.02%</w:t>
            </w:r>
          </w:p>
        </w:tc>
        <w:tc>
          <w:tcPr>
            <w:tcW w:w="1860" w:type="dxa"/>
            <w:vAlign w:val="bottom"/>
          </w:tcPr>
          <w:p>
            <w:pPr>
              <w:jc w:val="right"/>
              <w:spacing w:after="0"/>
              <w:rPr>
                <w:sz w:val="20"/>
                <w:szCs w:val="20"/>
                <w:color w:val="auto"/>
              </w:rPr>
            </w:pPr>
            <w:r>
              <w:rPr>
                <w:rFonts w:ascii="Arial" w:cs="Arial" w:eastAsia="Arial" w:hAnsi="Arial"/>
                <w:sz w:val="17"/>
                <w:szCs w:val="17"/>
                <w:color w:val="auto"/>
              </w:rPr>
              <w:t>Spain</w:t>
            </w:r>
          </w:p>
        </w:tc>
      </w:tr>
      <w:tr>
        <w:trPr>
          <w:trHeight w:val="547"/>
        </w:trPr>
        <w:tc>
          <w:tcPr>
            <w:tcW w:w="6400" w:type="dxa"/>
            <w:vAlign w:val="bottom"/>
            <w:gridSpan w:val="3"/>
          </w:tcPr>
          <w:p>
            <w:pPr>
              <w:ind w:left="140"/>
              <w:spacing w:after="0"/>
              <w:rPr>
                <w:sz w:val="20"/>
                <w:szCs w:val="20"/>
                <w:color w:val="auto"/>
              </w:rPr>
            </w:pPr>
            <w:r>
              <w:rPr>
                <w:rFonts w:ascii="Arial" w:cs="Arial" w:eastAsia="Arial" w:hAnsi="Arial"/>
                <w:sz w:val="17"/>
                <w:szCs w:val="17"/>
                <w:color w:val="auto"/>
              </w:rPr>
              <w:t>LGL Germany GmbH</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Germany</w:t>
            </w:r>
          </w:p>
        </w:tc>
      </w:tr>
      <w:tr>
        <w:trPr>
          <w:trHeight w:val="260"/>
        </w:trPr>
        <w:tc>
          <w:tcPr>
            <w:tcW w:w="6400" w:type="dxa"/>
            <w:vAlign w:val="bottom"/>
            <w:gridSpan w:val="3"/>
          </w:tcPr>
          <w:p>
            <w:pPr>
              <w:ind w:left="240"/>
              <w:spacing w:after="0"/>
              <w:rPr>
                <w:sz w:val="20"/>
                <w:szCs w:val="20"/>
                <w:color w:val="auto"/>
              </w:rPr>
            </w:pPr>
            <w:r>
              <w:rPr>
                <w:rFonts w:ascii="Arial" w:cs="Arial" w:eastAsia="Arial" w:hAnsi="Arial"/>
                <w:sz w:val="17"/>
                <w:szCs w:val="17"/>
                <w:color w:val="auto"/>
              </w:rPr>
              <w:t>Hyfra Ind. GmbH</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99.9%</w:t>
            </w:r>
          </w:p>
        </w:tc>
        <w:tc>
          <w:tcPr>
            <w:tcW w:w="1860" w:type="dxa"/>
            <w:vAlign w:val="bottom"/>
          </w:tcPr>
          <w:p>
            <w:pPr>
              <w:jc w:val="right"/>
              <w:spacing w:after="0"/>
              <w:rPr>
                <w:sz w:val="20"/>
                <w:szCs w:val="20"/>
                <w:color w:val="auto"/>
              </w:rPr>
            </w:pPr>
            <w:r>
              <w:rPr>
                <w:rFonts w:ascii="Arial" w:cs="Arial" w:eastAsia="Arial" w:hAnsi="Arial"/>
                <w:sz w:val="17"/>
                <w:szCs w:val="17"/>
                <w:color w:val="auto"/>
              </w:rPr>
              <w:t>Germany</w:t>
            </w:r>
          </w:p>
        </w:tc>
      </w:tr>
      <w:tr>
        <w:trPr>
          <w:trHeight w:val="260"/>
        </w:trPr>
        <w:tc>
          <w:tcPr>
            <w:tcW w:w="6400" w:type="dxa"/>
            <w:vAlign w:val="bottom"/>
            <w:gridSpan w:val="3"/>
          </w:tcPr>
          <w:p>
            <w:pPr>
              <w:ind w:left="240"/>
              <w:spacing w:after="0"/>
              <w:rPr>
                <w:sz w:val="20"/>
                <w:szCs w:val="20"/>
                <w:color w:val="auto"/>
              </w:rPr>
            </w:pPr>
            <w:r>
              <w:rPr>
                <w:rFonts w:ascii="Arial" w:cs="Arial" w:eastAsia="Arial" w:hAnsi="Arial"/>
                <w:sz w:val="17"/>
                <w:szCs w:val="17"/>
                <w:color w:val="auto"/>
              </w:rPr>
              <w:t>Lennox Deutschland GmbH</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Germany</w:t>
            </w:r>
          </w:p>
        </w:tc>
      </w:tr>
      <w:tr>
        <w:trPr>
          <w:trHeight w:val="260"/>
        </w:trPr>
        <w:tc>
          <w:tcPr>
            <w:tcW w:w="6400" w:type="dxa"/>
            <w:vAlign w:val="bottom"/>
            <w:gridSpan w:val="3"/>
          </w:tcPr>
          <w:p>
            <w:pPr>
              <w:ind w:left="240"/>
              <w:spacing w:after="0"/>
              <w:rPr>
                <w:sz w:val="20"/>
                <w:szCs w:val="20"/>
                <w:color w:val="auto"/>
              </w:rPr>
            </w:pPr>
            <w:r>
              <w:rPr>
                <w:rFonts w:ascii="Arial" w:cs="Arial" w:eastAsia="Arial" w:hAnsi="Arial"/>
                <w:sz w:val="17"/>
                <w:szCs w:val="17"/>
                <w:color w:val="auto"/>
              </w:rPr>
              <w:t>LGL Deutschland GmbH</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Germany</w:t>
            </w:r>
          </w:p>
        </w:tc>
      </w:tr>
      <w:tr>
        <w:trPr>
          <w:trHeight w:val="534"/>
        </w:trPr>
        <w:tc>
          <w:tcPr>
            <w:tcW w:w="6400" w:type="dxa"/>
            <w:vAlign w:val="bottom"/>
            <w:gridSpan w:val="3"/>
          </w:tcPr>
          <w:p>
            <w:pPr>
              <w:ind w:left="140"/>
              <w:spacing w:after="0"/>
              <w:rPr>
                <w:sz w:val="20"/>
                <w:szCs w:val="20"/>
                <w:color w:val="auto"/>
              </w:rPr>
            </w:pPr>
            <w:r>
              <w:rPr>
                <w:rFonts w:ascii="Arial" w:cs="Arial" w:eastAsia="Arial" w:hAnsi="Arial"/>
                <w:sz w:val="17"/>
                <w:szCs w:val="17"/>
                <w:color w:val="auto"/>
              </w:rPr>
              <w:t>Lennox Global Spain S.L.</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Spain</w:t>
            </w:r>
          </w:p>
        </w:tc>
      </w:tr>
      <w:tr>
        <w:trPr>
          <w:trHeight w:val="260"/>
        </w:trPr>
        <w:tc>
          <w:tcPr>
            <w:tcW w:w="6400" w:type="dxa"/>
            <w:vAlign w:val="bottom"/>
            <w:gridSpan w:val="3"/>
          </w:tcPr>
          <w:p>
            <w:pPr>
              <w:ind w:left="240"/>
              <w:spacing w:after="0"/>
              <w:rPr>
                <w:sz w:val="20"/>
                <w:szCs w:val="20"/>
                <w:color w:val="auto"/>
              </w:rPr>
            </w:pPr>
            <w:r>
              <w:rPr>
                <w:rFonts w:ascii="Arial" w:cs="Arial" w:eastAsia="Arial" w:hAnsi="Arial"/>
                <w:sz w:val="17"/>
                <w:szCs w:val="17"/>
                <w:color w:val="auto"/>
              </w:rPr>
              <w:t>LGL Refrigeration Spain S.A.</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Spain</w:t>
            </w:r>
          </w:p>
        </w:tc>
      </w:tr>
      <w:tr>
        <w:trPr>
          <w:trHeight w:val="260"/>
        </w:trPr>
        <w:tc>
          <w:tcPr>
            <w:tcW w:w="6400" w:type="dxa"/>
            <w:vAlign w:val="bottom"/>
            <w:gridSpan w:val="3"/>
          </w:tcPr>
          <w:p>
            <w:pPr>
              <w:ind w:left="240"/>
              <w:spacing w:after="0"/>
              <w:rPr>
                <w:sz w:val="20"/>
                <w:szCs w:val="20"/>
                <w:color w:val="auto"/>
              </w:rPr>
            </w:pPr>
            <w:r>
              <w:rPr>
                <w:rFonts w:ascii="Arial" w:cs="Arial" w:eastAsia="Arial" w:hAnsi="Arial"/>
                <w:sz w:val="17"/>
                <w:szCs w:val="17"/>
                <w:color w:val="auto"/>
              </w:rPr>
              <w:t>Lennox Refac, S.A.</w:t>
            </w:r>
          </w:p>
        </w:tc>
        <w:tc>
          <w:tcPr>
            <w:tcW w:w="1560" w:type="dxa"/>
            <w:vAlign w:val="bottom"/>
          </w:tcPr>
          <w:p>
            <w:pPr>
              <w:jc w:val="center"/>
              <w:ind w:right="573"/>
              <w:spacing w:after="0"/>
              <w:rPr>
                <w:sz w:val="20"/>
                <w:szCs w:val="20"/>
                <w:color w:val="auto"/>
              </w:rPr>
            </w:pPr>
            <w:r>
              <w:rPr>
                <w:rFonts w:ascii="Arial" w:cs="Arial" w:eastAsia="Arial" w:hAnsi="Arial"/>
                <w:sz w:val="17"/>
                <w:szCs w:val="17"/>
                <w:color w:val="auto"/>
                <w:w w:val="93"/>
              </w:rPr>
              <w:t>99.98%</w:t>
            </w:r>
          </w:p>
        </w:tc>
        <w:tc>
          <w:tcPr>
            <w:tcW w:w="1860" w:type="dxa"/>
            <w:vAlign w:val="bottom"/>
          </w:tcPr>
          <w:p>
            <w:pPr>
              <w:jc w:val="right"/>
              <w:spacing w:after="0"/>
              <w:rPr>
                <w:sz w:val="20"/>
                <w:szCs w:val="20"/>
                <w:color w:val="auto"/>
              </w:rPr>
            </w:pPr>
            <w:r>
              <w:rPr>
                <w:rFonts w:ascii="Arial" w:cs="Arial" w:eastAsia="Arial" w:hAnsi="Arial"/>
                <w:sz w:val="17"/>
                <w:szCs w:val="17"/>
                <w:color w:val="auto"/>
              </w:rPr>
              <w:t>Spain</w:t>
            </w:r>
          </w:p>
        </w:tc>
      </w:tr>
      <w:tr>
        <w:trPr>
          <w:trHeight w:val="260"/>
        </w:trPr>
        <w:tc>
          <w:tcPr>
            <w:tcW w:w="6400" w:type="dxa"/>
            <w:vAlign w:val="bottom"/>
            <w:gridSpan w:val="3"/>
          </w:tcPr>
          <w:p>
            <w:pPr>
              <w:ind w:left="340"/>
              <w:spacing w:after="0"/>
              <w:rPr>
                <w:sz w:val="20"/>
                <w:szCs w:val="20"/>
                <w:color w:val="auto"/>
              </w:rPr>
            </w:pPr>
            <w:r>
              <w:rPr>
                <w:rFonts w:ascii="Arial" w:cs="Arial" w:eastAsia="Arial" w:hAnsi="Arial"/>
                <w:sz w:val="17"/>
                <w:szCs w:val="17"/>
                <w:color w:val="auto"/>
              </w:rPr>
              <w:t>Lennox Portugal Lda</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Portugal</w:t>
            </w:r>
          </w:p>
        </w:tc>
      </w:tr>
      <w:tr>
        <w:trPr>
          <w:trHeight w:val="521"/>
        </w:trPr>
        <w:tc>
          <w:tcPr>
            <w:tcW w:w="6400" w:type="dxa"/>
            <w:vAlign w:val="bottom"/>
            <w:gridSpan w:val="3"/>
          </w:tcPr>
          <w:p>
            <w:pPr>
              <w:ind w:left="140"/>
              <w:spacing w:after="0"/>
              <w:rPr>
                <w:sz w:val="20"/>
                <w:szCs w:val="20"/>
                <w:color w:val="auto"/>
              </w:rPr>
            </w:pPr>
            <w:r>
              <w:rPr>
                <w:rFonts w:ascii="Arial" w:cs="Arial" w:eastAsia="Arial" w:hAnsi="Arial"/>
                <w:sz w:val="17"/>
                <w:szCs w:val="17"/>
                <w:color w:val="auto"/>
              </w:rPr>
              <w:t>Lennox Polska sp. z.o.o.</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Poland</w:t>
            </w:r>
          </w:p>
        </w:tc>
      </w:tr>
      <w:tr>
        <w:trPr>
          <w:trHeight w:val="521"/>
        </w:trPr>
        <w:tc>
          <w:tcPr>
            <w:tcW w:w="6400" w:type="dxa"/>
            <w:vAlign w:val="bottom"/>
            <w:gridSpan w:val="3"/>
          </w:tcPr>
          <w:p>
            <w:pPr>
              <w:ind w:left="140"/>
              <w:spacing w:after="0"/>
              <w:rPr>
                <w:sz w:val="20"/>
                <w:szCs w:val="20"/>
                <w:color w:val="auto"/>
              </w:rPr>
            </w:pPr>
            <w:r>
              <w:rPr>
                <w:rFonts w:ascii="Arial" w:cs="Arial" w:eastAsia="Arial" w:hAnsi="Arial"/>
                <w:sz w:val="17"/>
                <w:szCs w:val="17"/>
                <w:color w:val="auto"/>
              </w:rPr>
              <w:t>Lennox Benelux B.V.</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Netherlands</w:t>
            </w:r>
          </w:p>
        </w:tc>
      </w:tr>
      <w:tr>
        <w:trPr>
          <w:trHeight w:val="260"/>
        </w:trPr>
        <w:tc>
          <w:tcPr>
            <w:tcW w:w="6400" w:type="dxa"/>
            <w:vAlign w:val="bottom"/>
            <w:gridSpan w:val="3"/>
          </w:tcPr>
          <w:p>
            <w:pPr>
              <w:ind w:left="240"/>
              <w:spacing w:after="0"/>
              <w:rPr>
                <w:sz w:val="20"/>
                <w:szCs w:val="20"/>
                <w:color w:val="auto"/>
              </w:rPr>
            </w:pPr>
            <w:r>
              <w:rPr>
                <w:rFonts w:ascii="Arial" w:cs="Arial" w:eastAsia="Arial" w:hAnsi="Arial"/>
                <w:sz w:val="17"/>
                <w:szCs w:val="17"/>
                <w:color w:val="auto"/>
              </w:rPr>
              <w:t>Lennox Benelux N.V./S.A.</w:t>
            </w:r>
          </w:p>
        </w:tc>
        <w:tc>
          <w:tcPr>
            <w:tcW w:w="1560" w:type="dxa"/>
            <w:vAlign w:val="bottom"/>
          </w:tcPr>
          <w:p>
            <w:pPr>
              <w:jc w:val="center"/>
              <w:ind w:right="573"/>
              <w:spacing w:after="0"/>
              <w:rPr>
                <w:sz w:val="20"/>
                <w:szCs w:val="20"/>
                <w:color w:val="auto"/>
              </w:rPr>
            </w:pPr>
            <w:r>
              <w:rPr>
                <w:rFonts w:ascii="Arial" w:cs="Arial" w:eastAsia="Arial" w:hAnsi="Arial"/>
                <w:sz w:val="17"/>
                <w:szCs w:val="17"/>
                <w:color w:val="auto"/>
                <w:w w:val="92"/>
              </w:rPr>
              <w:t>99.976%</w:t>
            </w:r>
          </w:p>
        </w:tc>
        <w:tc>
          <w:tcPr>
            <w:tcW w:w="1860" w:type="dxa"/>
            <w:vAlign w:val="bottom"/>
          </w:tcPr>
          <w:p>
            <w:pPr>
              <w:jc w:val="right"/>
              <w:spacing w:after="0"/>
              <w:rPr>
                <w:sz w:val="20"/>
                <w:szCs w:val="20"/>
                <w:color w:val="auto"/>
              </w:rPr>
            </w:pPr>
            <w:r>
              <w:rPr>
                <w:rFonts w:ascii="Arial" w:cs="Arial" w:eastAsia="Arial" w:hAnsi="Arial"/>
                <w:sz w:val="17"/>
                <w:szCs w:val="17"/>
                <w:color w:val="auto"/>
              </w:rPr>
              <w:t>Belgium</w:t>
            </w:r>
          </w:p>
        </w:tc>
      </w:tr>
      <w:tr>
        <w:trPr>
          <w:trHeight w:val="260"/>
        </w:trPr>
        <w:tc>
          <w:tcPr>
            <w:tcW w:w="6400" w:type="dxa"/>
            <w:vAlign w:val="bottom"/>
            <w:gridSpan w:val="3"/>
          </w:tcPr>
          <w:p>
            <w:pPr>
              <w:ind w:left="240"/>
              <w:spacing w:after="0"/>
              <w:rPr>
                <w:sz w:val="20"/>
                <w:szCs w:val="20"/>
                <w:color w:val="auto"/>
              </w:rPr>
            </w:pPr>
            <w:r>
              <w:rPr>
                <w:rFonts w:ascii="Arial" w:cs="Arial" w:eastAsia="Arial" w:hAnsi="Arial"/>
                <w:sz w:val="17"/>
                <w:szCs w:val="17"/>
                <w:color w:val="auto"/>
              </w:rPr>
              <w:t>Lennox NAO</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2"/>
              </w:rPr>
              <w:t>0.5%</w:t>
            </w:r>
          </w:p>
        </w:tc>
        <w:tc>
          <w:tcPr>
            <w:tcW w:w="1860" w:type="dxa"/>
            <w:vAlign w:val="bottom"/>
          </w:tcPr>
          <w:p>
            <w:pPr>
              <w:jc w:val="right"/>
              <w:spacing w:after="0"/>
              <w:rPr>
                <w:sz w:val="20"/>
                <w:szCs w:val="20"/>
                <w:color w:val="auto"/>
              </w:rPr>
            </w:pPr>
            <w:r>
              <w:rPr>
                <w:rFonts w:ascii="Arial" w:cs="Arial" w:eastAsia="Arial" w:hAnsi="Arial"/>
                <w:sz w:val="17"/>
                <w:szCs w:val="17"/>
                <w:color w:val="auto"/>
              </w:rPr>
              <w:t>Russia</w:t>
            </w:r>
          </w:p>
        </w:tc>
      </w:tr>
      <w:tr>
        <w:trPr>
          <w:trHeight w:val="260"/>
        </w:trPr>
        <w:tc>
          <w:tcPr>
            <w:tcW w:w="6400" w:type="dxa"/>
            <w:vAlign w:val="bottom"/>
            <w:gridSpan w:val="3"/>
          </w:tcPr>
          <w:p>
            <w:pPr>
              <w:ind w:left="240"/>
              <w:spacing w:after="0"/>
              <w:rPr>
                <w:sz w:val="20"/>
                <w:szCs w:val="20"/>
                <w:color w:val="auto"/>
              </w:rPr>
            </w:pPr>
            <w:r>
              <w:rPr>
                <w:rFonts w:ascii="Arial" w:cs="Arial" w:eastAsia="Arial" w:hAnsi="Arial"/>
                <w:sz w:val="17"/>
                <w:szCs w:val="17"/>
                <w:color w:val="auto"/>
              </w:rPr>
              <w:t>Lennox Ukraine LLC</w:t>
            </w:r>
          </w:p>
        </w:tc>
        <w:tc>
          <w:tcPr>
            <w:tcW w:w="1560" w:type="dxa"/>
            <w:vAlign w:val="bottom"/>
          </w:tcPr>
          <w:p>
            <w:pPr>
              <w:jc w:val="center"/>
              <w:ind w:right="573"/>
              <w:spacing w:after="0"/>
              <w:rPr>
                <w:sz w:val="20"/>
                <w:szCs w:val="20"/>
                <w:color w:val="auto"/>
              </w:rPr>
            </w:pPr>
            <w:r>
              <w:rPr>
                <w:rFonts w:ascii="Arial" w:cs="Arial" w:eastAsia="Arial" w:hAnsi="Arial"/>
                <w:sz w:val="17"/>
                <w:szCs w:val="17"/>
                <w:color w:val="auto"/>
                <w:w w:val="89"/>
              </w:rPr>
              <w:t>1%</w:t>
            </w:r>
          </w:p>
        </w:tc>
        <w:tc>
          <w:tcPr>
            <w:tcW w:w="1860" w:type="dxa"/>
            <w:vAlign w:val="bottom"/>
          </w:tcPr>
          <w:p>
            <w:pPr>
              <w:jc w:val="right"/>
              <w:spacing w:after="0"/>
              <w:rPr>
                <w:sz w:val="20"/>
                <w:szCs w:val="20"/>
                <w:color w:val="auto"/>
              </w:rPr>
            </w:pPr>
            <w:r>
              <w:rPr>
                <w:rFonts w:ascii="Arial" w:cs="Arial" w:eastAsia="Arial" w:hAnsi="Arial"/>
                <w:sz w:val="17"/>
                <w:szCs w:val="17"/>
                <w:color w:val="auto"/>
              </w:rPr>
              <w:t>Ukraine</w:t>
            </w:r>
          </w:p>
        </w:tc>
      </w:tr>
      <w:tr>
        <w:trPr>
          <w:trHeight w:val="534"/>
        </w:trPr>
        <w:tc>
          <w:tcPr>
            <w:tcW w:w="6400" w:type="dxa"/>
            <w:vAlign w:val="bottom"/>
            <w:gridSpan w:val="3"/>
          </w:tcPr>
          <w:p>
            <w:pPr>
              <w:ind w:left="140"/>
              <w:spacing w:after="0"/>
              <w:rPr>
                <w:sz w:val="20"/>
                <w:szCs w:val="20"/>
                <w:color w:val="auto"/>
              </w:rPr>
            </w:pPr>
            <w:r>
              <w:rPr>
                <w:rFonts w:ascii="Arial" w:cs="Arial" w:eastAsia="Arial" w:hAnsi="Arial"/>
                <w:sz w:val="17"/>
                <w:szCs w:val="17"/>
                <w:color w:val="auto"/>
              </w:rPr>
              <w:t>HCF-Lennox Limited</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United Kingdom</w:t>
            </w:r>
          </w:p>
        </w:tc>
      </w:tr>
      <w:tr>
        <w:trPr>
          <w:trHeight w:val="260"/>
        </w:trPr>
        <w:tc>
          <w:tcPr>
            <w:tcW w:w="6400" w:type="dxa"/>
            <w:vAlign w:val="bottom"/>
            <w:gridSpan w:val="3"/>
          </w:tcPr>
          <w:p>
            <w:pPr>
              <w:ind w:left="240"/>
              <w:spacing w:after="0"/>
              <w:rPr>
                <w:sz w:val="20"/>
                <w:szCs w:val="20"/>
                <w:color w:val="auto"/>
              </w:rPr>
            </w:pPr>
            <w:r>
              <w:rPr>
                <w:rFonts w:ascii="Arial" w:cs="Arial" w:eastAsia="Arial" w:hAnsi="Arial"/>
                <w:sz w:val="17"/>
                <w:szCs w:val="17"/>
                <w:color w:val="auto"/>
              </w:rPr>
              <w:t>Lennox Industries</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100%</w:t>
            </w:r>
          </w:p>
        </w:tc>
        <w:tc>
          <w:tcPr>
            <w:tcW w:w="1860" w:type="dxa"/>
            <w:vAlign w:val="bottom"/>
          </w:tcPr>
          <w:p>
            <w:pPr>
              <w:jc w:val="right"/>
              <w:spacing w:after="0"/>
              <w:rPr>
                <w:sz w:val="20"/>
                <w:szCs w:val="20"/>
                <w:color w:val="auto"/>
              </w:rPr>
            </w:pPr>
            <w:r>
              <w:rPr>
                <w:rFonts w:ascii="Arial" w:cs="Arial" w:eastAsia="Arial" w:hAnsi="Arial"/>
                <w:sz w:val="17"/>
                <w:szCs w:val="17"/>
                <w:color w:val="auto"/>
              </w:rPr>
              <w:t>United Kingdom</w:t>
            </w:r>
          </w:p>
        </w:tc>
      </w:tr>
      <w:tr>
        <w:trPr>
          <w:trHeight w:val="521"/>
        </w:trPr>
        <w:tc>
          <w:tcPr>
            <w:tcW w:w="6400" w:type="dxa"/>
            <w:vAlign w:val="bottom"/>
            <w:gridSpan w:val="3"/>
          </w:tcPr>
          <w:p>
            <w:pPr>
              <w:ind w:left="140"/>
              <w:spacing w:after="0"/>
              <w:rPr>
                <w:sz w:val="20"/>
                <w:szCs w:val="20"/>
                <w:color w:val="auto"/>
              </w:rPr>
            </w:pPr>
            <w:r>
              <w:rPr>
                <w:rFonts w:ascii="Arial" w:cs="Arial" w:eastAsia="Arial" w:hAnsi="Arial"/>
                <w:sz w:val="17"/>
                <w:szCs w:val="17"/>
                <w:color w:val="auto"/>
              </w:rPr>
              <w:t>Lennox NAO</w:t>
            </w:r>
          </w:p>
        </w:tc>
        <w:tc>
          <w:tcPr>
            <w:tcW w:w="1560" w:type="dxa"/>
            <w:vAlign w:val="bottom"/>
          </w:tcPr>
          <w:p>
            <w:pPr>
              <w:jc w:val="center"/>
              <w:ind w:right="553"/>
              <w:spacing w:after="0"/>
              <w:rPr>
                <w:sz w:val="20"/>
                <w:szCs w:val="20"/>
                <w:color w:val="auto"/>
              </w:rPr>
            </w:pPr>
            <w:r>
              <w:rPr>
                <w:rFonts w:ascii="Arial" w:cs="Arial" w:eastAsia="Arial" w:hAnsi="Arial"/>
                <w:sz w:val="17"/>
                <w:szCs w:val="17"/>
                <w:color w:val="auto"/>
                <w:w w:val="91"/>
              </w:rPr>
              <w:t>99.5%</w:t>
            </w:r>
          </w:p>
        </w:tc>
        <w:tc>
          <w:tcPr>
            <w:tcW w:w="1860" w:type="dxa"/>
            <w:vAlign w:val="bottom"/>
          </w:tcPr>
          <w:p>
            <w:pPr>
              <w:jc w:val="right"/>
              <w:spacing w:after="0"/>
              <w:rPr>
                <w:sz w:val="20"/>
                <w:szCs w:val="20"/>
                <w:color w:val="auto"/>
              </w:rPr>
            </w:pPr>
            <w:r>
              <w:rPr>
                <w:rFonts w:ascii="Arial" w:cs="Arial" w:eastAsia="Arial" w:hAnsi="Arial"/>
                <w:sz w:val="17"/>
                <w:szCs w:val="17"/>
                <w:color w:val="auto"/>
              </w:rPr>
              <w:t>Russia</w:t>
            </w:r>
          </w:p>
        </w:tc>
      </w:tr>
    </w:tbl>
    <w:p>
      <w:pPr>
        <w:sectPr>
          <w:pgSz w:w="11900" w:h="16838" w:orient="portrait"/>
          <w:cols w:equalWidth="0" w:num="1">
            <w:col w:w="9820"/>
          </w:cols>
          <w:pgMar w:left="1040" w:top="538" w:right="10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23.1</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66" w:lineRule="exact"/>
        <w:rPr>
          <w:sz w:val="20"/>
          <w:szCs w:val="20"/>
          <w:color w:val="auto"/>
        </w:rPr>
      </w:pPr>
    </w:p>
    <w:p>
      <w:pPr>
        <w:spacing w:after="0"/>
        <w:rPr>
          <w:sz w:val="20"/>
          <w:szCs w:val="20"/>
          <w:color w:val="auto"/>
        </w:rPr>
      </w:pPr>
      <w:r>
        <w:rPr>
          <w:rFonts w:ascii="Arial" w:cs="Arial" w:eastAsia="Arial" w:hAnsi="Arial"/>
          <w:sz w:val="21"/>
          <w:szCs w:val="21"/>
          <w:color w:val="auto"/>
        </w:rPr>
        <w:t>The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Lennox International Inc.:</w:t>
      </w:r>
    </w:p>
    <w:p>
      <w:pPr>
        <w:spacing w:after="0" w:line="175" w:lineRule="exact"/>
        <w:rPr>
          <w:sz w:val="20"/>
          <w:szCs w:val="20"/>
          <w:color w:val="auto"/>
        </w:rPr>
      </w:pPr>
    </w:p>
    <w:p>
      <w:pPr>
        <w:ind w:right="60"/>
        <w:spacing w:after="0" w:line="249" w:lineRule="exact"/>
        <w:rPr>
          <w:sz w:val="20"/>
          <w:szCs w:val="20"/>
          <w:color w:val="auto"/>
        </w:rPr>
      </w:pPr>
      <w:r>
        <w:rPr>
          <w:rFonts w:ascii="Arial" w:cs="Arial" w:eastAsia="Arial" w:hAnsi="Arial"/>
          <w:sz w:val="19"/>
          <w:szCs w:val="19"/>
          <w:color w:val="auto"/>
        </w:rPr>
        <w:t>We consent to the incorporation by reference in the registration statements (Nos. 333</w:t>
      </w:r>
      <w:r>
        <w:rPr>
          <w:rFonts w:ascii="MS PGothic" w:cs="MS PGothic" w:eastAsia="MS PGothic" w:hAnsi="MS PGothic"/>
          <w:sz w:val="19"/>
          <w:szCs w:val="19"/>
          <w:color w:val="auto"/>
        </w:rPr>
        <w:t>‑</w:t>
      </w:r>
      <w:r>
        <w:rPr>
          <w:rFonts w:ascii="Arial" w:cs="Arial" w:eastAsia="Arial" w:hAnsi="Arial"/>
          <w:sz w:val="19"/>
          <w:szCs w:val="19"/>
          <w:color w:val="auto"/>
        </w:rPr>
        <w:t>181369, 333-127540, 333-91130, 333-91128, 333-71416, 333-60122, 333-52046, 333-86989, 333-83961, and 333-83959) on Form S-8 of Lennox International Inc. and subsidiaries of our report dated February 18, 2020, with respect to the consolidated balance sheets of Lennox International Inc. and subsidiaries as of December 31, 2019 and 2018, the related consolidated statements of operations, comprehensive (loss) income, stockholders’ (deficit) equity, and cash flows for each of the years in the three-year period ended December 31, 2019, and the related notes and Schedule II - Valuation and Qualifying Accounts and Reserves, and the effectiveness of internal control over financial reporting as of December 31, 2019, which report appears in the December 31, 2019 annual report on Form 10</w:t>
      </w:r>
      <w:r>
        <w:rPr>
          <w:rFonts w:ascii="MS PGothic" w:cs="MS PGothic" w:eastAsia="MS PGothic" w:hAnsi="MS PGothic"/>
          <w:sz w:val="19"/>
          <w:szCs w:val="19"/>
          <w:color w:val="auto"/>
        </w:rPr>
        <w:t>‑</w:t>
      </w:r>
      <w:r>
        <w:rPr>
          <w:rFonts w:ascii="Arial" w:cs="Arial" w:eastAsia="Arial" w:hAnsi="Arial"/>
          <w:sz w:val="19"/>
          <w:szCs w:val="19"/>
          <w:color w:val="auto"/>
        </w:rPr>
        <w:t xml:space="preserve">K of Lennox International Inc. Our report refers to the adoption of Accounting Standards Update (ASU) No. 2016-02, </w:t>
      </w:r>
      <w:r>
        <w:rPr>
          <w:rFonts w:ascii="Arial" w:cs="Arial" w:eastAsia="Arial" w:hAnsi="Arial"/>
          <w:sz w:val="19"/>
          <w:szCs w:val="19"/>
          <w:i w:val="1"/>
          <w:iCs w:val="1"/>
          <w:color w:val="auto"/>
        </w:rPr>
        <w:t>Leases (Topic 842)</w:t>
      </w:r>
      <w:r>
        <w:rPr>
          <w:rFonts w:ascii="Arial" w:cs="Arial" w:eastAsia="Arial" w:hAnsi="Arial"/>
          <w:sz w:val="19"/>
          <w:szCs w:val="19"/>
          <w:color w:val="auto"/>
        </w:rPr>
        <w:t xml:space="preserve"> and to the adoption of Accounting Standards Update (ASU) No. 2014-09, </w:t>
      </w:r>
      <w:r>
        <w:rPr>
          <w:rFonts w:ascii="Arial" w:cs="Arial" w:eastAsia="Arial" w:hAnsi="Arial"/>
          <w:sz w:val="19"/>
          <w:szCs w:val="19"/>
          <w:i w:val="1"/>
          <w:iCs w:val="1"/>
          <w:color w:val="auto"/>
        </w:rPr>
        <w:t>Revenue from Contracts with Customers (Topic 606)</w:t>
      </w:r>
      <w:r>
        <w:rPr>
          <w:rFonts w:ascii="Arial" w:cs="Arial" w:eastAsia="Arial" w:hAnsi="Arial"/>
          <w:sz w:val="19"/>
          <w:szCs w:val="19"/>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(signed) KPMG LLP</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Dallas, Texas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February 18, 2020</w:t>
      </w:r>
    </w:p>
    <w:p>
      <w:pPr>
        <w:sectPr>
          <w:pgSz w:w="11900" w:h="16838" w:orient="portrait"/>
          <w:cols w:equalWidth="0" w:num="1">
            <w:col w:w="11420"/>
          </w:cols>
          <w:pgMar w:left="240" w:top="616"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color w:val="auto"/>
        </w:rPr>
        <w:t>Exhibit 31.1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I, Todd M. Bluedorn, certify that:</w:t>
      </w:r>
    </w:p>
    <w:p>
      <w:pPr>
        <w:spacing w:after="0" w:line="117" w:lineRule="exact"/>
        <w:rPr>
          <w:sz w:val="20"/>
          <w:szCs w:val="20"/>
          <w:color w:val="auto"/>
        </w:rPr>
      </w:pPr>
    </w:p>
    <w:p>
      <w:pPr>
        <w:ind w:left="620" w:hanging="616"/>
        <w:spacing w:after="0"/>
        <w:tabs>
          <w:tab w:leader="none" w:pos="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Lennox International Inc.;</w:t>
      </w:r>
    </w:p>
    <w:p>
      <w:pPr>
        <w:spacing w:after="0" w:line="117" w:lineRule="exact"/>
        <w:rPr>
          <w:rFonts w:ascii="Arial" w:cs="Arial" w:eastAsia="Arial" w:hAnsi="Arial"/>
          <w:sz w:val="17"/>
          <w:szCs w:val="17"/>
          <w:color w:val="auto"/>
        </w:rPr>
      </w:pPr>
    </w:p>
    <w:p>
      <w:pPr>
        <w:ind w:left="620" w:right="220" w:hanging="616"/>
        <w:spacing w:after="0" w:line="356" w:lineRule="auto"/>
        <w:tabs>
          <w:tab w:leader="none" w:pos="6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5"/>
          <w:szCs w:val="15"/>
          <w:color w:val="auto"/>
        </w:rPr>
      </w:pPr>
    </w:p>
    <w:p>
      <w:pPr>
        <w:ind w:left="620" w:right="20" w:hanging="616"/>
        <w:spacing w:after="0" w:line="286" w:lineRule="auto"/>
        <w:tabs>
          <w:tab w:leader="none" w:pos="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7"/>
          <w:szCs w:val="17"/>
          <w:color w:val="auto"/>
        </w:rPr>
      </w:pPr>
    </w:p>
    <w:p>
      <w:pPr>
        <w:ind w:left="620" w:right="40" w:hanging="616"/>
        <w:spacing w:after="0" w:line="271" w:lineRule="auto"/>
        <w:tabs>
          <w:tab w:leader="none" w:pos="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ind w:left="940" w:right="140" w:hanging="311"/>
        <w:spacing w:after="0" w:line="271" w:lineRule="auto"/>
        <w:tabs>
          <w:tab w:leader="none" w:pos="9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940" w:right="120" w:hanging="311"/>
        <w:spacing w:after="0" w:line="271" w:lineRule="auto"/>
        <w:tabs>
          <w:tab w:leader="none" w:pos="9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ind w:left="940" w:right="180" w:hanging="311"/>
        <w:spacing w:after="0" w:line="286" w:lineRule="auto"/>
        <w:tabs>
          <w:tab w:leader="none" w:pos="9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7"/>
          <w:szCs w:val="17"/>
          <w:color w:val="auto"/>
        </w:rPr>
      </w:pPr>
    </w:p>
    <w:p>
      <w:pPr>
        <w:ind w:left="940" w:right="40" w:hanging="311"/>
        <w:spacing w:after="0" w:line="271" w:lineRule="auto"/>
        <w:tabs>
          <w:tab w:leader="none" w:pos="9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620" w:right="400" w:hanging="616"/>
        <w:spacing w:after="0" w:line="319" w:lineRule="auto"/>
        <w:tabs>
          <w:tab w:leader="none" w:pos="6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6"/>
          <w:szCs w:val="16"/>
          <w:color w:val="auto"/>
        </w:rPr>
      </w:pPr>
    </w:p>
    <w:p>
      <w:pPr>
        <w:ind w:left="940" w:right="100" w:hanging="311"/>
        <w:spacing w:after="0" w:line="286" w:lineRule="auto"/>
        <w:tabs>
          <w:tab w:leader="none" w:pos="9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left="940" w:right="140" w:hanging="311"/>
        <w:spacing w:after="0" w:line="286" w:lineRule="auto"/>
        <w:tabs>
          <w:tab w:leader="none" w:pos="9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18, 2020</w:t>
      </w:r>
    </w:p>
    <w:p>
      <w:pPr>
        <w:spacing w:after="0" w:line="169"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32385</wp:posOffset>
            </wp:positionV>
            <wp:extent cx="28276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2827655" cy="8255"/>
                    </a:xfrm>
                    <a:prstGeom prst="rect">
                      <a:avLst/>
                    </a:prstGeom>
                    <a:noFill/>
                  </pic:spPr>
                </pic:pic>
              </a:graphicData>
            </a:graphic>
          </wp:anchor>
        </w:drawing>
      </w:r>
    </w:p>
    <w:p>
      <w:pPr>
        <w:spacing w:after="0" w:line="58"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Todd M. Bluedorn</w:t>
      </w:r>
    </w:p>
    <w:p>
      <w:pPr>
        <w:spacing w:after="0" w:line="65"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27"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color w:val="auto"/>
        </w:rPr>
        <w:t>Exhibit 31.2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I, Joseph W. Reitmeier, certify that:</w:t>
      </w:r>
    </w:p>
    <w:p>
      <w:pPr>
        <w:spacing w:after="0" w:line="117" w:lineRule="exact"/>
        <w:rPr>
          <w:sz w:val="20"/>
          <w:szCs w:val="20"/>
          <w:color w:val="auto"/>
        </w:rPr>
      </w:pPr>
    </w:p>
    <w:p>
      <w:pPr>
        <w:ind w:left="620" w:hanging="616"/>
        <w:spacing w:after="0"/>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Lennox International Inc.;</w:t>
      </w:r>
    </w:p>
    <w:p>
      <w:pPr>
        <w:spacing w:after="0" w:line="117" w:lineRule="exact"/>
        <w:rPr>
          <w:rFonts w:ascii="Arial" w:cs="Arial" w:eastAsia="Arial" w:hAnsi="Arial"/>
          <w:sz w:val="17"/>
          <w:szCs w:val="17"/>
          <w:color w:val="auto"/>
        </w:rPr>
      </w:pPr>
    </w:p>
    <w:p>
      <w:pPr>
        <w:ind w:left="620" w:right="220" w:hanging="616"/>
        <w:spacing w:after="0" w:line="356" w:lineRule="auto"/>
        <w:tabs>
          <w:tab w:leader="none" w:pos="6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5"/>
          <w:szCs w:val="15"/>
          <w:color w:val="auto"/>
        </w:rPr>
      </w:pPr>
    </w:p>
    <w:p>
      <w:pPr>
        <w:ind w:left="620" w:right="20" w:hanging="616"/>
        <w:spacing w:after="0" w:line="286" w:lineRule="auto"/>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7"/>
          <w:szCs w:val="17"/>
          <w:color w:val="auto"/>
        </w:rPr>
      </w:pPr>
    </w:p>
    <w:p>
      <w:pPr>
        <w:ind w:left="620" w:right="40" w:hanging="616"/>
        <w:spacing w:after="0" w:line="271" w:lineRule="auto"/>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ind w:left="1260" w:right="320" w:hanging="631"/>
        <w:spacing w:after="0" w:line="271" w:lineRule="auto"/>
        <w:tabs>
          <w:tab w:leader="none" w:pos="12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1260" w:right="20" w:hanging="631"/>
        <w:spacing w:after="0" w:line="271" w:lineRule="auto"/>
        <w:tabs>
          <w:tab w:leader="none" w:pos="12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jc w:val="both"/>
        <w:ind w:left="1260" w:right="780" w:hanging="631"/>
        <w:spacing w:after="0" w:line="356" w:lineRule="auto"/>
        <w:tabs>
          <w:tab w:leader="none" w:pos="126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5"/>
          <w:szCs w:val="15"/>
          <w:color w:val="auto"/>
        </w:rPr>
      </w:pPr>
    </w:p>
    <w:p>
      <w:pPr>
        <w:ind w:left="1260" w:right="40" w:hanging="631"/>
        <w:spacing w:after="0" w:line="271" w:lineRule="auto"/>
        <w:tabs>
          <w:tab w:leader="none" w:pos="12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620" w:right="400" w:hanging="616"/>
        <w:spacing w:after="0" w:line="319" w:lineRule="auto"/>
        <w:tabs>
          <w:tab w:leader="none" w:pos="6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6"/>
          <w:szCs w:val="16"/>
          <w:color w:val="auto"/>
        </w:rPr>
      </w:pPr>
    </w:p>
    <w:p>
      <w:pPr>
        <w:ind w:left="1260" w:right="220" w:hanging="631"/>
        <w:spacing w:after="0" w:line="286" w:lineRule="auto"/>
        <w:tabs>
          <w:tab w:leader="none" w:pos="12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left="1260" w:right="180" w:hanging="631"/>
        <w:spacing w:after="0" w:line="286" w:lineRule="auto"/>
        <w:tabs>
          <w:tab w:leader="none" w:pos="12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18, 2020</w:t>
      </w:r>
    </w:p>
    <w:p>
      <w:pPr>
        <w:spacing w:after="0" w:line="169"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32385</wp:posOffset>
            </wp:positionV>
            <wp:extent cx="28276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2827655" cy="8255"/>
                    </a:xfrm>
                    <a:prstGeom prst="rect">
                      <a:avLst/>
                    </a:prstGeom>
                    <a:noFill/>
                  </pic:spPr>
                </pic:pic>
              </a:graphicData>
            </a:graphic>
          </wp:anchor>
        </w:drawing>
      </w:r>
    </w:p>
    <w:p>
      <w:pPr>
        <w:spacing w:after="0" w:line="58"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Joseph W. Reitmeier</w:t>
      </w:r>
    </w:p>
    <w:p>
      <w:pPr>
        <w:spacing w:after="0" w:line="65"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27"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7" w:lineRule="exact"/>
        <w:rPr>
          <w:sz w:val="20"/>
          <w:szCs w:val="20"/>
          <w:color w:val="auto"/>
        </w:rPr>
      </w:pPr>
    </w:p>
    <w:p>
      <w:pPr>
        <w:ind w:right="220" w:firstLine="417"/>
        <w:spacing w:after="0" w:line="266" w:lineRule="auto"/>
        <w:rPr>
          <w:sz w:val="20"/>
          <w:szCs w:val="20"/>
          <w:color w:val="auto"/>
        </w:rPr>
      </w:pPr>
      <w:r>
        <w:rPr>
          <w:rFonts w:ascii="Arial" w:cs="Arial" w:eastAsia="Arial" w:hAnsi="Arial"/>
          <w:sz w:val="17"/>
          <w:szCs w:val="17"/>
          <w:color w:val="auto"/>
        </w:rPr>
        <w:t>In connection with the Quarterly Report of Lennox International Inc. (the “Company”) on Form 10-K for the fiscal year ended December 31, 2019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23" w:lineRule="exact"/>
        <w:rPr>
          <w:sz w:val="20"/>
          <w:szCs w:val="20"/>
          <w:color w:val="auto"/>
        </w:rPr>
      </w:pPr>
    </w:p>
    <w:p>
      <w:pPr>
        <w:ind w:left="620" w:hanging="303"/>
        <w:spacing w:after="0"/>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9" w:lineRule="exact"/>
        <w:rPr>
          <w:rFonts w:ascii="Arial" w:cs="Arial" w:eastAsia="Arial" w:hAnsi="Arial"/>
          <w:sz w:val="17"/>
          <w:szCs w:val="17"/>
          <w:color w:val="auto"/>
        </w:rPr>
      </w:pPr>
    </w:p>
    <w:p>
      <w:pPr>
        <w:ind w:left="620" w:hanging="303"/>
        <w:spacing w:after="0"/>
        <w:tabs>
          <w:tab w:leader="none" w:pos="6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28359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2835910" cy="8255"/>
                    </a:xfrm>
                    <a:prstGeom prst="rect">
                      <a:avLst/>
                    </a:prstGeom>
                    <a:noFill/>
                  </pic:spPr>
                </pic:pic>
              </a:graphicData>
            </a:graphic>
          </wp:anchor>
        </w:drawing>
      </w:r>
    </w:p>
    <w:p>
      <w:pPr>
        <w:spacing w:after="0" w:line="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Todd M. Bluedorn</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Chief Executive Officer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February 18, 2020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28359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2835910" cy="8255"/>
                    </a:xfrm>
                    <a:prstGeom prst="rect">
                      <a:avLst/>
                    </a:prstGeom>
                    <a:noFill/>
                  </pic:spPr>
                </pic:pic>
              </a:graphicData>
            </a:graphic>
          </wp:anchor>
        </w:drawing>
      </w:r>
    </w:p>
    <w:p>
      <w:pPr>
        <w:spacing w:after="0" w:line="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Joseph W. Reitmeier</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Chief Financial Officer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February 18, 2020</w:t>
      </w:r>
    </w:p>
    <w:p>
      <w:pPr>
        <w:spacing w:after="0" w:line="169" w:lineRule="exact"/>
        <w:rPr>
          <w:sz w:val="20"/>
          <w:szCs w:val="20"/>
          <w:color w:val="auto"/>
        </w:rPr>
      </w:pPr>
    </w:p>
    <w:p>
      <w:pPr>
        <w:ind w:right="420" w:firstLine="417"/>
        <w:spacing w:after="0" w:line="271" w:lineRule="auto"/>
        <w:rPr>
          <w:sz w:val="20"/>
          <w:szCs w:val="20"/>
          <w:color w:val="auto"/>
        </w:rPr>
      </w:pPr>
      <w:r>
        <w:rPr>
          <w:rFonts w:ascii="Arial" w:cs="Arial" w:eastAsia="Arial" w:hAnsi="Arial"/>
          <w:sz w:val="17"/>
          <w:szCs w:val="17"/>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420"/>
      </w:cols>
      <w:pgMar w:left="240" w:top="5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1)"/>
      <w:numFmt w:val="decimal"/>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1)"/>
      <w:numFmt w:val="decimal"/>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1)"/>
      <w:numFmt w:val="decimal"/>
      <w:start w:val="1"/>
    </w:lvl>
  </w:abstractNum>
  <w:abstractNum w:abstractNumId="11">
    <w:nsid w:val="39386575"/>
    <w:multiLevelType w:val="hybridMultilevel"/>
    <w:lvl w:ilvl="0">
      <w:lvlJc w:val="left"/>
      <w:lvlText w:val="(%1)"/>
      <w:numFmt w:val="decimal"/>
      <w:start w:val="1"/>
    </w:lvl>
  </w:abstractNum>
  <w:abstractNum w:abstractNumId="12">
    <w:nsid w:val="1CF10FD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3">
    <w:nsid w:val="180115BE"/>
    <w:multiLevelType w:val="hybridMultilevel"/>
    <w:lvl w:ilvl="0">
      <w:lvlJc w:val="left"/>
      <w:lvlText w:val="•"/>
      <w:numFmt w:val="bullet"/>
      <w:start w:val="1"/>
    </w:lvl>
    <w:lvl w:ilvl="1">
      <w:lvlJc w:val="left"/>
      <w:lvlText w:val="◦"/>
      <w:numFmt w:val="bullet"/>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decimal"/>
      <w:start w:val="2"/>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1)"/>
      <w:numFmt w:val="decimal"/>
      <w:start w:val="1"/>
    </w:lvl>
  </w:abstractNum>
  <w:abstractNum w:abstractNumId="18">
    <w:nsid w:val="741226BB"/>
    <w:multiLevelType w:val="hybridMultilevel"/>
    <w:lvl w:ilvl="0">
      <w:lvlJc w:val="left"/>
      <w:lvlText w:val="(%1)"/>
      <w:numFmt w:val="decimal"/>
      <w:start w:val="1"/>
    </w:lvl>
  </w:abstractNum>
  <w:abstractNum w:abstractNumId="19">
    <w:nsid w:val="D34B6A8"/>
    <w:multiLevelType w:val="hybridMultilevel"/>
    <w:lvl w:ilvl="0">
      <w:lvlJc w:val="left"/>
      <w:lvlText w:val="(%1)"/>
      <w:numFmt w:val="decimal"/>
      <w:start w:val="1"/>
    </w:lvl>
  </w:abstractNum>
  <w:abstractNum w:abstractNumId="20">
    <w:nsid w:val="10233C99"/>
    <w:multiLevelType w:val="hybridMultilevel"/>
    <w:lvl w:ilvl="0">
      <w:lvlJc w:val="left"/>
      <w:lvlText w:val="(%1)"/>
      <w:numFmt w:val="decimal"/>
      <w:start w:val="6"/>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1)"/>
      <w:numFmt w:val="decimal"/>
      <w:start w:val="1"/>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1)"/>
      <w:numFmt w:val="decimal"/>
      <w:start w:val="1"/>
    </w:lvl>
  </w:abstractNum>
  <w:abstractNum w:abstractNumId="25">
    <w:nsid w:val="579BE4F1"/>
    <w:multiLevelType w:val="hybridMultilevel"/>
    <w:lvl w:ilvl="0">
      <w:lvlJc w:val="left"/>
      <w:lvlText w:val="(%1)"/>
      <w:numFmt w:val="decimal"/>
      <w:start w:val="1"/>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decimal"/>
      <w:start w:val="104"/>
    </w:lvl>
    <w:lvl w:ilvl="1">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1)"/>
      <w:numFmt w:val="lowerLetter"/>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lvl w:ilvl="1">
      <w:lvlJc w:val="left"/>
      <w:lvlText w:val="o"/>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2">
    <w:nsid w:val="42C296BD"/>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3">
    <w:nsid w:val="168E121F"/>
    <w:multiLevelType w:val="hybridMultilevel"/>
    <w:lvl w:ilvl="0">
      <w:lvlJc w:val="left"/>
      <w:lvlText w:val="1"/>
      <w:numFmt w:val="bullet"/>
      <w:start w:val="1"/>
    </w:lvl>
  </w:abstractNum>
  <w:abstractNum w:abstractNumId="44">
    <w:nsid w:val="1EBA5D23"/>
    <w:multiLevelType w:val="hybridMultilevel"/>
    <w:lvl w:ilvl="0">
      <w:lvlJc w:val="left"/>
      <w:lvlText w:val="%1."/>
      <w:numFmt w:val="decimal"/>
      <w:start w:val="3"/>
    </w:lvl>
  </w:abstractNum>
  <w:abstractNum w:abstractNumId="45">
    <w:nsid w:val="661E3F1E"/>
    <w:multiLevelType w:val="hybridMultilevel"/>
    <w:lvl w:ilvl="0">
      <w:lvlJc w:val="left"/>
      <w:lvlText w:val="(%1)"/>
      <w:numFmt w:val="lowerLetter"/>
      <w:start w:val="1"/>
    </w:lvl>
  </w:abstractNum>
  <w:abstractNum w:abstractNumId="46">
    <w:nsid w:val="5DC79EA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7">
    <w:nsid w:val="540A471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8">
    <w:nsid w:val="7BD3EE7B"/>
    <w:multiLevelType w:val="hybridMultilevel"/>
    <w:lvl w:ilvl="0">
      <w:lvlJc w:val="left"/>
      <w:lvlText w:val="1"/>
      <w:numFmt w:val="bullet"/>
      <w:start w:val="1"/>
    </w:lvl>
  </w:abstractNum>
  <w:abstractNum w:abstractNumId="49">
    <w:nsid w:val="51D9C564"/>
    <w:multiLevelType w:val="hybridMultilevel"/>
    <w:lvl w:ilvl="0">
      <w:lvlJc w:val="left"/>
      <w:lvlText w:val="%1"/>
      <w:numFmt w:val="lowerLetter"/>
      <w:start w:val="1"/>
    </w:lvl>
    <w:lvl w:ilvl="1">
      <w:lvlJc w:val="left"/>
      <w:lvlText w:val="(%2)"/>
      <w:numFmt w:val="lowerLetter"/>
      <w:start w:val="3"/>
    </w:lvl>
  </w:abstractNum>
  <w:abstractNum w:abstractNumId="50">
    <w:nsid w:val="613EFDC5"/>
    <w:multiLevelType w:val="hybridMultilevel"/>
    <w:lvl w:ilvl="0">
      <w:lvlJc w:val="left"/>
      <w:lvlText w:val="(%1)"/>
      <w:numFmt w:val="lowerLetter"/>
      <w:start w:val="61"/>
    </w:lvl>
    <w:lvl w:ilvl="1">
      <w:lvlJc w:val="left"/>
      <w:lvlText w:val="%2"/>
      <w:numFmt w:val="lowerLetter"/>
      <w:start w:val="1"/>
    </w:lvl>
  </w:abstractNum>
  <w:abstractNum w:abstractNumId="51">
    <w:nsid w:val="BF72B14"/>
    <w:multiLevelType w:val="hybridMultilevel"/>
    <w:lvl w:ilvl="0">
      <w:lvlJc w:val="left"/>
      <w:lvlText w:val="1"/>
      <w:numFmt w:val="bullet"/>
      <w:start w:val="1"/>
    </w:lvl>
  </w:abstractNum>
  <w:abstractNum w:abstractNumId="52">
    <w:nsid w:val="11447B73"/>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53">
    <w:nsid w:val="42963E5A"/>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4">
    <w:nsid w:val="A0382C5"/>
    <w:multiLevelType w:val="hybridMultilevel"/>
    <w:lvl w:ilvl="0">
      <w:lvlJc w:val="left"/>
      <w:lvlText w:val="1"/>
      <w:numFmt w:val="bullet"/>
      <w:start w:val="1"/>
    </w:lvl>
  </w:abstractNum>
  <w:abstractNum w:abstractNumId="55">
    <w:nsid w:val="8F2B15E"/>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56">
    <w:nsid w:val="1A32234B"/>
    <w:multiLevelType w:val="hybridMultilevel"/>
    <w:lvl w:ilvl="0">
      <w:lvlJc w:val="left"/>
      <w:lvlText w:val="%1."/>
      <w:numFmt w:val="decimal"/>
      <w:start w:val="7"/>
    </w:lvl>
    <w:lvl w:ilvl="1">
      <w:lvlJc w:val="left"/>
      <w:lvlText w:val="%2."/>
      <w:numFmt w:val="decimal"/>
      <w:start w:val="8"/>
    </w:lvl>
    <w:lvl w:ilvl="2">
      <w:lvlJc w:val="left"/>
      <w:lvlText w:val="%3"/>
      <w:numFmt w:val="decimal"/>
      <w:start w:val="1"/>
    </w:lvl>
  </w:abstractNum>
  <w:abstractNum w:abstractNumId="57">
    <w:nsid w:val="3B0FD379"/>
    <w:multiLevelType w:val="hybridMultilevel"/>
    <w:lvl w:ilvl="0">
      <w:lvlJc w:val="left"/>
      <w:lvlText w:val="1"/>
      <w:numFmt w:val="bullet"/>
      <w:start w:val="1"/>
    </w:lvl>
  </w:abstractNum>
  <w:abstractNum w:abstractNumId="58">
    <w:nsid w:val="68EB2F63"/>
    <w:multiLevelType w:val="hybridMultilevel"/>
    <w:lvl w:ilvl="0">
      <w:lvlJc w:val="left"/>
      <w:lvlText w:val="%1."/>
      <w:numFmt w:val="decimal"/>
      <w:start w:val="9"/>
    </w:lvl>
  </w:abstractNum>
  <w:abstractNum w:abstractNumId="59">
    <w:nsid w:val="4962813B"/>
    <w:multiLevelType w:val="hybridMultilevel"/>
    <w:lvl w:ilvl="0">
      <w:lvlJc w:val="left"/>
      <w:lvlText w:val="(%1)"/>
      <w:numFmt w:val="lowerLetter"/>
      <w:start w:val="1"/>
    </w:lvl>
  </w:abstractNum>
  <w:abstractNum w:abstractNumId="60">
    <w:nsid w:val="60B6DF70"/>
    <w:multiLevelType w:val="hybridMultilevel"/>
    <w:lvl w:ilvl="0">
      <w:lvlJc w:val="left"/>
      <w:lvlText w:val="(%1)"/>
      <w:numFmt w:val="lowerLetter"/>
      <w:start w:val="2"/>
    </w:lvl>
  </w:abstractNum>
  <w:abstractNum w:abstractNumId="61">
    <w:nsid w:val="6A5EE64"/>
    <w:multiLevelType w:val="hybridMultilevel"/>
    <w:lvl w:ilvl="0">
      <w:lvlJc w:val="left"/>
      <w:lvlText w:val="(%1)"/>
      <w:numFmt w:val="lowerLetter"/>
      <w:start w:val="3"/>
    </w:lvl>
  </w:abstractNum>
  <w:abstractNum w:abstractNumId="62">
    <w:nsid w:val="14330624"/>
    <w:multiLevelType w:val="hybridMultilevel"/>
    <w:lvl w:ilvl="0">
      <w:lvlJc w:val="left"/>
      <w:lvlText w:val="%1."/>
      <w:numFmt w:val="decimal"/>
      <w:start w:val="11"/>
    </w:lvl>
  </w:abstractNum>
  <w:abstractNum w:abstractNumId="63">
    <w:nsid w:val="7FFFCA11"/>
    <w:multiLevelType w:val="hybridMultilevel"/>
    <w:lvl w:ilvl="0">
      <w:lvlJc w:val="left"/>
      <w:lvlText w:val="1"/>
      <w:numFmt w:val="bullet"/>
      <w:start w:val="1"/>
    </w:lvl>
  </w:abstractNum>
  <w:abstractNum w:abstractNumId="64">
    <w:nsid w:val="1A27709E"/>
    <w:multiLevelType w:val="hybridMultilevel"/>
    <w:lvl w:ilvl="0">
      <w:lvlJc w:val="left"/>
      <w:lvlText w:val="%1."/>
      <w:numFmt w:val="decimal"/>
      <w:start w:val="12"/>
    </w:lvl>
  </w:abstractNum>
  <w:abstractNum w:abstractNumId="65">
    <w:nsid w:val="71EA1109"/>
    <w:multiLevelType w:val="hybridMultilevel"/>
    <w:lvl w:ilvl="0">
      <w:lvlJc w:val="left"/>
      <w:lvlText w:val="%1."/>
      <w:numFmt w:val="decimal"/>
      <w:start w:val="16"/>
    </w:lvl>
  </w:abstractNum>
  <w:abstractNum w:abstractNumId="66">
    <w:nsid w:val="100F59DC"/>
    <w:multiLevelType w:val="hybridMultilevel"/>
    <w:lvl w:ilvl="0">
      <w:lvlJc w:val="left"/>
      <w:lvlText w:val="1"/>
      <w:numFmt w:val="bullet"/>
      <w:start w:val="1"/>
    </w:lvl>
  </w:abstractNum>
  <w:abstractNum w:abstractNumId="67">
    <w:nsid w:val="7FB7E0AA"/>
    <w:multiLevelType w:val="hybridMultilevel"/>
    <w:lvl w:ilvl="0">
      <w:lvlJc w:val="left"/>
      <w:lvlText w:val="%1."/>
      <w:numFmt w:val="decimal"/>
      <w:start w:val="18"/>
    </w:lvl>
  </w:abstractNum>
  <w:abstractNum w:abstractNumId="68">
    <w:nsid w:val="6EB5BD4"/>
    <w:multiLevelType w:val="hybridMultilevel"/>
    <w:lvl w:ilvl="0">
      <w:lvlJc w:val="left"/>
      <w:lvlText w:val="1"/>
      <w:numFmt w:val="bullet"/>
      <w:start w:val="1"/>
    </w:lvl>
  </w:abstractNum>
  <w:abstractNum w:abstractNumId="69">
    <w:nsid w:val="6F6DD9AC"/>
    <w:multiLevelType w:val="hybridMultilevel"/>
    <w:lvl w:ilvl="0">
      <w:lvlJc w:val="left"/>
      <w:lvlText w:val="%1."/>
      <w:numFmt w:val="decimal"/>
      <w:start w:val="26"/>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1"/>
      <w:numFmt w:val="bullet"/>
      <w:start w:val="1"/>
    </w:lvl>
  </w:abstractNum>
  <w:abstractNum w:abstractNumId="72">
    <w:nsid w:val="76272110"/>
    <w:multiLevelType w:val="hybridMultilevel"/>
    <w:lvl w:ilvl="0">
      <w:lvlJc w:val="left"/>
      <w:lvlText w:val="%1."/>
      <w:numFmt w:val="decimal"/>
      <w:start w:val="1"/>
    </w:lvl>
    <w:lvl w:ilvl="1">
      <w:lvlJc w:val="left"/>
      <w:lvlText w:val="(%2)"/>
      <w:numFmt w:val="lowerLetter"/>
      <w:start w:val="1"/>
    </w:lvl>
  </w:abstractNum>
  <w:abstractNum w:abstractNumId="73">
    <w:nsid w:val="4C04A8AF"/>
    <w:multiLevelType w:val="hybridMultilevel"/>
    <w:lvl w:ilvl="0">
      <w:lvlJc w:val="left"/>
      <w:lvlText w:val="%1."/>
      <w:numFmt w:val="decimal"/>
      <w:start w:val="2"/>
    </w:lvl>
    <w:lvl w:ilvl="1">
      <w:lvlJc w:val="left"/>
      <w:lvlText w:val="(%2)"/>
      <w:numFmt w:val="lowerLetter"/>
      <w:start w:val="1"/>
    </w:lvl>
  </w:abstractNum>
  <w:abstractNum w:abstractNumId="74">
    <w:nsid w:val="1716703B"/>
    <w:multiLevelType w:val="hybridMultilevel"/>
    <w:lvl w:ilvl="0">
      <w:lvlJc w:val="left"/>
      <w:lvlText w:val="%1"/>
      <w:numFmt w:val="lowerLetter"/>
      <w:start w:val="1"/>
    </w:lvl>
    <w:lvl w:ilvl="1">
      <w:lvlJc w:val="left"/>
      <w:lvlText w:val="(%2)"/>
      <w:numFmt w:val="lowerLetter"/>
      <w:start w:val="3"/>
    </w:lvl>
  </w:abstractNum>
  <w:abstractNum w:abstractNumId="75">
    <w:nsid w:val="14E17E33"/>
    <w:multiLevelType w:val="hybridMultilevel"/>
    <w:lvl w:ilvl="0">
      <w:lvlJc w:val="left"/>
      <w:lvlText w:val="(%1)"/>
      <w:numFmt w:val="lowerLetter"/>
      <w:start w:val="61"/>
    </w:lvl>
    <w:lvl w:ilvl="1">
      <w:lvlJc w:val="left"/>
      <w:lvlText w:val="(%2)"/>
      <w:numFmt w:val="lowerLetter"/>
      <w:start w:val="4"/>
    </w:lvl>
  </w:abstractNum>
  <w:abstractNum w:abstractNumId="76">
    <w:nsid w:val="3222E7CD"/>
    <w:multiLevelType w:val="hybridMultilevel"/>
    <w:lvl w:ilvl="0">
      <w:lvlJc w:val="left"/>
      <w:lvlText w:val="%1."/>
      <w:numFmt w:val="decimal"/>
      <w:start w:val="5"/>
    </w:lvl>
    <w:lvl w:ilvl="1">
      <w:lvlJc w:val="left"/>
      <w:lvlText w:val="(%2)"/>
      <w:numFmt w:val="lowerLetter"/>
      <w:start w:val="1"/>
    </w:lvl>
  </w:abstractNum>
  <w:abstractNum w:abstractNumId="77">
    <w:nsid w:val="74DE0EE3"/>
    <w:multiLevelType w:val="hybridMultilevel"/>
    <w:lvl w:ilvl="0">
      <w:lvlJc w:val="left"/>
      <w:lvlText w:val="%1"/>
      <w:numFmt w:val="decimal"/>
      <w:start w:val="1"/>
    </w:lvl>
    <w:lvl w:ilvl="1">
      <w:lvlJc w:val="left"/>
      <w:lvlText w:val="(%2)"/>
      <w:numFmt w:val="lowerLetter"/>
      <w:start w:val="2"/>
    </w:lvl>
  </w:abstractNum>
  <w:abstractNum w:abstractNumId="78">
    <w:nsid w:val="68EBC550"/>
    <w:multiLevelType w:val="hybridMultilevel"/>
    <w:lvl w:ilvl="0">
      <w:lvlJc w:val="left"/>
      <w:lvlText w:val="%1."/>
      <w:numFmt w:val="decimal"/>
      <w:start w:val="6"/>
    </w:lvl>
    <w:lvl w:ilvl="1">
      <w:lvlJc w:val="left"/>
      <w:lvlText w:val="(%2)"/>
      <w:numFmt w:val="lowerLetter"/>
      <w:start w:val="1"/>
    </w:lvl>
  </w:abstractNum>
  <w:abstractNum w:abstractNumId="79">
    <w:nsid w:val="2DF6D648"/>
    <w:multiLevelType w:val="hybridMultilevel"/>
    <w:lvl w:ilvl="0">
      <w:lvlJc w:val="left"/>
      <w:lvlText w:val="%1."/>
      <w:numFmt w:val="decimal"/>
      <w:start w:val="8"/>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lowerLetter"/>
      <w:start w:val="2"/>
    </w:lvl>
  </w:abstractNum>
  <w:abstractNum w:abstractNumId="82">
    <w:nsid w:val="39EE015C"/>
    <w:multiLevelType w:val="hybridMultilevel"/>
    <w:lvl w:ilvl="0">
      <w:lvlJc w:val="left"/>
      <w:lvlText w:val="%1."/>
      <w:numFmt w:val="decimal"/>
      <w:start w:val="1"/>
    </w:lvl>
  </w:abstractNum>
  <w:abstractNum w:abstractNumId="83">
    <w:nsid w:val="57FC4FBB"/>
    <w:multiLevelType w:val="hybridMultilevel"/>
    <w:lvl w:ilvl="0">
      <w:lvlJc w:val="left"/>
      <w:lvlText w:val="%1."/>
      <w:numFmt w:val="decimal"/>
      <w:start w:val="5"/>
    </w:lvl>
  </w:abstractNum>
  <w:abstractNum w:abstractNumId="84">
    <w:nsid w:val="CC1016F"/>
    <w:multiLevelType w:val="hybridMultilevel"/>
    <w:lvl w:ilvl="0">
      <w:lvlJc w:val="left"/>
      <w:lvlText w:val="%1."/>
      <w:numFmt w:val="decimal"/>
      <w:start w:val="10"/>
    </w:lvl>
  </w:abstractNum>
  <w:abstractNum w:abstractNumId="85">
    <w:nsid w:val="43F18422"/>
    <w:multiLevelType w:val="hybridMultilevel"/>
    <w:lvl w:ilvl="0">
      <w:lvlJc w:val="left"/>
      <w:lvlText w:val="%1."/>
      <w:numFmt w:val="decimal"/>
      <w:start w:val="15"/>
    </w:lvl>
  </w:abstractNum>
  <w:abstractNum w:abstractNumId="86">
    <w:nsid w:val="60EF0119"/>
    <w:multiLevelType w:val="hybridMultilevel"/>
    <w:lvl w:ilvl="0">
      <w:lvlJc w:val="left"/>
      <w:lvlText w:val="%1."/>
      <w:numFmt w:val="decimal"/>
      <w:start w:val="1"/>
    </w:lvl>
  </w:abstractNum>
  <w:abstractNum w:abstractNumId="87">
    <w:nsid w:val="26F324BA"/>
    <w:multiLevelType w:val="hybridMultilevel"/>
    <w:lvl w:ilvl="0">
      <w:lvlJc w:val="left"/>
      <w:lvlText w:val="%1."/>
      <w:numFmt w:val="decimal"/>
      <w:start w:val="1"/>
    </w:lvl>
  </w:abstractNum>
  <w:abstractNum w:abstractNumId="88">
    <w:nsid w:val="7F01579B"/>
    <w:multiLevelType w:val="hybridMultilevel"/>
    <w:lvl w:ilvl="0">
      <w:lvlJc w:val="left"/>
      <w:lvlText w:val="%1."/>
      <w:numFmt w:val="decimal"/>
      <w:start w:val="2"/>
    </w:lvl>
  </w:abstractNum>
  <w:abstractNum w:abstractNumId="89">
    <w:nsid w:val="49DA307D"/>
    <w:multiLevelType w:val="hybridMultilevel"/>
    <w:lvl w:ilvl="0">
      <w:lvlJc w:val="left"/>
      <w:lvlText w:val="%1."/>
      <w:numFmt w:val="decimal"/>
      <w:start w:val="3"/>
    </w:lvl>
  </w:abstractNum>
  <w:abstractNum w:abstractNumId="90">
    <w:nsid w:val="7055A5F5"/>
    <w:multiLevelType w:val="hybridMultilevel"/>
    <w:lvl w:ilvl="0">
      <w:lvlJc w:val="left"/>
      <w:lvlText w:val="%1."/>
      <w:numFmt w:val="decimal"/>
      <w:start w:val="4"/>
    </w:lvl>
  </w:abstractNum>
  <w:abstractNum w:abstractNumId="91">
    <w:nsid w:val="5FB8370B"/>
    <w:multiLevelType w:val="hybridMultilevel"/>
    <w:lvl w:ilvl="0">
      <w:lvlJc w:val="left"/>
      <w:lvlText w:val="%1."/>
      <w:numFmt w:val="decimal"/>
      <w:start w:val="6"/>
    </w:lvl>
  </w:abstractNum>
  <w:abstractNum w:abstractNumId="92">
    <w:nsid w:val="50801EE1"/>
    <w:multiLevelType w:val="hybridMultilevel"/>
    <w:lvl w:ilvl="0">
      <w:lvlJc w:val="left"/>
      <w:lvlText w:val="%1."/>
      <w:numFmt w:val="decimal"/>
      <w:start w:val="7"/>
    </w:lvl>
  </w:abstractNum>
  <w:abstractNum w:abstractNumId="93">
    <w:nsid w:val="488AC1A"/>
    <w:multiLevelType w:val="hybridMultilevel"/>
    <w:lvl w:ilvl="0">
      <w:lvlJc w:val="left"/>
      <w:lvlText w:val="%1."/>
      <w:numFmt w:val="decimal"/>
      <w:start w:val="8"/>
    </w:lvl>
  </w:abstractNum>
  <w:abstractNum w:abstractNumId="94">
    <w:nsid w:val="5FB8011C"/>
    <w:multiLevelType w:val="hybridMultilevel"/>
    <w:lvl w:ilvl="0">
      <w:lvlJc w:val="left"/>
      <w:lvlText w:val="%1."/>
      <w:numFmt w:val="decimal"/>
      <w:start w:val="9"/>
    </w:lvl>
  </w:abstractNum>
  <w:abstractNum w:abstractNumId="95">
    <w:nsid w:val="6AA78F7F"/>
    <w:multiLevelType w:val="hybridMultilevel"/>
    <w:lvl w:ilvl="0">
      <w:lvlJc w:val="left"/>
      <w:lvlText w:val="%1."/>
      <w:numFmt w:val="decimal"/>
      <w:start w:val="10"/>
    </w:lvl>
  </w:abstractNum>
  <w:abstractNum w:abstractNumId="96">
    <w:nsid w:val="7672BD23"/>
    <w:multiLevelType w:val="hybridMultilevel"/>
    <w:lvl w:ilvl="0">
      <w:lvlJc w:val="left"/>
      <w:lvlText w:val="%1."/>
      <w:numFmt w:val="decimal"/>
      <w:start w:val="11"/>
    </w:lvl>
  </w:abstractNum>
  <w:abstractNum w:abstractNumId="97">
    <w:nsid w:val="6FC75AF8"/>
    <w:multiLevelType w:val="hybridMultilevel"/>
    <w:lvl w:ilvl="0">
      <w:lvlJc w:val="left"/>
      <w:lvlText w:val="%1."/>
      <w:numFmt w:val="decimal"/>
      <w:start w:val="12"/>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103"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png"/><Relationship Id="rId106" Type="http://schemas.openxmlformats.org/officeDocument/2006/relationships/image" Target="media/image70.png"/><Relationship Id="rId107" Type="http://schemas.openxmlformats.org/officeDocument/2006/relationships/image" Target="media/image71.png"/><Relationship Id="rId108" Type="http://schemas.openxmlformats.org/officeDocument/2006/relationships/image" Target="media/image72.png"/><Relationship Id="rId74" Type="http://schemas.openxmlformats.org/officeDocument/2006/relationships/hyperlink" Target="http://www.sec.gov/Archives/edgar/data/1069202/0000950134-99-002720-index.html" TargetMode="External"/><Relationship Id="rId75" Type="http://schemas.openxmlformats.org/officeDocument/2006/relationships/hyperlink" Target="http://www.sec.gov/Archives/edgar/data/1069202/000119312513474576/d644537d8k.htm" TargetMode="External"/><Relationship Id="rId76" Type="http://schemas.openxmlformats.org/officeDocument/2006/relationships/hyperlink" Target="http://www.sec.gov/Archives/edgar/data/1017609/000095012310042399/d72548exv4w3.htm" TargetMode="External"/><Relationship Id="rId77" Type="http://schemas.openxmlformats.org/officeDocument/2006/relationships/hyperlink" Target="http://www.sec.gov/Archives/edgar/data/1017609/000095012310042399/d72548exv4w11.htm" TargetMode="External"/><Relationship Id="rId78" Type="http://schemas.openxmlformats.org/officeDocument/2006/relationships/hyperlink" Target="http://www.sec.gov/Archives/edgar/data/1069202/000119312516758285/d284193dex42.htm" TargetMode="External"/><Relationship Id="rId79" Type="http://schemas.openxmlformats.org/officeDocument/2006/relationships/hyperlink" Target="http://www.sec.gov/Archives/edgar/data/1069202/000106920219000008/lii-ex45_20181231x10k.htm" TargetMode="External"/><Relationship Id="rId80" Type="http://schemas.openxmlformats.org/officeDocument/2006/relationships/hyperlink" Target="http://www.sec.gov/Archives/edgar/data/1069202/000119312516700842/d247473dex101.htm" TargetMode="External"/><Relationship Id="rId81" Type="http://schemas.openxmlformats.org/officeDocument/2006/relationships/hyperlink" Target="http://www.sec.gov/Archives/edgar/data/1069202/000106920217000013/lii-ex101_2017930x10qxfirs.htm" TargetMode="External"/><Relationship Id="rId82" Type="http://schemas.openxmlformats.org/officeDocument/2006/relationships/hyperlink" Target="http://www.sec.gov/Archives/edgar/data/1069202/000106920218000009/lii-ex102xsecondamendmentt.htm" TargetMode="External"/><Relationship Id="rId83" Type="http://schemas.openxmlformats.org/officeDocument/2006/relationships/hyperlink" Target="http://www.sec.gov/Archives/edgar/data/1069202/000106920219000002/exhibit10120188k.htm" TargetMode="External"/><Relationship Id="rId84" Type="http://schemas.openxmlformats.org/officeDocument/2006/relationships/hyperlink" Target="http://www.sec.gov/Archives/edgar/data/1069202/000119312513446894/d631191dex101.htm" TargetMode="External"/><Relationship Id="rId85" Type="http://schemas.openxmlformats.org/officeDocument/2006/relationships/hyperlink" Target="http://www.sec.gov/Archives/edgar/data/1069202/000119312514423340/d811279dex101.htm" TargetMode="External"/><Relationship Id="rId86" Type="http://schemas.openxmlformats.org/officeDocument/2006/relationships/hyperlink" Target="http://www.sec.gov/Archives/edgar/data/1069202/000119312514446884/d838484dex101.htm" TargetMode="External"/><Relationship Id="rId87" Type="http://schemas.openxmlformats.org/officeDocument/2006/relationships/hyperlink" Target="http://www.sec.gov/Archives/edgar/data/1069202/000119312515380409/d84922dex101.htm" TargetMode="External"/><Relationship Id="rId88" Type="http://schemas.openxmlformats.org/officeDocument/2006/relationships/hyperlink" Target="http://www.sec.gov/Archives/edgar/data/1069202/000119312516642453/d218961dex101.htm" TargetMode="External"/><Relationship Id="rId89" Type="http://schemas.openxmlformats.org/officeDocument/2006/relationships/hyperlink" Target="http://www.sec.gov/Archives/edgar/data/1069202/000119312517345550/d474880dex101.htm" TargetMode="External"/><Relationship Id="rId90" Type="http://schemas.openxmlformats.org/officeDocument/2006/relationships/hyperlink" Target="http://www.sec.gov/Archives/edgar/data/1069202/000106920218000009/lii-ex101xamendmentno7toam.htm" TargetMode="External"/><Relationship Id="rId91" Type="http://schemas.openxmlformats.org/officeDocument/2006/relationships/hyperlink" Target="http://www.sec.gov/Archives/edgar/data/1069202/000106920218000020/liiex101_2018930-10q.htm" TargetMode="External"/><Relationship Id="rId92" Type="http://schemas.openxmlformats.org/officeDocument/2006/relationships/hyperlink" Target="http://www.sec.gov/Archives/edgar/data/1069202/000119312519295555/d822980dex101.htm" TargetMode="External"/><Relationship Id="rId93" Type="http://schemas.openxmlformats.org/officeDocument/2006/relationships/hyperlink" Target="http://www.sec.gov/Archives/edgar/data/1069202/000119312519157041/d752008dex101.htm" TargetMode="External"/><Relationship Id="rId94" Type="http://schemas.openxmlformats.org/officeDocument/2006/relationships/hyperlink" Target="http://www.sec.gov/Archives/edgar/data/1069202/000136231008008300/c78431exv10w3.htm" TargetMode="External"/><Relationship Id="rId95" Type="http://schemas.openxmlformats.org/officeDocument/2006/relationships/hyperlink" Target="http://www.sec.gov/Archives/edgar/data/1069202/000136231008008300/c78431exv10w2.htm" TargetMode="External"/><Relationship Id="rId96" Type="http://schemas.openxmlformats.org/officeDocument/2006/relationships/hyperlink" Target="http://www.sec.gov/Archives/edgar/data/1069202/000106920219000008/lii-ex1023_20181231x10k.htm" TargetMode="External"/><Relationship Id="rId97" Type="http://schemas.openxmlformats.org/officeDocument/2006/relationships/hyperlink" Target="http://www.sec.gov/Archives/edgar/data/1069202/000106920219000008/lii-ex1024_20181231x10k.htm" TargetMode="External"/><Relationship Id="rId98" Type="http://schemas.openxmlformats.org/officeDocument/2006/relationships/hyperlink" Target="http://www.sec.gov/Archives/edgar/data/1069202/000095013407004266/d43577exv10w30.htm" TargetMode="External"/><Relationship Id="rId99" Type="http://schemas.openxmlformats.org/officeDocument/2006/relationships/hyperlink" Target="http://www.sec.gov/Archives/edgar/data/1069202/000136231007003352/c71756exv10w2.htm" TargetMode="External"/><Relationship Id="rId100" Type="http://schemas.openxmlformats.org/officeDocument/2006/relationships/hyperlink" Target="http://www.sec.gov/Archives/edgar/data/1069202/000119312512304640/d381083dex101.htm" TargetMode="External"/><Relationship Id="rId101" Type="http://schemas.openxmlformats.org/officeDocument/2006/relationships/hyperlink" Target="http://www.sec.gov/Archives/edgar/data/1069202/000136231008008300/c78431exv10w1.htm" TargetMode="External"/><Relationship Id="rId102" Type="http://schemas.openxmlformats.org/officeDocument/2006/relationships/hyperlink" Target="http://www.sec.gov/Archives/edgar/data/1069202/000095012309071289/c93749exv10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2020-02-18T16:11:02Z</dcterms:created>
  <dcterms:modified xsi:type="dcterms:W3CDTF">2020-02-18T16:11:02Z</dcterms:modified>
</cp:coreProperties>
</file>